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3B27" w:rsidP="00793B27">
      <w:pPr>
        <w:pStyle w:val="Title"/>
      </w:pPr>
      <w:bookmarkStart w:id="0" w:name="_GoBack"/>
      <w:bookmarkEnd w:id="0"/>
      <w:r>
        <w:fldChar w:fldCharType="begin"/>
      </w:r>
      <w:r>
        <w:instrText xml:space="preserve"> TITLE   \* MERGEFORMAT </w:instrText>
      </w:r>
      <w:r>
        <w:fldChar w:fldCharType="separate"/>
      </w:r>
      <w:r>
        <w:t>MEM21011A Service calendar and other dial indication mechanisms for watches</w:t>
      </w:r>
      <w:r>
        <w:fldChar w:fldCharType="end"/>
      </w:r>
    </w:p>
    <w:p w:rsidR="00793B27" w:rsidP="00793B27">
      <w:pPr>
        <w:pStyle w:val="Version"/>
        <w:sectPr w:rsidSect="00735A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5ABB" w:rsidP="00735ABB">
      <w:pPr>
        <w:pStyle w:val="SuperHeading"/>
      </w:pPr>
      <w:r w:rsidRPr="00735ABB">
        <w:t>MEM21011A Service calendar and other dial indication mechanisms for watches</w:t>
      </w:r>
    </w:p>
    <w:p w:rsidR="00000000" w:rsidRPr="00735ABB" w:rsidP="00735ABB">
      <w:pPr>
        <w:pStyle w:val="Heading1"/>
      </w:pPr>
      <w:bookmarkStart w:id="1" w:name="O_272353"/>
      <w:bookmarkEnd w:id="1"/>
      <w:r w:rsidRPr="00735ABB">
        <w:t>Modification History</w:t>
      </w:r>
    </w:p>
    <w:p w:rsidR="00000000" w:rsidRPr="00735ABB" w:rsidP="00735ABB">
      <w:pPr>
        <w:pStyle w:val="BodyText"/>
      </w:pPr>
      <w:r w:rsidRPr="00735ABB">
        <w:t>Not Applicable</w:t>
      </w:r>
    </w:p>
    <w:p w:rsidR="00000000" w:rsidRPr="00735ABB" w:rsidP="00735ABB">
      <w:pPr>
        <w:pStyle w:val="AllowPageBreak"/>
      </w:pPr>
    </w:p>
    <w:p w:rsidR="00000000" w:rsidRPr="00735ABB" w:rsidP="00735ABB">
      <w:pPr>
        <w:pStyle w:val="Heading1"/>
      </w:pPr>
      <w:bookmarkStart w:id="2" w:name="O_212909"/>
      <w:bookmarkEnd w:id="2"/>
      <w:r w:rsidRPr="00735ABB">
        <w:t>Unit Descriptor</w:t>
      </w:r>
    </w:p>
    <w:tbl>
      <w:tblPr>
        <w:tblW w:w="0" w:type="auto"/>
        <w:tblLayout w:type="fixed"/>
        <w:tblCellMar>
          <w:left w:w="62" w:type="dxa"/>
          <w:right w:w="62" w:type="dxa"/>
        </w:tblCellMar>
        <w:tblLook w:val="0000"/>
      </w:tblPr>
      <w:tblGrid>
        <w:gridCol w:w="2669"/>
        <w:gridCol w:w="5853"/>
      </w:tblGrid>
      <w:tr w:rsidTr="00793B27">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ABB">
            <w:pPr>
              <w:pStyle w:val="BodyText"/>
              <w:rPr>
                <w:lang w:val="en-NZ"/>
              </w:rPr>
            </w:pPr>
            <w:r w:rsidRPr="00735ABB">
              <w:rPr>
                <w:rStyle w:val="SpecialBold"/>
              </w:rPr>
              <w:t xml:space="preserve">Unit </w:t>
            </w:r>
            <w:r w:rsidRPr="00735ABB">
              <w:rPr>
                <w:rStyle w:val="SpecialBold"/>
              </w:rPr>
              <w:t>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ABB" w:rsidP="00735ABB">
            <w:pPr>
              <w:pStyle w:val="BodyText"/>
            </w:pPr>
            <w:r w:rsidRPr="00735ABB">
              <w:t>This unit of competency covers servicing techniques for watches with different types or combinations of calendar and other dial indications, including date, day, month, year, moonphase, annual calendar, perpetual calendar, retrograde and power r</w:t>
            </w:r>
            <w:r w:rsidRPr="00735ABB">
              <w:t>eserve indicators.</w:t>
            </w:r>
          </w:p>
        </w:tc>
      </w:tr>
    </w:tbl>
    <w:p w:rsidR="00793B27" w:rsidP="00735ABB">
      <w:pPr>
        <w:pStyle w:val="BodyText"/>
      </w:pPr>
    </w:p>
    <w:p w:rsidR="00793B27" w:rsidP="00735ABB">
      <w:pPr>
        <w:pStyle w:val="BodyText"/>
      </w:pPr>
    </w:p>
    <w:p w:rsidR="00000000" w:rsidRPr="00735ABB" w:rsidP="00735ABB">
      <w:pPr>
        <w:pStyle w:val="Heading1"/>
      </w:pPr>
      <w:bookmarkStart w:id="3" w:name="O_212913"/>
      <w:bookmarkEnd w:id="3"/>
      <w:r w:rsidRPr="00735ABB">
        <w:t>Application of the Unit</w:t>
      </w:r>
    </w:p>
    <w:tbl>
      <w:tblPr>
        <w:tblW w:w="0" w:type="auto"/>
        <w:tblLayout w:type="fixed"/>
        <w:tblCellMar>
          <w:left w:w="62" w:type="dxa"/>
          <w:right w:w="62" w:type="dxa"/>
        </w:tblCellMar>
        <w:tblLook w:val="0000"/>
      </w:tblPr>
      <w:tblGrid>
        <w:gridCol w:w="2753"/>
        <w:gridCol w:w="5769"/>
      </w:tblGrid>
      <w:tr w:rsidTr="00793B27">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ABB">
            <w:pPr>
              <w:pStyle w:val="BodyText"/>
              <w:rPr>
                <w:lang w:val="en-NZ"/>
              </w:rPr>
            </w:pPr>
            <w:r w:rsidRPr="00735ABB">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ABB" w:rsidP="00735ABB">
            <w:pPr>
              <w:pStyle w:val="BodyText"/>
            </w:pPr>
            <w:r w:rsidRPr="00735ABB">
              <w:t xml:space="preserve">This unit of competency applies to dial indication servicing work undertaken by a watch repair tradesperson. This work is often performed in </w:t>
            </w:r>
            <w:r w:rsidRPr="00735ABB">
              <w:t xml:space="preserve">conjunction with major servicing on both mechanical and quartz watches received for repair. This work would normally be undertaken in watch service and repair centres and jewellery stores where service and repairs are offered. </w:t>
            </w:r>
          </w:p>
          <w:p w:rsidR="00000000" w:rsidRPr="00735ABB" w:rsidP="00735ABB">
            <w:pPr>
              <w:pStyle w:val="BodyText"/>
            </w:pPr>
            <w:r w:rsidRPr="00735ABB">
              <w:t>This unit has been developed</w:t>
            </w:r>
            <w:r w:rsidRPr="00735ABB">
              <w:t xml:space="preserve"> for watch service and repair apprenticeship training and the recognition of trade-level skills in watch servicing and repair.  </w:t>
            </w:r>
          </w:p>
          <w:p w:rsidR="00000000" w:rsidRPr="00735ABB" w:rsidP="00735ABB">
            <w:pPr>
              <w:pStyle w:val="BodyText"/>
            </w:pPr>
          </w:p>
          <w:p w:rsidR="00000000" w:rsidRPr="00735ABB" w:rsidP="00735ABB">
            <w:pPr>
              <w:pStyle w:val="BodyText"/>
            </w:pPr>
            <w:r w:rsidRPr="00735ABB">
              <w:t>Band:  A</w:t>
            </w:r>
          </w:p>
          <w:p w:rsidR="00000000" w:rsidRPr="00735ABB" w:rsidP="00735ABB">
            <w:pPr>
              <w:pStyle w:val="BodyText"/>
            </w:pPr>
            <w:r w:rsidRPr="00735ABB">
              <w:t>Unit weight:  4 points</w:t>
            </w:r>
          </w:p>
        </w:tc>
      </w:tr>
    </w:tbl>
    <w:p w:rsidR="00793B27" w:rsidP="00735ABB">
      <w:pPr>
        <w:pStyle w:val="BodyText"/>
      </w:pPr>
    </w:p>
    <w:p w:rsidR="00793B27" w:rsidP="00735ABB">
      <w:pPr>
        <w:pStyle w:val="BodyText"/>
      </w:pPr>
    </w:p>
    <w:p w:rsidR="00000000" w:rsidRPr="00735ABB" w:rsidP="00735ABB">
      <w:pPr>
        <w:pStyle w:val="Heading1"/>
      </w:pPr>
      <w:bookmarkStart w:id="4" w:name="O_280613"/>
      <w:bookmarkEnd w:id="4"/>
      <w:r w:rsidRPr="00735ABB">
        <w:t>Licensing/Regulatory Information</w:t>
      </w:r>
    </w:p>
    <w:p w:rsidR="00000000" w:rsidRPr="00735ABB" w:rsidP="00735ABB">
      <w:pPr>
        <w:pStyle w:val="BodyText"/>
      </w:pPr>
      <w:r w:rsidRPr="00735ABB">
        <w:t>Not Applicable</w:t>
      </w:r>
    </w:p>
    <w:p w:rsidR="00000000" w:rsidRPr="00735ABB" w:rsidP="00735ABB">
      <w:pPr>
        <w:pStyle w:val="AllowPageBreak"/>
      </w:pPr>
    </w:p>
    <w:p w:rsidR="00000000" w:rsidRPr="00735ABB" w:rsidP="00735ABB">
      <w:pPr>
        <w:pStyle w:val="Heading1"/>
      </w:pPr>
      <w:bookmarkStart w:id="5" w:name="O_212911"/>
      <w:bookmarkEnd w:id="5"/>
      <w:r w:rsidRPr="00735ABB">
        <w:t>Pre-Requisites</w:t>
      </w:r>
    </w:p>
    <w:tbl>
      <w:tblPr>
        <w:tblW w:w="0" w:type="auto"/>
        <w:tblLayout w:type="fixed"/>
        <w:tblCellMar>
          <w:left w:w="62" w:type="dxa"/>
          <w:right w:w="62" w:type="dxa"/>
        </w:tblCellMar>
        <w:tblLook w:val="0000"/>
      </w:tblPr>
      <w:tblGrid>
        <w:gridCol w:w="2713"/>
        <w:gridCol w:w="2207"/>
        <w:gridCol w:w="3602"/>
      </w:tblGrid>
      <w:tr w:rsidTr="00793B27">
        <w:tblPrEx>
          <w:tblW w:w="0" w:type="auto"/>
          <w:tblLayout w:type="fixed"/>
          <w:tblCellMar>
            <w:left w:w="62" w:type="dxa"/>
            <w:right w:w="62" w:type="dxa"/>
          </w:tblCellMar>
          <w:tblLook w:val="0000"/>
        </w:tblPrEx>
        <w:trPr>
          <w:tblHeader/>
        </w:trPr>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ABB">
            <w:pPr>
              <w:pStyle w:val="BodyText"/>
              <w:rPr>
                <w:lang w:val="en-NZ"/>
              </w:rPr>
            </w:pPr>
            <w:r w:rsidRPr="00735ABB">
              <w:rPr>
                <w:rStyle w:val="SpecialBold"/>
              </w:rPr>
              <w:t>Prerequisite units</w:t>
            </w:r>
          </w:p>
        </w:tc>
        <w:tc>
          <w:tcPr>
            <w:tcW w:w="580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ABB">
            <w:pPr>
              <w:pStyle w:val="BodyText"/>
              <w:rPr>
                <w:lang w:val="en-NZ"/>
              </w:rPr>
            </w:pPr>
          </w:p>
        </w:tc>
      </w:tr>
      <w:tr w:rsidTr="00793B27">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ABB">
            <w:pPr>
              <w:pStyle w:val="BodyText"/>
              <w:rPr>
                <w:lang w:val="en-NZ"/>
              </w:rPr>
            </w:pPr>
            <w:r w:rsidRPr="00735ABB">
              <w:t>MEM21010A</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ABB">
            <w:pPr>
              <w:pStyle w:val="BodyText"/>
              <w:rPr>
                <w:lang w:val="en-NZ"/>
              </w:rPr>
            </w:pPr>
            <w:r w:rsidRPr="00735ABB">
              <w:t>Service watch power generating systems</w:t>
            </w:r>
          </w:p>
        </w:tc>
      </w:tr>
      <w:tr w:rsidTr="00793B27">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ABB">
            <w:pPr>
              <w:pStyle w:val="BodyText"/>
              <w:rPr>
                <w:lang w:val="en-NZ"/>
              </w:rPr>
            </w:pPr>
            <w:r w:rsidRPr="00735ABB">
              <w:t>MEM21009A</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ABB">
            <w:pPr>
              <w:pStyle w:val="BodyText"/>
              <w:rPr>
                <w:lang w:val="en-NZ"/>
              </w:rPr>
            </w:pPr>
            <w:r w:rsidRPr="00735ABB">
              <w:t>Inspect, diagnose, adjust and repair mechanical watches</w:t>
            </w:r>
          </w:p>
        </w:tc>
      </w:tr>
      <w:tr w:rsidTr="00793B27">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ABB">
            <w:pPr>
              <w:pStyle w:val="BodyText"/>
              <w:rPr>
                <w:lang w:val="en-NZ"/>
              </w:rPr>
            </w:pPr>
            <w:r w:rsidRPr="00735ABB">
              <w:t>MEM21008A</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ABB">
            <w:pPr>
              <w:pStyle w:val="BodyText"/>
              <w:rPr>
                <w:lang w:val="en-NZ"/>
              </w:rPr>
            </w:pPr>
            <w:r w:rsidRPr="00735ABB">
              <w:t>Service mechanical watches</w:t>
            </w:r>
          </w:p>
        </w:tc>
      </w:tr>
      <w:tr w:rsidTr="00793B27">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ABB">
            <w:pPr>
              <w:pStyle w:val="BodyText"/>
              <w:rPr>
                <w:lang w:val="en-NZ"/>
              </w:rPr>
            </w:pPr>
            <w:r w:rsidRPr="00735ABB">
              <w:t>MEM18001C</w:t>
            </w:r>
          </w:p>
        </w:tc>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ABB" w:rsidP="00735ABB">
            <w:pPr>
              <w:pStyle w:val="BodyText"/>
            </w:pPr>
            <w:r w:rsidRPr="00735ABB">
              <w:t>Use hand tools</w:t>
            </w:r>
          </w:p>
        </w:tc>
      </w:tr>
    </w:tbl>
    <w:p w:rsidR="00793B27" w:rsidP="00735ABB">
      <w:pPr>
        <w:pStyle w:val="BodyText"/>
      </w:pPr>
    </w:p>
    <w:p w:rsidR="00793B27" w:rsidP="00735ABB">
      <w:pPr>
        <w:pStyle w:val="BodyText"/>
      </w:pPr>
    </w:p>
    <w:p w:rsidR="00000000" w:rsidRPr="00735ABB" w:rsidP="00735ABB">
      <w:pPr>
        <w:pStyle w:val="Heading1"/>
      </w:pPr>
      <w:bookmarkStart w:id="6" w:name="O_212910"/>
      <w:bookmarkEnd w:id="6"/>
      <w:r w:rsidRPr="00735ABB">
        <w:t>Employability Skills Information</w:t>
      </w:r>
    </w:p>
    <w:tbl>
      <w:tblPr>
        <w:tblW w:w="0" w:type="auto"/>
        <w:tblLayout w:type="fixed"/>
        <w:tblCellMar>
          <w:left w:w="62" w:type="dxa"/>
          <w:right w:w="62" w:type="dxa"/>
        </w:tblCellMar>
        <w:tblLook w:val="0000"/>
      </w:tblPr>
      <w:tblGrid>
        <w:gridCol w:w="2802"/>
        <w:gridCol w:w="5720"/>
      </w:tblGrid>
      <w:tr w:rsidTr="00793B2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ABB">
            <w:pPr>
              <w:pStyle w:val="BodyText"/>
              <w:rPr>
                <w:lang w:val="en-NZ"/>
              </w:rPr>
            </w:pPr>
            <w:r w:rsidRPr="00735AB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ABB" w:rsidP="00735ABB">
            <w:pPr>
              <w:pStyle w:val="BodyText"/>
            </w:pPr>
            <w:r w:rsidRPr="00735ABB">
              <w:t>This unit contains employability skills.</w:t>
            </w:r>
          </w:p>
        </w:tc>
      </w:tr>
    </w:tbl>
    <w:p w:rsidR="00793B27" w:rsidP="00735ABB">
      <w:pPr>
        <w:pStyle w:val="BodyText"/>
      </w:pPr>
    </w:p>
    <w:p w:rsidR="00793B27" w:rsidP="00735ABB">
      <w:pPr>
        <w:pStyle w:val="BodyText"/>
      </w:pPr>
    </w:p>
    <w:p w:rsidR="00000000" w:rsidRPr="00735ABB" w:rsidP="00735ABB">
      <w:pPr>
        <w:pStyle w:val="Heading1"/>
      </w:pPr>
      <w:bookmarkStart w:id="7" w:name="O_290399"/>
      <w:bookmarkEnd w:id="7"/>
      <w:r w:rsidRPr="00735ABB">
        <w:t>Elements and Performance Criteria Pre-Content</w:t>
      </w:r>
    </w:p>
    <w:tbl>
      <w:tblPr>
        <w:tblW w:w="0" w:type="auto"/>
        <w:tblLayout w:type="fixed"/>
        <w:tblCellMar>
          <w:left w:w="62" w:type="dxa"/>
          <w:right w:w="62" w:type="dxa"/>
        </w:tblCellMar>
        <w:tblLook w:val="0000"/>
      </w:tblPr>
      <w:tblGrid>
        <w:gridCol w:w="2576"/>
        <w:gridCol w:w="5946"/>
      </w:tblGrid>
      <w:tr w:rsidTr="00793B27">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ABB">
            <w:pPr>
              <w:pStyle w:val="BodyText"/>
              <w:rPr>
                <w:lang w:val="en-NZ"/>
              </w:rPr>
            </w:pPr>
            <w:r w:rsidRPr="00735ABB">
              <w:t>Elements describe the essential outcomes of a unit of competency.</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ABB" w:rsidP="00735ABB">
            <w:pPr>
              <w:pStyle w:val="BodyText"/>
            </w:pPr>
            <w:r w:rsidRPr="00735ABB">
              <w:t>Performance criteria describe the performance needed to demonstrate achievement of the element. Where bold italicised text is used, further information is detailed in the required skills and knowledge section and the range statement. Assessment of performa</w:t>
            </w:r>
            <w:r w:rsidRPr="00735ABB">
              <w:t>nce is to be consistent with the evidence guide.</w:t>
            </w:r>
          </w:p>
        </w:tc>
      </w:tr>
    </w:tbl>
    <w:p w:rsidR="00000000" w:rsidRPr="00735ABB" w:rsidP="00735ABB">
      <w:pPr>
        <w:pStyle w:val="BodyText"/>
      </w:pPr>
    </w:p>
    <w:p w:rsidR="00000000" w:rsidRPr="00735ABB" w:rsidP="00735ABB">
      <w:pPr>
        <w:pStyle w:val="AllowPageBreak"/>
      </w:pPr>
    </w:p>
    <w:p w:rsidR="00000000" w:rsidRPr="00735ABB" w:rsidP="00735ABB">
      <w:pPr>
        <w:pStyle w:val="Heading1"/>
      </w:pPr>
      <w:bookmarkStart w:id="8" w:name="O_237066"/>
      <w:bookmarkEnd w:id="8"/>
      <w:r w:rsidRPr="00735ABB">
        <w:t>Elements and Performance Criteria</w:t>
      </w:r>
    </w:p>
    <w:tbl>
      <w:tblPr>
        <w:tblW w:w="0" w:type="auto"/>
        <w:tblLayout w:type="fixed"/>
        <w:tblCellMar>
          <w:left w:w="62" w:type="dxa"/>
          <w:right w:w="62" w:type="dxa"/>
        </w:tblCellMar>
        <w:tblLook w:val="0000"/>
      </w:tblPr>
      <w:tblGrid>
        <w:gridCol w:w="2576"/>
        <w:gridCol w:w="5946"/>
      </w:tblGrid>
      <w:tr w:rsidTr="00793B27">
        <w:tblPrEx>
          <w:tblW w:w="0" w:type="auto"/>
          <w:tblLayout w:type="fixed"/>
          <w:tblCellMar>
            <w:left w:w="62" w:type="dxa"/>
            <w:right w:w="62" w:type="dxa"/>
          </w:tblCellMar>
          <w:tblLook w:val="0000"/>
        </w:tblPrEx>
        <w:trPr>
          <w:tblHeader/>
        </w:trPr>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ABB" w:rsidP="00735ABB">
            <w:pPr>
              <w:pStyle w:val="BodyText"/>
            </w:pPr>
            <w:r w:rsidRPr="00735ABB">
              <w:rPr>
                <w:rStyle w:val="SpecialBold"/>
              </w:rPr>
              <w:t>ELEMENT</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ABB">
            <w:pPr>
              <w:pStyle w:val="BodyText"/>
              <w:rPr>
                <w:lang w:val="en-NZ"/>
              </w:rPr>
            </w:pPr>
            <w:r w:rsidRPr="00735ABB">
              <w:rPr>
                <w:rStyle w:val="SpecialBold"/>
              </w:rPr>
              <w:t>PERFORMANCE CRITERIA</w:t>
            </w:r>
          </w:p>
        </w:tc>
      </w:tr>
      <w:tr w:rsidTr="00793B27">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ABB">
            <w:pPr>
              <w:pStyle w:val="List"/>
              <w:rPr>
                <w:lang w:val="en-NZ"/>
              </w:rPr>
            </w:pPr>
            <w:r w:rsidRPr="00735ABB">
              <w:t>1.</w:t>
            </w:r>
            <w:r w:rsidRPr="00735ABB">
              <w:tab/>
              <w:t>Establish servicing requirements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ABB" w:rsidP="00735ABB">
            <w:pPr>
              <w:pStyle w:val="List2"/>
            </w:pPr>
            <w:r w:rsidRPr="00735ABB">
              <w:t>1.1.</w:t>
            </w:r>
            <w:r w:rsidRPr="00735ABB">
              <w:tab/>
              <w:t xml:space="preserve">Identify watch type, calendar construction and dial indicator components </w:t>
            </w:r>
          </w:p>
          <w:p w:rsidR="00000000" w:rsidRPr="00735ABB" w:rsidP="00735ABB">
            <w:pPr>
              <w:pStyle w:val="List2"/>
            </w:pPr>
            <w:r w:rsidRPr="00735ABB">
              <w:t>1.2.</w:t>
            </w:r>
            <w:r w:rsidRPr="00735ABB">
              <w:tab/>
            </w:r>
            <w:r w:rsidRPr="00735ABB">
              <w:t>Inspect condition and functions of calendar operation/dial indicator mechanisms</w:t>
            </w:r>
          </w:p>
          <w:p w:rsidR="00000000" w:rsidRPr="00735ABB" w:rsidP="00735ABB">
            <w:pPr>
              <w:pStyle w:val="List2"/>
            </w:pPr>
            <w:r w:rsidRPr="00735ABB">
              <w:t>1.3.</w:t>
            </w:r>
            <w:r w:rsidRPr="00735ABB">
              <w:tab/>
              <w:t xml:space="preserve">Prepare watch for handover </w:t>
            </w:r>
          </w:p>
          <w:p w:rsidR="00000000" w:rsidP="00735ABB">
            <w:pPr>
              <w:pStyle w:val="List2"/>
              <w:rPr>
                <w:lang w:val="en-NZ"/>
              </w:rPr>
            </w:pPr>
            <w:r w:rsidRPr="00735ABB">
              <w:t>1.4.</w:t>
            </w:r>
            <w:r w:rsidRPr="00735ABB">
              <w:tab/>
              <w:t>Record and document repair requirements</w:t>
            </w:r>
          </w:p>
        </w:tc>
      </w:tr>
      <w:tr w:rsidTr="00793B27">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ABB">
            <w:pPr>
              <w:pStyle w:val="List"/>
              <w:rPr>
                <w:lang w:val="en-NZ"/>
              </w:rPr>
            </w:pPr>
            <w:r w:rsidRPr="00735ABB">
              <w:t>2.</w:t>
            </w:r>
            <w:r w:rsidRPr="00735ABB">
              <w:tab/>
              <w:t>Dismantle and reassemble calendar and dial indication mechanisms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ABB" w:rsidP="00735ABB">
            <w:pPr>
              <w:pStyle w:val="List2"/>
            </w:pPr>
            <w:r w:rsidRPr="00735ABB">
              <w:t>2.1.</w:t>
            </w:r>
            <w:r w:rsidRPr="00735ABB">
              <w:tab/>
              <w:t xml:space="preserve">Select and use workshop </w:t>
            </w:r>
            <w:r w:rsidRPr="00735ABB">
              <w:t>tools and equipment appropriately</w:t>
            </w:r>
          </w:p>
          <w:p w:rsidR="00000000" w:rsidRPr="00735ABB" w:rsidP="00735ABB">
            <w:pPr>
              <w:pStyle w:val="List2"/>
            </w:pPr>
            <w:r w:rsidRPr="00735ABB">
              <w:t>2.2.</w:t>
            </w:r>
            <w:r w:rsidRPr="00735ABB">
              <w:tab/>
              <w:t>Open and close watch cases correctly</w:t>
            </w:r>
          </w:p>
          <w:p w:rsidR="00000000" w:rsidP="00735ABB">
            <w:pPr>
              <w:pStyle w:val="List2"/>
              <w:rPr>
                <w:lang w:val="en-NZ"/>
              </w:rPr>
            </w:pPr>
            <w:r w:rsidRPr="00735ABB">
              <w:t>2.3.</w:t>
            </w:r>
            <w:r w:rsidRPr="00735ABB">
              <w:tab/>
              <w:t>Dismantle and reassemble calendar and dial indication mechanisms according to design and construction constraints</w:t>
            </w:r>
          </w:p>
        </w:tc>
      </w:tr>
      <w:tr w:rsidTr="00793B27">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ABB">
            <w:pPr>
              <w:pStyle w:val="List"/>
              <w:rPr>
                <w:lang w:val="en-NZ"/>
              </w:rPr>
            </w:pPr>
            <w:r w:rsidRPr="00735ABB">
              <w:t>3.</w:t>
            </w:r>
            <w:r w:rsidRPr="00735ABB">
              <w:tab/>
              <w:t>Service calendar and dial indication mechanisms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ABB" w:rsidP="00735ABB">
            <w:pPr>
              <w:pStyle w:val="List2"/>
            </w:pPr>
            <w:r w:rsidRPr="00735ABB">
              <w:t>3.1.</w:t>
            </w:r>
            <w:r w:rsidRPr="00735ABB">
              <w:tab/>
              <w:t>Iden</w:t>
            </w:r>
            <w:r w:rsidRPr="00735ABB">
              <w:t>tify calendar and dial indications drive mechanism</w:t>
            </w:r>
          </w:p>
          <w:p w:rsidR="00000000" w:rsidRPr="00735ABB" w:rsidP="00735ABB">
            <w:pPr>
              <w:pStyle w:val="List2"/>
            </w:pPr>
            <w:r w:rsidRPr="00735ABB">
              <w:t>3.2.</w:t>
            </w:r>
            <w:r w:rsidRPr="00735ABB">
              <w:tab/>
              <w:t>Identify faults and repair or replace, worn or damaged component parts</w:t>
            </w:r>
          </w:p>
          <w:p w:rsidR="00000000" w:rsidRPr="00735ABB" w:rsidP="00735ABB">
            <w:pPr>
              <w:pStyle w:val="List2"/>
            </w:pPr>
            <w:r w:rsidRPr="00735ABB">
              <w:t>3.3.</w:t>
            </w:r>
            <w:r w:rsidRPr="00735ABB">
              <w:tab/>
              <w:t>Clean components using appropriate methods</w:t>
            </w:r>
          </w:p>
          <w:p w:rsidR="00000000" w:rsidRPr="00735ABB" w:rsidP="00735ABB">
            <w:pPr>
              <w:pStyle w:val="List2"/>
            </w:pPr>
            <w:r w:rsidRPr="00735ABB">
              <w:t>3.4.</w:t>
            </w:r>
            <w:r w:rsidRPr="00735ABB">
              <w:tab/>
              <w:t>Inspect correct fitting and function of all components</w:t>
            </w:r>
          </w:p>
          <w:p w:rsidR="00000000" w:rsidRPr="00735ABB" w:rsidP="00735ABB">
            <w:pPr>
              <w:pStyle w:val="List2"/>
            </w:pPr>
            <w:r w:rsidRPr="00735ABB">
              <w:t>3.5.</w:t>
            </w:r>
            <w:r w:rsidRPr="00735ABB">
              <w:tab/>
            </w:r>
            <w:r w:rsidRPr="00735ABB">
              <w:t>Verify sequencing and alignment of components during reassembly, including dial and hand fitting</w:t>
            </w:r>
          </w:p>
          <w:p w:rsidR="00000000" w:rsidP="00735ABB">
            <w:pPr>
              <w:pStyle w:val="List2"/>
              <w:rPr>
                <w:lang w:val="en-NZ"/>
              </w:rPr>
            </w:pPr>
            <w:r w:rsidRPr="00735ABB">
              <w:t>3.6.</w:t>
            </w:r>
            <w:r w:rsidRPr="00735ABB">
              <w:tab/>
              <w:t>Lubricate components according to manufacturer specifications</w:t>
            </w:r>
          </w:p>
        </w:tc>
      </w:tr>
      <w:tr w:rsidTr="00793B27">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ABB">
            <w:pPr>
              <w:pStyle w:val="List"/>
              <w:rPr>
                <w:lang w:val="en-NZ"/>
              </w:rPr>
            </w:pPr>
            <w:r w:rsidRPr="00735ABB">
              <w:t>4.</w:t>
            </w:r>
            <w:r w:rsidRPr="00735ABB">
              <w:tab/>
              <w:t>Verify calendar and dial indication mechanism operations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ABB" w:rsidP="00735ABB">
            <w:pPr>
              <w:pStyle w:val="List2"/>
            </w:pPr>
            <w:r w:rsidRPr="00735ABB">
              <w:t>4.1.</w:t>
            </w:r>
            <w:r w:rsidRPr="00735ABB">
              <w:tab/>
              <w:t>Test calendar and dial ind</w:t>
            </w:r>
            <w:r w:rsidRPr="00735ABB">
              <w:t>ications will not impact on watch performance, amplitude or timekeeping</w:t>
            </w:r>
          </w:p>
        </w:tc>
      </w:tr>
    </w:tbl>
    <w:p w:rsidR="00793B27" w:rsidP="00735ABB">
      <w:pPr>
        <w:pStyle w:val="BodyText"/>
      </w:pPr>
    </w:p>
    <w:p w:rsidR="00793B27" w:rsidP="00735ABB">
      <w:pPr>
        <w:pStyle w:val="BodyText"/>
      </w:pPr>
    </w:p>
    <w:p w:rsidR="00000000" w:rsidRPr="00735ABB" w:rsidP="00735ABB">
      <w:pPr>
        <w:pStyle w:val="Heading1"/>
      </w:pPr>
      <w:bookmarkStart w:id="9" w:name="O_261016"/>
      <w:bookmarkEnd w:id="9"/>
      <w:r w:rsidRPr="00735ABB">
        <w:t>Required Skills and Knowledge</w:t>
      </w:r>
    </w:p>
    <w:tbl>
      <w:tblPr>
        <w:tblW w:w="0" w:type="auto"/>
        <w:tblLayout w:type="fixed"/>
        <w:tblCellMar>
          <w:left w:w="62" w:type="dxa"/>
          <w:right w:w="62" w:type="dxa"/>
        </w:tblCellMar>
        <w:tblLook w:val="0000"/>
      </w:tblPr>
      <w:tblGrid>
        <w:gridCol w:w="8522"/>
      </w:tblGrid>
      <w:tr w:rsidTr="00793B2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35ABB">
            <w:pPr>
              <w:pStyle w:val="BodyText"/>
              <w:rPr>
                <w:lang w:val="en-NZ"/>
              </w:rPr>
            </w:pPr>
            <w:r w:rsidRPr="00735ABB">
              <w:rPr>
                <w:rStyle w:val="SpecialBold"/>
              </w:rPr>
              <w:t>REQUIRED SKILLS AND KNOWLEDGE</w:t>
            </w:r>
          </w:p>
        </w:tc>
      </w:tr>
      <w:tr w:rsidTr="00793B2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35ABB">
            <w:pPr>
              <w:pStyle w:val="BodyText"/>
              <w:rPr>
                <w:lang w:val="en-NZ"/>
              </w:rPr>
            </w:pPr>
            <w:r w:rsidRPr="00735ABB">
              <w:t>This section describes the skills and knowledge required for this unit.</w:t>
            </w:r>
          </w:p>
        </w:tc>
      </w:tr>
      <w:tr w:rsidTr="00793B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ABB">
            <w:pPr>
              <w:pStyle w:val="BodyText"/>
              <w:rPr>
                <w:lang w:val="en-NZ"/>
              </w:rPr>
            </w:pPr>
            <w:r w:rsidRPr="00735ABB">
              <w:rPr>
                <w:rStyle w:val="SpecialBold"/>
              </w:rPr>
              <w:t>Required skills</w:t>
            </w:r>
          </w:p>
        </w:tc>
      </w:tr>
      <w:tr w:rsidTr="00793B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ABB" w:rsidP="00735ABB">
            <w:pPr>
              <w:pStyle w:val="BodyText"/>
            </w:pPr>
            <w:r w:rsidRPr="00735ABB">
              <w:t>Required skills include:</w:t>
            </w:r>
          </w:p>
          <w:p w:rsidR="00000000" w:rsidRPr="00735ABB" w:rsidP="00735ABB">
            <w:pPr>
              <w:pStyle w:val="ListBullet"/>
            </w:pPr>
            <w:r w:rsidRPr="00735ABB">
              <w:t>dismantling and reassembling calendar and dial indication mechanism</w:t>
            </w:r>
          </w:p>
          <w:p w:rsidR="00000000" w:rsidRPr="00735ABB" w:rsidP="00735ABB">
            <w:pPr>
              <w:pStyle w:val="ListBullet"/>
            </w:pPr>
            <w:r w:rsidRPr="00735ABB">
              <w:t>inspecting and diagnosing faults in calendar and dial indication mechanism</w:t>
            </w:r>
          </w:p>
          <w:p w:rsidR="00000000" w:rsidRPr="00735ABB" w:rsidP="00735ABB">
            <w:pPr>
              <w:pStyle w:val="ListBullet"/>
            </w:pPr>
            <w:r w:rsidRPr="00735ABB">
              <w:t>applying correct type and amount of lubrication</w:t>
            </w:r>
          </w:p>
          <w:p w:rsidR="00000000" w:rsidP="00735ABB">
            <w:pPr>
              <w:pStyle w:val="ListBullet"/>
              <w:rPr>
                <w:lang w:val="en-NZ"/>
              </w:rPr>
            </w:pPr>
            <w:r w:rsidRPr="00735ABB">
              <w:t>testing calendar and dial indication mechanisms, operation and synchronisation</w:t>
            </w:r>
          </w:p>
        </w:tc>
      </w:tr>
      <w:tr w:rsidTr="00793B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ABB">
            <w:pPr>
              <w:pStyle w:val="BodyText"/>
              <w:rPr>
                <w:lang w:val="en-NZ"/>
              </w:rPr>
            </w:pPr>
            <w:r w:rsidRPr="00735ABB">
              <w:rPr>
                <w:rStyle w:val="SpecialBold"/>
              </w:rPr>
              <w:t>Required knowledge</w:t>
            </w:r>
          </w:p>
        </w:tc>
      </w:tr>
      <w:tr w:rsidTr="00793B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ABB" w:rsidP="00735ABB">
            <w:pPr>
              <w:pStyle w:val="BodyText"/>
            </w:pPr>
            <w:r w:rsidRPr="00735ABB">
              <w:t>Required knowledge includes:</w:t>
            </w:r>
          </w:p>
          <w:p w:rsidR="00000000" w:rsidRPr="00735ABB" w:rsidP="00735ABB">
            <w:pPr>
              <w:pStyle w:val="ListBullet"/>
            </w:pPr>
            <w:r w:rsidRPr="00735ABB">
              <w:t>types of calendar watches</w:t>
            </w:r>
          </w:p>
          <w:p w:rsidR="00000000" w:rsidRPr="00735ABB" w:rsidP="00735ABB">
            <w:pPr>
              <w:pStyle w:val="ListBullet"/>
            </w:pPr>
            <w:r w:rsidRPr="00735ABB">
              <w:t>types of calendar drive mechanism operation</w:t>
            </w:r>
          </w:p>
          <w:p w:rsidR="00000000" w:rsidRPr="00735ABB" w:rsidP="00735ABB">
            <w:pPr>
              <w:pStyle w:val="ListBullet"/>
            </w:pPr>
            <w:r w:rsidRPr="00735ABB">
              <w:t>power reserve indicator construction and operation</w:t>
            </w:r>
          </w:p>
          <w:p w:rsidR="00000000" w:rsidRPr="00735ABB" w:rsidP="00735ABB">
            <w:pPr>
              <w:pStyle w:val="ListBullet"/>
            </w:pPr>
            <w:r w:rsidRPr="00735ABB">
              <w:t>calend</w:t>
            </w:r>
            <w:r w:rsidRPr="00735ABB">
              <w:t>ar/dial indications component part names</w:t>
            </w:r>
          </w:p>
          <w:p w:rsidR="00000000" w:rsidRPr="00735ABB" w:rsidP="00735ABB">
            <w:pPr>
              <w:pStyle w:val="ListBullet"/>
            </w:pPr>
            <w:r w:rsidRPr="00735ABB">
              <w:t>lubrication techniques for calendar and dial indication mechanisms</w:t>
            </w:r>
          </w:p>
          <w:p w:rsidR="00000000" w:rsidRPr="00735ABB" w:rsidP="00735ABB">
            <w:pPr>
              <w:pStyle w:val="ListBullet"/>
            </w:pPr>
            <w:r w:rsidRPr="00735ABB">
              <w:t>fault-finding and inspection techniques of calendar and dial indication mechanisms</w:t>
            </w:r>
          </w:p>
          <w:p w:rsidR="00000000" w:rsidRPr="00735ABB" w:rsidP="00735ABB">
            <w:pPr>
              <w:pStyle w:val="ListBullet"/>
            </w:pPr>
            <w:r w:rsidRPr="00735ABB">
              <w:t>occupational health and safety (OHS) regulations and practices</w:t>
            </w:r>
          </w:p>
        </w:tc>
      </w:tr>
    </w:tbl>
    <w:p w:rsidR="00793B27" w:rsidP="00735ABB">
      <w:pPr>
        <w:pStyle w:val="BodyText"/>
      </w:pPr>
    </w:p>
    <w:p w:rsidR="00793B27" w:rsidP="00735ABB">
      <w:pPr>
        <w:pStyle w:val="BodyText"/>
      </w:pPr>
    </w:p>
    <w:p w:rsidR="00000000" w:rsidRPr="00735ABB" w:rsidP="00735ABB">
      <w:pPr>
        <w:pStyle w:val="AllowPageBreak"/>
      </w:pPr>
    </w:p>
    <w:p w:rsidR="00000000" w:rsidRPr="00735ABB" w:rsidP="00735ABB">
      <w:pPr>
        <w:pStyle w:val="Heading1"/>
      </w:pPr>
      <w:bookmarkStart w:id="10" w:name="O_245050"/>
      <w:bookmarkEnd w:id="10"/>
      <w:r w:rsidRPr="00735ABB">
        <w:t>Evidence Guide</w:t>
      </w:r>
    </w:p>
    <w:tbl>
      <w:tblPr>
        <w:tblW w:w="9570" w:type="dxa"/>
        <w:tblLayout w:type="fixed"/>
        <w:tblCellMar>
          <w:left w:w="62" w:type="dxa"/>
          <w:right w:w="62" w:type="dxa"/>
        </w:tblCellMar>
        <w:tblLook w:val="0000"/>
      </w:tblPr>
      <w:tblGrid>
        <w:gridCol w:w="3908"/>
        <w:gridCol w:w="5662"/>
      </w:tblGrid>
      <w:tr w:rsidTr="00793B2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ABB">
            <w:pPr>
              <w:pStyle w:val="BodyText"/>
              <w:rPr>
                <w:lang w:val="en-NZ"/>
              </w:rPr>
            </w:pPr>
            <w:r w:rsidRPr="00735ABB">
              <w:rPr>
                <w:rStyle w:val="SpecialBold"/>
              </w:rPr>
              <w:t>EVIDENCE GUIDE</w:t>
            </w:r>
          </w:p>
        </w:tc>
      </w:tr>
      <w:tr w:rsidTr="00793B2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ABB">
            <w:pPr>
              <w:pStyle w:val="BodyText"/>
              <w:rPr>
                <w:lang w:val="en-NZ"/>
              </w:rPr>
            </w:pPr>
            <w:r w:rsidRPr="00735ABB">
              <w:t xml:space="preserve">The evidence guide provides advice on assessment and must be read in conjunction with the performance criteria, required skills and knowledge, </w:t>
            </w:r>
            <w:r w:rsidRPr="00735ABB">
              <w:t>range statement and the Assessment Guidelines for the Training Package.</w:t>
            </w:r>
          </w:p>
        </w:tc>
      </w:tr>
      <w:tr w:rsidTr="00793B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ABB">
            <w:pPr>
              <w:pStyle w:val="BodyText"/>
              <w:rPr>
                <w:lang w:val="en-NZ"/>
              </w:rPr>
            </w:pPr>
            <w:r w:rsidRPr="00735AB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ABB">
            <w:pPr>
              <w:pStyle w:val="BodyText"/>
              <w:rPr>
                <w:lang w:val="en-NZ"/>
              </w:rPr>
            </w:pPr>
            <w:r w:rsidRPr="00735ABB">
              <w:t>A person who demonstrates competency in this unit must be able to service calendar and dial indication mechanisms to industry standards, manufacturer specifica</w:t>
            </w:r>
            <w:r w:rsidRPr="00735ABB">
              <w:t xml:space="preserve">tions and in accordance with safety regulations and procedures.  </w:t>
            </w:r>
          </w:p>
        </w:tc>
      </w:tr>
      <w:tr w:rsidTr="00793B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ABB">
            <w:pPr>
              <w:pStyle w:val="BodyText"/>
              <w:rPr>
                <w:lang w:val="en-NZ"/>
              </w:rPr>
            </w:pPr>
            <w:r w:rsidRPr="00735AB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ABB" w:rsidP="00735ABB">
            <w:pPr>
              <w:pStyle w:val="BodyText"/>
            </w:pPr>
            <w:r w:rsidRPr="00735ABB">
              <w:t>Assessors must be satisfied that the candidate can competently and consistently:</w:t>
            </w:r>
          </w:p>
          <w:p w:rsidR="00000000" w:rsidRPr="00735ABB" w:rsidP="00735ABB">
            <w:pPr>
              <w:pStyle w:val="ListBullet"/>
            </w:pPr>
            <w:r w:rsidRPr="00735ABB">
              <w:t>dismantle, reas</w:t>
            </w:r>
            <w:r w:rsidRPr="00735ABB">
              <w:t xml:space="preserve">semble and lubricate calendar mechanisms </w:t>
            </w:r>
          </w:p>
          <w:p w:rsidR="00000000" w:rsidRPr="00735ABB" w:rsidP="00735ABB">
            <w:pPr>
              <w:pStyle w:val="ListBullet"/>
            </w:pPr>
            <w:r w:rsidRPr="00735ABB">
              <w:t>service and fault-find calendar watches</w:t>
            </w:r>
          </w:p>
          <w:p w:rsidR="00000000" w:rsidRPr="00735ABB" w:rsidP="00735ABB">
            <w:pPr>
              <w:pStyle w:val="ListBullet"/>
            </w:pPr>
            <w:r w:rsidRPr="00735ABB">
              <w:t>perform inspection and adjustment of calendar change mechanism</w:t>
            </w:r>
          </w:p>
          <w:p w:rsidR="00000000" w:rsidP="00735ABB">
            <w:pPr>
              <w:pStyle w:val="ListBullet"/>
              <w:rPr>
                <w:lang w:val="en-NZ"/>
              </w:rPr>
            </w:pPr>
            <w:r w:rsidRPr="00735ABB">
              <w:t>synchronise dial indications with calendar change mechanism.</w:t>
            </w:r>
          </w:p>
        </w:tc>
      </w:tr>
      <w:tr w:rsidTr="00793B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ABB">
            <w:pPr>
              <w:pStyle w:val="BodyText"/>
              <w:rPr>
                <w:lang w:val="en-NZ"/>
              </w:rPr>
            </w:pPr>
            <w:r w:rsidRPr="00735AB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ABB" w:rsidP="00735ABB">
            <w:pPr>
              <w:pStyle w:val="ListBullet"/>
            </w:pPr>
            <w:r w:rsidRPr="00735ABB">
              <w:t>Assessment may occur on the job or in an appropriately simulated environment. Access is required to real or appropriately simulated situations, including work areas, materials and equipment, and information on workplace practices and OHS practices.</w:t>
            </w:r>
          </w:p>
          <w:p w:rsidR="00000000" w:rsidRPr="00735ABB" w:rsidP="00735ABB">
            <w:pPr>
              <w:pStyle w:val="ListBullet"/>
            </w:pPr>
            <w:r w:rsidRPr="00735ABB">
              <w:t>Where a</w:t>
            </w:r>
            <w:r w:rsidRPr="00735ABB">
              <w:t>pplicable, reasonable adjustment must be made to work environments and training situations to accommodate ethnicity, age, gender, demographics and disability.</w:t>
            </w:r>
          </w:p>
          <w:p w:rsidR="00000000" w:rsidP="00735ABB">
            <w:pPr>
              <w:pStyle w:val="ListBullet"/>
              <w:rPr>
                <w:lang w:val="en-NZ"/>
              </w:rPr>
            </w:pPr>
            <w:r w:rsidRPr="00735ABB">
              <w:t>Access must be provided to appropriate learning and/or assessment support when required. Where ap</w:t>
            </w:r>
            <w:r w:rsidRPr="00735ABB">
              <w:t>plicable, physical resources should include equipment modified for people with disabilities.</w:t>
            </w:r>
          </w:p>
        </w:tc>
      </w:tr>
      <w:tr w:rsidTr="00793B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ABB">
            <w:pPr>
              <w:pStyle w:val="BodyText"/>
              <w:rPr>
                <w:lang w:val="en-NZ"/>
              </w:rPr>
            </w:pPr>
            <w:r w:rsidRPr="00735AB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ABB" w:rsidP="00735ABB">
            <w:pPr>
              <w:pStyle w:val="ListBullet"/>
            </w:pPr>
            <w:r w:rsidRPr="00735ABB">
              <w:t>Assessment must satisfy the endorsed Assessment Guidelines of the MEM05 Metal and Engineering Training Package.</w:t>
            </w:r>
          </w:p>
          <w:p w:rsidR="00000000" w:rsidRPr="00735ABB" w:rsidP="00735ABB">
            <w:pPr>
              <w:pStyle w:val="ListBullet"/>
            </w:pPr>
            <w:r w:rsidRPr="00735ABB">
              <w:t>Assessment methods must confi</w:t>
            </w:r>
            <w:r w:rsidRPr="00735ABB">
              <w:t>rm consistency and accuracy of performance (over time and in a range of workplace relevant contexts) together with application of underpinning knowledge.</w:t>
            </w:r>
          </w:p>
          <w:p w:rsidR="00000000" w:rsidRPr="00735ABB" w:rsidP="00735ABB">
            <w:pPr>
              <w:pStyle w:val="ListBullet"/>
            </w:pPr>
            <w:r w:rsidRPr="00735ABB">
              <w:t>Assessment methods must be by direct observation of tasks and include questioning on underpinning know</w:t>
            </w:r>
            <w:r w:rsidRPr="00735ABB">
              <w:t>ledge to ensure its correct interpretation and application.</w:t>
            </w:r>
          </w:p>
          <w:p w:rsidR="00000000" w:rsidRPr="00735ABB" w:rsidP="00735ABB">
            <w:pPr>
              <w:pStyle w:val="ListBullet"/>
            </w:pPr>
            <w:r w:rsidRPr="00735ABB">
              <w:t>Assessment may be applied under project-related conditions (real or simulated) and require evidence of process.</w:t>
            </w:r>
          </w:p>
          <w:p w:rsidR="00000000" w:rsidRPr="00735ABB" w:rsidP="00735ABB">
            <w:pPr>
              <w:pStyle w:val="ListBullet"/>
            </w:pPr>
            <w:r w:rsidRPr="00735ABB">
              <w:t>Assessment must confirm a reasonable inference that competency is not only able to b</w:t>
            </w:r>
            <w:r w:rsidRPr="00735ABB">
              <w:t>e satisfied under the particular circumstance, but is able to be transferred to other circumstances.</w:t>
            </w:r>
          </w:p>
          <w:p w:rsidR="00000000" w:rsidP="00735ABB">
            <w:pPr>
              <w:pStyle w:val="ListBullet"/>
              <w:rPr>
                <w:lang w:val="en-NZ"/>
              </w:rPr>
            </w:pPr>
            <w:r w:rsidRPr="00735ABB">
              <w:t>Assessment may be in conjunction with assessment of other units of competency where required.</w:t>
            </w:r>
          </w:p>
        </w:tc>
      </w:tr>
      <w:tr w:rsidTr="00793B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ABB">
            <w:pPr>
              <w:pStyle w:val="BodyText"/>
              <w:rPr>
                <w:lang w:val="en-NZ"/>
              </w:rPr>
            </w:pPr>
            <w:r w:rsidRPr="00735AB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ABB" w:rsidP="00735ABB">
            <w:pPr>
              <w:pStyle w:val="BodyText"/>
            </w:pPr>
            <w:r w:rsidRPr="00735ABB">
              <w:t>Assessment processes and</w:t>
            </w:r>
            <w:r w:rsidRPr="00735ABB">
              <w:t xml:space="preserve"> techniques must be culturally appropriate and appropriate to the language and literacy capacity of the candidate and the work being performed.</w:t>
            </w:r>
          </w:p>
        </w:tc>
      </w:tr>
    </w:tbl>
    <w:p w:rsidR="00793B27" w:rsidP="00735ABB">
      <w:pPr>
        <w:pStyle w:val="BodyText"/>
      </w:pPr>
    </w:p>
    <w:p w:rsidR="00793B27" w:rsidP="00735ABB">
      <w:pPr>
        <w:pStyle w:val="BodyText"/>
      </w:pPr>
    </w:p>
    <w:p w:rsidR="00000000" w:rsidRPr="00735ABB" w:rsidP="00735ABB">
      <w:pPr>
        <w:pStyle w:val="Heading1"/>
      </w:pPr>
      <w:bookmarkStart w:id="11" w:name="O_253033"/>
      <w:bookmarkEnd w:id="11"/>
      <w:r w:rsidRPr="00735ABB">
        <w:t>Range Statement</w:t>
      </w:r>
    </w:p>
    <w:tbl>
      <w:tblPr>
        <w:tblW w:w="0" w:type="auto"/>
        <w:tblLayout w:type="fixed"/>
        <w:tblCellMar>
          <w:left w:w="62" w:type="dxa"/>
          <w:right w:w="62" w:type="dxa"/>
        </w:tblCellMar>
        <w:tblLook w:val="0000"/>
      </w:tblPr>
      <w:tblGrid>
        <w:gridCol w:w="3433"/>
        <w:gridCol w:w="5089"/>
      </w:tblGrid>
      <w:tr w:rsidTr="00793B2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ABB">
            <w:pPr>
              <w:pStyle w:val="BodyText"/>
              <w:rPr>
                <w:lang w:val="en-NZ"/>
              </w:rPr>
            </w:pPr>
            <w:r w:rsidRPr="00735ABB">
              <w:rPr>
                <w:rStyle w:val="SpecialBold"/>
              </w:rPr>
              <w:t>RANGE STATEMENT</w:t>
            </w:r>
          </w:p>
        </w:tc>
      </w:tr>
      <w:tr w:rsidTr="00793B2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ABB">
            <w:pPr>
              <w:pStyle w:val="BodyText"/>
              <w:rPr>
                <w:lang w:val="en-NZ"/>
              </w:rPr>
            </w:pPr>
            <w:r w:rsidRPr="00735ABB">
              <w:t>The range statement relates to the unit of competency as a whole. It allows for different work environments and situations that may affect performance. Bold italicised wording, if used in the performance criteria, is detailed below. Essential operating con</w:t>
            </w:r>
            <w:r w:rsidRPr="00735ABB">
              <w:t>ditions that may be present with training and assessment (depending on the work situation, needs of the candidate, accessibility of the item, and local industry and regional contexts) may also be included.</w:t>
            </w:r>
          </w:p>
        </w:tc>
      </w:tr>
      <w:tr w:rsidTr="00793B27">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ABB">
            <w:pPr>
              <w:pStyle w:val="BodyText"/>
              <w:rPr>
                <w:lang w:val="en-NZ"/>
              </w:rPr>
            </w:pPr>
            <w:r w:rsidRPr="00735ABB">
              <w:rPr>
                <w:rStyle w:val="SpecialBold"/>
              </w:rPr>
              <w:t>Watch type</w:t>
            </w:r>
            <w:r w:rsidRPr="00735ABB">
              <w:t xml:space="preserve">, </w:t>
            </w:r>
            <w:r w:rsidRPr="00735ABB">
              <w:rPr>
                <w:rStyle w:val="SpecialBold"/>
              </w:rPr>
              <w:t>calendar construction and dial indication components</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ABB" w:rsidP="00735ABB">
            <w:pPr>
              <w:pStyle w:val="BodyText"/>
            </w:pPr>
            <w:r w:rsidRPr="00735ABB">
              <w:t>Watch type, calendar construction and dial indication components may include:</w:t>
            </w:r>
          </w:p>
          <w:p w:rsidR="00000000" w:rsidRPr="00735ABB" w:rsidP="00735ABB">
            <w:pPr>
              <w:pStyle w:val="ListBullet"/>
            </w:pPr>
            <w:r w:rsidRPr="00735ABB">
              <w:t>date indications:</w:t>
            </w:r>
          </w:p>
          <w:p w:rsidR="00000000" w:rsidRPr="00735ABB" w:rsidP="00735ABB">
            <w:pPr>
              <w:pStyle w:val="ListBullet2"/>
            </w:pPr>
            <w:r w:rsidRPr="00735ABB">
              <w:t>day/date</w:t>
            </w:r>
          </w:p>
          <w:p w:rsidR="00000000" w:rsidRPr="00735ABB" w:rsidP="00735ABB">
            <w:pPr>
              <w:pStyle w:val="ListBullet2"/>
            </w:pPr>
            <w:r w:rsidRPr="00735ABB">
              <w:t>day/date/month</w:t>
            </w:r>
          </w:p>
          <w:p w:rsidR="00000000" w:rsidRPr="00735ABB" w:rsidP="00735ABB">
            <w:pPr>
              <w:pStyle w:val="ListBullet"/>
            </w:pPr>
            <w:r w:rsidRPr="00735ABB">
              <w:t>moon phase and year indicators</w:t>
            </w:r>
          </w:p>
          <w:p w:rsidR="00000000" w:rsidRPr="00735ABB" w:rsidP="00735ABB">
            <w:pPr>
              <w:pStyle w:val="ListBullet"/>
            </w:pPr>
            <w:r w:rsidRPr="00735ABB">
              <w:t>annual calendar</w:t>
            </w:r>
          </w:p>
          <w:p w:rsidR="00000000" w:rsidRPr="00735ABB" w:rsidP="00735ABB">
            <w:pPr>
              <w:pStyle w:val="ListBullet"/>
            </w:pPr>
            <w:r w:rsidRPr="00735ABB">
              <w:t>perpetual calendar</w:t>
            </w:r>
          </w:p>
          <w:p w:rsidR="00000000" w:rsidRPr="00735ABB" w:rsidP="00735ABB">
            <w:pPr>
              <w:pStyle w:val="ListBullet"/>
            </w:pPr>
            <w:r w:rsidRPr="00735ABB">
              <w:t>power reserve in</w:t>
            </w:r>
            <w:r w:rsidRPr="00735ABB">
              <w:t>dicator</w:t>
            </w:r>
          </w:p>
          <w:p w:rsidR="00000000" w:rsidP="00735ABB">
            <w:pPr>
              <w:pStyle w:val="ListBullet"/>
              <w:rPr>
                <w:lang w:val="en-NZ"/>
              </w:rPr>
            </w:pPr>
            <w:r w:rsidRPr="00735ABB">
              <w:t>equation of time</w:t>
            </w:r>
          </w:p>
        </w:tc>
      </w:tr>
      <w:tr w:rsidTr="00793B27">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ABB">
            <w:pPr>
              <w:pStyle w:val="BodyText"/>
              <w:rPr>
                <w:lang w:val="en-NZ"/>
              </w:rPr>
            </w:pPr>
            <w:r w:rsidRPr="00735ABB">
              <w:rPr>
                <w:rStyle w:val="SpecialBold"/>
              </w:rPr>
              <w:t>Record and document repair</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ABB" w:rsidP="00735ABB">
            <w:pPr>
              <w:pStyle w:val="BodyText"/>
            </w:pPr>
            <w:r w:rsidRPr="00735ABB">
              <w:t>Record and document repair may include:</w:t>
            </w:r>
          </w:p>
          <w:p w:rsidR="00000000" w:rsidRPr="00735ABB" w:rsidP="00735ABB">
            <w:pPr>
              <w:pStyle w:val="ListBullet"/>
            </w:pPr>
            <w:r w:rsidRPr="00735ABB">
              <w:t>date and extent of repair</w:t>
            </w:r>
          </w:p>
          <w:p w:rsidR="00000000" w:rsidRPr="00735ABB" w:rsidP="00735ABB">
            <w:pPr>
              <w:pStyle w:val="ListBullet"/>
            </w:pPr>
            <w:r w:rsidRPr="00735ABB">
              <w:t>cost of replacement part</w:t>
            </w:r>
          </w:p>
          <w:p w:rsidR="00000000" w:rsidP="00735ABB">
            <w:pPr>
              <w:pStyle w:val="ListBullet"/>
              <w:rPr>
                <w:lang w:val="en-NZ"/>
              </w:rPr>
            </w:pPr>
            <w:r w:rsidRPr="00735ABB">
              <w:t xml:space="preserve">time spent on procedure </w:t>
            </w:r>
          </w:p>
        </w:tc>
      </w:tr>
      <w:tr w:rsidTr="00793B27">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ABB">
            <w:pPr>
              <w:pStyle w:val="BodyText"/>
              <w:rPr>
                <w:lang w:val="en-NZ"/>
              </w:rPr>
            </w:pPr>
            <w:r w:rsidRPr="00735ABB">
              <w:rPr>
                <w:rStyle w:val="SpecialBold"/>
              </w:rPr>
              <w:t>Workshop tools and equipment</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ABB" w:rsidP="00735ABB">
            <w:pPr>
              <w:pStyle w:val="BodyText"/>
            </w:pPr>
            <w:r w:rsidRPr="00735ABB">
              <w:t>Workshop tools and equipment may include:</w:t>
            </w:r>
          </w:p>
          <w:p w:rsidR="00000000" w:rsidRPr="00735ABB" w:rsidP="00735ABB">
            <w:pPr>
              <w:pStyle w:val="ListBullet"/>
            </w:pPr>
            <w:r w:rsidRPr="00735ABB">
              <w:t>hand tools (e.g. tweezers, screwdrivers and eyeglasses)</w:t>
            </w:r>
          </w:p>
          <w:p w:rsidR="00000000" w:rsidP="00735ABB">
            <w:pPr>
              <w:pStyle w:val="ListBullet"/>
              <w:rPr>
                <w:lang w:val="en-NZ"/>
              </w:rPr>
            </w:pPr>
            <w:r w:rsidRPr="00735ABB">
              <w:t>hand fitting pushers, stakes and presses</w:t>
            </w:r>
          </w:p>
        </w:tc>
      </w:tr>
      <w:tr w:rsidTr="00793B27">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ABB">
            <w:pPr>
              <w:pStyle w:val="BodyText"/>
              <w:rPr>
                <w:lang w:val="en-NZ"/>
              </w:rPr>
            </w:pPr>
            <w:r w:rsidRPr="00735ABB">
              <w:rPr>
                <w:rStyle w:val="SpecialBold"/>
              </w:rPr>
              <w:t>Calendar and dial indications drive mechanism</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ABB" w:rsidP="00735ABB">
            <w:pPr>
              <w:pStyle w:val="BodyText"/>
            </w:pPr>
            <w:r w:rsidRPr="00735ABB">
              <w:t>Calendar and dial indications drive mechanism may include:</w:t>
            </w:r>
          </w:p>
          <w:p w:rsidR="00000000" w:rsidRPr="00735ABB" w:rsidP="00735ABB">
            <w:pPr>
              <w:pStyle w:val="ListBullet"/>
            </w:pPr>
            <w:r w:rsidRPr="00735ABB">
              <w:t xml:space="preserve">creeping </w:t>
            </w:r>
          </w:p>
          <w:p w:rsidR="00000000" w:rsidRPr="00735ABB" w:rsidP="00735ABB">
            <w:pPr>
              <w:pStyle w:val="ListBullet"/>
            </w:pPr>
            <w:r w:rsidRPr="00735ABB">
              <w:t>semi-instantaneous</w:t>
            </w:r>
          </w:p>
          <w:p w:rsidR="00000000" w:rsidRPr="00735ABB" w:rsidP="00735ABB">
            <w:pPr>
              <w:pStyle w:val="ListBullet"/>
            </w:pPr>
            <w:r w:rsidRPr="00735ABB">
              <w:t>instantaneous</w:t>
            </w:r>
          </w:p>
          <w:p w:rsidR="00000000" w:rsidRPr="00735ABB" w:rsidP="00735ABB">
            <w:pPr>
              <w:pStyle w:val="ListBullet"/>
            </w:pPr>
            <w:r w:rsidRPr="00735ABB">
              <w:t>retrograde</w:t>
            </w:r>
          </w:p>
          <w:p w:rsidR="00000000" w:rsidP="00735ABB">
            <w:pPr>
              <w:pStyle w:val="ListBullet"/>
              <w:rPr>
                <w:lang w:val="en-NZ"/>
              </w:rPr>
            </w:pPr>
            <w:r w:rsidRPr="00735ABB">
              <w:t>rapid corrector</w:t>
            </w:r>
          </w:p>
        </w:tc>
      </w:tr>
      <w:tr w:rsidTr="00793B27">
        <w:tblPrEx>
          <w:tblW w:w="0" w:type="auto"/>
          <w:tblLayout w:type="fixed"/>
          <w:tblCellMar>
            <w:left w:w="62" w:type="dxa"/>
            <w:right w:w="62" w:type="dxa"/>
          </w:tblCellMar>
          <w:tblLook w:val="0000"/>
        </w:tblPrEx>
        <w:tc>
          <w:tcPr>
            <w:tcW w:w="34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ABB">
            <w:pPr>
              <w:pStyle w:val="BodyText"/>
              <w:rPr>
                <w:lang w:val="en-NZ"/>
              </w:rPr>
            </w:pPr>
            <w:r w:rsidRPr="00735ABB">
              <w:rPr>
                <w:rStyle w:val="SpecialBold"/>
              </w:rPr>
              <w:t>Correct fitting and functions</w:t>
            </w:r>
          </w:p>
        </w:tc>
        <w:tc>
          <w:tcPr>
            <w:tcW w:w="5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ABB" w:rsidP="00735ABB">
            <w:pPr>
              <w:pStyle w:val="BodyText"/>
            </w:pPr>
            <w:r w:rsidRPr="00735ABB">
              <w:t>Correct fitting and functions may include:</w:t>
            </w:r>
          </w:p>
          <w:p w:rsidR="00000000" w:rsidRPr="00735ABB" w:rsidP="00735ABB">
            <w:pPr>
              <w:pStyle w:val="ListBullet"/>
            </w:pPr>
            <w:r w:rsidRPr="00735ABB">
              <w:t>end shake of components</w:t>
            </w:r>
          </w:p>
          <w:p w:rsidR="00000000" w:rsidRPr="00735ABB" w:rsidP="00735ABB">
            <w:pPr>
              <w:pStyle w:val="ListBullet"/>
            </w:pPr>
            <w:r w:rsidRPr="00735ABB">
              <w:t>clearances of moving parts</w:t>
            </w:r>
          </w:p>
          <w:p w:rsidR="00000000" w:rsidRPr="00735ABB" w:rsidP="00735ABB">
            <w:pPr>
              <w:pStyle w:val="ListBullet"/>
            </w:pPr>
            <w:r w:rsidRPr="00735ABB">
              <w:t>penetrations of calendar drive wheel mechanism, finger</w:t>
            </w:r>
          </w:p>
          <w:p w:rsidR="00000000" w:rsidRPr="00735ABB" w:rsidP="00735ABB">
            <w:pPr>
              <w:pStyle w:val="ListBullet"/>
            </w:pPr>
            <w:r w:rsidRPr="00735ABB">
              <w:t xml:space="preserve">spaces </w:t>
            </w:r>
          </w:p>
          <w:p w:rsidR="00000000" w:rsidRPr="00735ABB" w:rsidP="00735ABB">
            <w:pPr>
              <w:pStyle w:val="ListBullet"/>
            </w:pPr>
            <w:r w:rsidRPr="00735ABB">
              <w:t xml:space="preserve">safety features </w:t>
            </w:r>
          </w:p>
          <w:p w:rsidR="00000000" w:rsidRPr="00735ABB" w:rsidP="00735ABB">
            <w:pPr>
              <w:pStyle w:val="ListBullet"/>
            </w:pPr>
            <w:r w:rsidRPr="00735ABB">
              <w:t xml:space="preserve">calendar change operation at midnight </w:t>
            </w:r>
          </w:p>
          <w:p w:rsidR="00000000" w:rsidRPr="00735ABB" w:rsidP="00735ABB">
            <w:pPr>
              <w:pStyle w:val="ListBullet"/>
            </w:pPr>
            <w:r w:rsidRPr="00735ABB">
              <w:t xml:space="preserve">calendar action </w:t>
            </w:r>
          </w:p>
          <w:p w:rsidR="00000000" w:rsidRPr="00735ABB" w:rsidP="00735ABB">
            <w:pPr>
              <w:pStyle w:val="ListBullet"/>
            </w:pPr>
            <w:r w:rsidRPr="00735ABB">
              <w:t>rapid corrector engagement and operation</w:t>
            </w:r>
          </w:p>
          <w:p w:rsidR="00000000" w:rsidRPr="00735ABB" w:rsidP="00735ABB">
            <w:pPr>
              <w:pStyle w:val="ListBullet"/>
            </w:pPr>
            <w:r w:rsidRPr="00735ABB">
              <w:t xml:space="preserve">calendar day and date mechanisms </w:t>
            </w:r>
          </w:p>
        </w:tc>
      </w:tr>
    </w:tbl>
    <w:p w:rsidR="00793B27" w:rsidP="00735ABB">
      <w:pPr>
        <w:pStyle w:val="BodyText"/>
      </w:pPr>
    </w:p>
    <w:p w:rsidR="00793B27" w:rsidP="00735ABB">
      <w:pPr>
        <w:pStyle w:val="BodyText"/>
      </w:pPr>
    </w:p>
    <w:p w:rsidR="00000000" w:rsidRPr="00735ABB" w:rsidP="00735ABB">
      <w:pPr>
        <w:pStyle w:val="Heading1"/>
      </w:pPr>
      <w:bookmarkStart w:id="12" w:name="O_212915"/>
      <w:bookmarkEnd w:id="12"/>
      <w:r w:rsidRPr="00735ABB">
        <w:t>Unit Sector(s)</w:t>
      </w:r>
    </w:p>
    <w:tbl>
      <w:tblPr>
        <w:tblW w:w="0" w:type="auto"/>
        <w:tblLayout w:type="fixed"/>
        <w:tblCellMar>
          <w:left w:w="62" w:type="dxa"/>
          <w:right w:w="62" w:type="dxa"/>
        </w:tblCellMar>
        <w:tblLook w:val="0000"/>
      </w:tblPr>
      <w:tblGrid>
        <w:gridCol w:w="2614"/>
        <w:gridCol w:w="5908"/>
      </w:tblGrid>
      <w:tr w:rsidTr="00793B27">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ABB">
            <w:pPr>
              <w:pStyle w:val="BodyText"/>
              <w:rPr>
                <w:lang w:val="en-NZ"/>
              </w:rPr>
            </w:pPr>
            <w:r w:rsidRPr="00735ABB">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ABB" w:rsidP="00735ABB">
            <w:pPr>
              <w:pStyle w:val="BodyText"/>
            </w:pPr>
            <w:r w:rsidRPr="00735ABB">
              <w:t>Horology</w:t>
            </w:r>
          </w:p>
        </w:tc>
      </w:tr>
    </w:tbl>
    <w:p w:rsidR="00793B27" w:rsidP="00735ABB">
      <w:pPr>
        <w:pStyle w:val="BodyText"/>
      </w:pPr>
    </w:p>
    <w:p w:rsidR="00793B27" w:rsidP="00735ABB">
      <w:pPr>
        <w:pStyle w:val="BodyText"/>
      </w:pPr>
    </w:p>
    <w:p w:rsidR="00000000" w:rsidRPr="00735ABB" w:rsidP="00735ABB">
      <w:pPr>
        <w:pStyle w:val="Heading1"/>
      </w:pPr>
      <w:bookmarkStart w:id="13" w:name="O_212912"/>
      <w:bookmarkEnd w:id="13"/>
      <w:r w:rsidRPr="00735ABB">
        <w:t>Co-requisite units</w:t>
      </w:r>
    </w:p>
    <w:tbl>
      <w:tblPr>
        <w:tblW w:w="0" w:type="auto"/>
        <w:tblLayout w:type="fixed"/>
        <w:tblCellMar>
          <w:left w:w="62" w:type="dxa"/>
          <w:right w:w="62" w:type="dxa"/>
        </w:tblCellMar>
        <w:tblLook w:val="0000"/>
      </w:tblPr>
      <w:tblGrid>
        <w:gridCol w:w="2641"/>
        <w:gridCol w:w="1322"/>
        <w:gridCol w:w="4559"/>
      </w:tblGrid>
      <w:tr w:rsidTr="00793B2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ABB">
            <w:pPr>
              <w:pStyle w:val="BodyText"/>
              <w:rPr>
                <w:lang w:val="en-NZ"/>
              </w:rPr>
            </w:pPr>
            <w:r w:rsidRPr="00735AB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ABB">
            <w:pPr>
              <w:pStyle w:val="BodyText"/>
              <w:rPr>
                <w:lang w:val="en-NZ"/>
              </w:rPr>
            </w:pPr>
          </w:p>
        </w:tc>
      </w:tr>
      <w:tr w:rsidTr="00793B2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ABB">
            <w:pPr>
              <w:pStyle w:val="BodyText"/>
              <w:rPr>
                <w:lang w:val="en-NZ"/>
              </w:rPr>
            </w:pPr>
          </w:p>
        </w:tc>
      </w:tr>
      <w:tr w:rsidTr="00793B2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ABB" w:rsidP="00735ABB">
            <w:pPr>
              <w:pStyle w:val="BodyText"/>
            </w:pPr>
          </w:p>
        </w:tc>
      </w:tr>
    </w:tbl>
    <w:p w:rsidR="00793B27" w:rsidP="00735ABB">
      <w:pPr>
        <w:pStyle w:val="BodyText"/>
      </w:pPr>
    </w:p>
    <w:p w:rsidR="00793B27" w:rsidP="00735ABB">
      <w:pPr>
        <w:pStyle w:val="BodyText"/>
      </w:pPr>
    </w:p>
    <w:p w:rsidR="00000000" w:rsidRPr="00735ABB" w:rsidP="00735ABB">
      <w:pPr>
        <w:pStyle w:val="Heading1"/>
      </w:pPr>
      <w:bookmarkStart w:id="14" w:name="O_212914"/>
      <w:bookmarkEnd w:id="14"/>
      <w:r w:rsidRPr="00735ABB">
        <w:t>Competency field</w:t>
      </w:r>
    </w:p>
    <w:tbl>
      <w:tblPr>
        <w:tblW w:w="0" w:type="auto"/>
        <w:tblLayout w:type="fixed"/>
        <w:tblCellMar>
          <w:left w:w="62" w:type="dxa"/>
          <w:right w:w="62" w:type="dxa"/>
        </w:tblCellMar>
        <w:tblLook w:val="0000"/>
      </w:tblPr>
      <w:tblGrid>
        <w:gridCol w:w="2784"/>
        <w:gridCol w:w="5738"/>
      </w:tblGrid>
      <w:tr w:rsidTr="00793B2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5ABB">
            <w:pPr>
              <w:pStyle w:val="BodyText"/>
              <w:rPr>
                <w:lang w:val="en-NZ"/>
              </w:rPr>
            </w:pPr>
            <w:r w:rsidRPr="00735AB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5ABB" w:rsidP="00735ABB">
            <w:pPr>
              <w:pStyle w:val="BodyText"/>
            </w:pPr>
          </w:p>
        </w:tc>
      </w:tr>
    </w:tbl>
    <w:p w:rsidR="00793B27" w:rsidP="00735ABB">
      <w:pPr>
        <w:pStyle w:val="BodyText"/>
      </w:pPr>
    </w:p>
    <w:p w:rsidR="00793B27" w:rsidP="00735ABB">
      <w:pPr>
        <w:pStyle w:val="BodyText"/>
      </w:pPr>
    </w:p>
    <w:p w:rsidR="00000000" w:rsidRPr="00735ABB" w:rsidP="00735ABB"/>
    <w:sectPr w:rsidSect="00735A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A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3B27" w:rsidP="00793B2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A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B27" w:rsidP="00735AB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93B27" w:rsidP="00735AB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93B27" w:rsidP="00735AB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A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ABB" w:rsidRPr="00793B27" w:rsidP="00793B2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5A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B27" w:rsidRPr="002D2AF8" w:rsidP="00735ABB">
    <w:pPr>
      <w:pStyle w:val="Header"/>
      <w:framePr w:wrap="around"/>
    </w:pPr>
    <w:r>
      <w:fldChar w:fldCharType="begin"/>
    </w:r>
    <w:r>
      <w:instrText xml:space="preserve"> TITLE   \* MERGEFORMAT </w:instrText>
    </w:r>
    <w:r>
      <w:fldChar w:fldCharType="separate"/>
    </w:r>
    <w:r>
      <w:t>MEM21011A Service calendar and other dial indication mechanisms for watches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793B27" w:rsidP="00735A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E6AE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1EDE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6665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5A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5ABB"/>
    <w:pPr>
      <w:spacing w:before="360" w:after="60"/>
      <w:outlineLvl w:val="0"/>
    </w:pPr>
    <w:rPr>
      <w:sz w:val="32"/>
    </w:rPr>
  </w:style>
  <w:style w:type="paragraph" w:styleId="Heading2">
    <w:name w:val="heading 2"/>
    <w:basedOn w:val="HeadingBase"/>
    <w:next w:val="BodyText"/>
    <w:link w:val="Heading2Char"/>
    <w:qFormat/>
    <w:rsid w:val="00735ABB"/>
    <w:pPr>
      <w:keepLines/>
      <w:spacing w:before="240" w:after="120"/>
      <w:outlineLvl w:val="1"/>
    </w:pPr>
    <w:rPr>
      <w:sz w:val="28"/>
      <w:szCs w:val="40"/>
    </w:rPr>
  </w:style>
  <w:style w:type="paragraph" w:styleId="Heading3">
    <w:name w:val="heading 3"/>
    <w:basedOn w:val="HeadingBase"/>
    <w:next w:val="BodyText"/>
    <w:link w:val="Heading3Char"/>
    <w:qFormat/>
    <w:rsid w:val="00735ABB"/>
    <w:pPr>
      <w:spacing w:before="180" w:after="120"/>
      <w:outlineLvl w:val="2"/>
    </w:pPr>
    <w:rPr>
      <w:spacing w:val="-10"/>
      <w:kern w:val="32"/>
    </w:rPr>
  </w:style>
  <w:style w:type="paragraph" w:styleId="Heading4">
    <w:name w:val="heading 4"/>
    <w:basedOn w:val="HeadingBase"/>
    <w:next w:val="BodyText"/>
    <w:link w:val="Heading4Char"/>
    <w:qFormat/>
    <w:rsid w:val="00735ABB"/>
    <w:pPr>
      <w:spacing w:before="160" w:after="120"/>
      <w:outlineLvl w:val="3"/>
    </w:pPr>
    <w:rPr>
      <w:sz w:val="22"/>
    </w:rPr>
  </w:style>
  <w:style w:type="paragraph" w:styleId="Heading5">
    <w:name w:val="heading 5"/>
    <w:basedOn w:val="HeadingBase"/>
    <w:next w:val="Normal"/>
    <w:link w:val="Heading5Char"/>
    <w:qFormat/>
    <w:rsid w:val="00735ABB"/>
    <w:pPr>
      <w:spacing w:before="80"/>
      <w:outlineLvl w:val="4"/>
    </w:pPr>
    <w:rPr>
      <w:color w:val="918585"/>
      <w:sz w:val="20"/>
    </w:rPr>
  </w:style>
  <w:style w:type="paragraph" w:styleId="Heading6">
    <w:name w:val="heading 6"/>
    <w:basedOn w:val="HeadingBase"/>
    <w:next w:val="Normal"/>
    <w:link w:val="Heading6Char"/>
    <w:qFormat/>
    <w:rsid w:val="00735ABB"/>
    <w:pPr>
      <w:spacing w:before="60"/>
      <w:outlineLvl w:val="5"/>
    </w:pPr>
    <w:rPr>
      <w:color w:val="918585"/>
      <w:sz w:val="20"/>
    </w:rPr>
  </w:style>
  <w:style w:type="paragraph" w:styleId="Heading7">
    <w:name w:val="heading 7"/>
    <w:basedOn w:val="Normal"/>
    <w:next w:val="Normal"/>
    <w:link w:val="Heading7Char"/>
    <w:qFormat/>
    <w:rsid w:val="00735ABB"/>
    <w:pPr>
      <w:ind w:left="720"/>
      <w:outlineLvl w:val="6"/>
    </w:pPr>
    <w:rPr>
      <w:i/>
    </w:rPr>
  </w:style>
  <w:style w:type="paragraph" w:styleId="Heading8">
    <w:name w:val="heading 8"/>
    <w:basedOn w:val="Normal"/>
    <w:next w:val="Normal"/>
    <w:link w:val="Heading8Char"/>
    <w:qFormat/>
    <w:rsid w:val="00735ABB"/>
    <w:pPr>
      <w:ind w:left="720"/>
      <w:outlineLvl w:val="7"/>
    </w:pPr>
    <w:rPr>
      <w:i/>
    </w:rPr>
  </w:style>
  <w:style w:type="paragraph" w:styleId="Heading9">
    <w:name w:val="heading 9"/>
    <w:basedOn w:val="Normal"/>
    <w:next w:val="Normal"/>
    <w:link w:val="Heading9Char"/>
    <w:qFormat/>
    <w:rsid w:val="00735ABB"/>
    <w:pPr>
      <w:ind w:left="720"/>
      <w:outlineLvl w:val="8"/>
    </w:pPr>
    <w:rPr>
      <w:i/>
    </w:rPr>
  </w:style>
  <w:style w:type="character" w:default="1" w:styleId="DefaultParagraphFont">
    <w:name w:val="Default Paragraph Font"/>
    <w:uiPriority w:val="1"/>
    <w:unhideWhenUsed/>
    <w:rsid w:val="00735A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5ABB"/>
  </w:style>
  <w:style w:type="character" w:customStyle="1" w:styleId="Heading1Char">
    <w:name w:val="Heading 1 Char"/>
    <w:basedOn w:val="DefaultParagraphFont"/>
    <w:link w:val="Heading1"/>
    <w:rsid w:val="00735ABB"/>
    <w:rPr>
      <w:rFonts w:ascii="Times New Roman" w:eastAsia="Times New Roman" w:hAnsi="Times New Roman" w:cs="Times New Roman"/>
      <w:b/>
      <w:sz w:val="32"/>
      <w:szCs w:val="20"/>
      <w:lang w:eastAsia="en-US"/>
    </w:rPr>
  </w:style>
  <w:style w:type="paragraph" w:styleId="BodyText">
    <w:name w:val="Body Text"/>
    <w:basedOn w:val="Normal"/>
    <w:link w:val="BodyTextChar"/>
    <w:rsid w:val="00735AB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35ABB"/>
    <w:rPr>
      <w:rFonts w:ascii="Times New Roman" w:eastAsia="Times New Roman" w:hAnsi="Times New Roman" w:cs="Times New Roman"/>
      <w:sz w:val="24"/>
      <w:lang w:eastAsia="en-US"/>
    </w:rPr>
  </w:style>
  <w:style w:type="paragraph" w:styleId="Footer">
    <w:name w:val="footer"/>
    <w:basedOn w:val="Normal"/>
    <w:link w:val="FooterChar"/>
    <w:rsid w:val="00735A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5ABB"/>
    <w:rPr>
      <w:rFonts w:ascii="Times New Roman" w:eastAsia="Times New Roman" w:hAnsi="Times New Roman" w:cs="Times New Roman"/>
      <w:sz w:val="16"/>
      <w:lang w:eastAsia="en-US"/>
    </w:rPr>
  </w:style>
  <w:style w:type="paragraph" w:styleId="List">
    <w:name w:val="List"/>
    <w:basedOn w:val="BodyText"/>
    <w:next w:val="BodyText"/>
    <w:rsid w:val="00735ABB"/>
    <w:pPr>
      <w:tabs>
        <w:tab w:val="left" w:pos="340"/>
      </w:tabs>
      <w:spacing w:before="60" w:after="60"/>
      <w:ind w:left="340" w:hanging="340"/>
    </w:pPr>
  </w:style>
  <w:style w:type="paragraph" w:styleId="ListBullet">
    <w:name w:val="List Bullet"/>
    <w:basedOn w:val="List"/>
    <w:rsid w:val="00735ABB"/>
    <w:pPr>
      <w:numPr>
        <w:numId w:val="13"/>
      </w:numPr>
      <w:tabs>
        <w:tab w:val="clear" w:pos="340"/>
      </w:tabs>
      <w:spacing w:before="40" w:after="40"/>
    </w:pPr>
  </w:style>
  <w:style w:type="character" w:customStyle="1" w:styleId="SpecialBold">
    <w:name w:val="Special Bold"/>
    <w:basedOn w:val="DefaultParagraphFont"/>
    <w:rsid w:val="00735ABB"/>
    <w:rPr>
      <w:b/>
      <w:spacing w:val="0"/>
    </w:rPr>
  </w:style>
  <w:style w:type="paragraph" w:styleId="ListBullet2">
    <w:name w:val="List Bullet 2"/>
    <w:basedOn w:val="List2"/>
    <w:rsid w:val="00735ABB"/>
    <w:pPr>
      <w:numPr>
        <w:numId w:val="14"/>
      </w:numPr>
      <w:tabs>
        <w:tab w:val="clear" w:pos="680"/>
      </w:tabs>
    </w:pPr>
  </w:style>
  <w:style w:type="paragraph" w:customStyle="1" w:styleId="SuperHeading">
    <w:name w:val="SuperHeading"/>
    <w:basedOn w:val="Normal"/>
    <w:rsid w:val="00735ABB"/>
    <w:pPr>
      <w:spacing w:before="240" w:after="120"/>
      <w:outlineLvl w:val="0"/>
    </w:pPr>
    <w:rPr>
      <w:rFonts w:ascii="Times New Roman" w:hAnsi="Times New Roman"/>
      <w:b/>
      <w:sz w:val="28"/>
    </w:rPr>
  </w:style>
  <w:style w:type="paragraph" w:customStyle="1" w:styleId="AllowPageBreak">
    <w:name w:val="AllowPageBreak"/>
    <w:rsid w:val="00735AB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35ABB"/>
    <w:pPr>
      <w:tabs>
        <w:tab w:val="left" w:pos="680"/>
      </w:tabs>
      <w:spacing w:before="60" w:after="60"/>
      <w:ind w:left="680" w:hanging="340"/>
    </w:pPr>
  </w:style>
  <w:style w:type="character" w:customStyle="1" w:styleId="Heading2Char">
    <w:name w:val="Heading 2 Char"/>
    <w:basedOn w:val="DefaultParagraphFont"/>
    <w:link w:val="Heading2"/>
    <w:rsid w:val="00735A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5A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5A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5A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5A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5A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5A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5ABB"/>
    <w:rPr>
      <w:rFonts w:ascii="Courier New" w:eastAsia="Times New Roman" w:hAnsi="Courier New" w:cs="Times New Roman"/>
      <w:i/>
      <w:szCs w:val="20"/>
      <w:lang w:eastAsia="en-US"/>
    </w:rPr>
  </w:style>
  <w:style w:type="paragraph" w:customStyle="1" w:styleId="HeadingBase">
    <w:name w:val="Heading Base"/>
    <w:rsid w:val="00735A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5ABB"/>
    <w:pPr>
      <w:tabs>
        <w:tab w:val="right" w:leader="dot" w:pos="9072"/>
      </w:tabs>
      <w:ind w:left="567"/>
    </w:pPr>
    <w:rPr>
      <w:szCs w:val="22"/>
    </w:rPr>
  </w:style>
  <w:style w:type="paragraph" w:customStyle="1" w:styleId="TOCBase">
    <w:name w:val="TOC Base"/>
    <w:rsid w:val="00735A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5ABB"/>
    <w:pPr>
      <w:tabs>
        <w:tab w:val="right" w:leader="dot" w:pos="9072"/>
      </w:tabs>
      <w:spacing w:before="40" w:after="40"/>
      <w:ind w:left="284"/>
    </w:pPr>
    <w:rPr>
      <w:rFonts w:ascii="Times New Roman" w:hAnsi="Times New Roman"/>
    </w:rPr>
  </w:style>
  <w:style w:type="paragraph" w:styleId="TOC1">
    <w:name w:val="toc 1"/>
    <w:basedOn w:val="TOCBase"/>
    <w:next w:val="Normal"/>
    <w:rsid w:val="00735AB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35ABB"/>
    <w:pPr>
      <w:spacing w:before="5040"/>
      <w:jc w:val="center"/>
    </w:pPr>
    <w:rPr>
      <w:sz w:val="48"/>
      <w:szCs w:val="72"/>
      <w:lang w:val="en-US"/>
    </w:rPr>
  </w:style>
  <w:style w:type="character" w:customStyle="1" w:styleId="TitleChar">
    <w:name w:val="Title Char"/>
    <w:basedOn w:val="DefaultParagraphFont"/>
    <w:link w:val="Title"/>
    <w:rsid w:val="00735A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5ABB"/>
    <w:pPr>
      <w:tabs>
        <w:tab w:val="left" w:pos="3600"/>
        <w:tab w:val="left" w:pos="3958"/>
      </w:tabs>
    </w:pPr>
  </w:style>
  <w:style w:type="paragraph" w:customStyle="1" w:styleId="Note">
    <w:name w:val="Note"/>
    <w:basedOn w:val="BodyText"/>
    <w:rsid w:val="00735A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5ABB"/>
    <w:pPr>
      <w:framePr w:wrap="auto" w:hAnchor="text" w:y="6049"/>
    </w:pPr>
    <w:rPr>
      <w:color w:val="000000"/>
      <w:sz w:val="40"/>
    </w:rPr>
  </w:style>
  <w:style w:type="paragraph" w:customStyle="1" w:styleId="TOCTitle">
    <w:name w:val="TOCTitle"/>
    <w:basedOn w:val="Heading1"/>
    <w:rsid w:val="00735ABB"/>
    <w:pPr>
      <w:spacing w:after="240"/>
      <w:jc w:val="center"/>
      <w:outlineLvl w:val="9"/>
    </w:pPr>
    <w:rPr>
      <w:caps/>
    </w:rPr>
  </w:style>
  <w:style w:type="paragraph" w:customStyle="1" w:styleId="Version">
    <w:name w:val="Version"/>
    <w:rsid w:val="00735A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5ABB"/>
    <w:pPr>
      <w:keepNext w:val="0"/>
      <w:tabs>
        <w:tab w:val="right" w:pos="4176"/>
      </w:tabs>
      <w:ind w:left="198" w:hanging="198"/>
    </w:pPr>
    <w:rPr>
      <w:rFonts w:ascii="Garamond" w:hAnsi="Garamond"/>
    </w:rPr>
  </w:style>
  <w:style w:type="paragraph" w:styleId="IndexHeading">
    <w:name w:val="index heading"/>
    <w:basedOn w:val="Normal"/>
    <w:next w:val="Index1"/>
    <w:semiHidden/>
    <w:rsid w:val="00735ABB"/>
    <w:pPr>
      <w:spacing w:before="120" w:after="120"/>
    </w:pPr>
    <w:rPr>
      <w:rFonts w:ascii="Arial" w:hAnsi="Arial"/>
      <w:b/>
      <w:color w:val="918585"/>
      <w:sz w:val="24"/>
    </w:rPr>
  </w:style>
  <w:style w:type="paragraph" w:styleId="Header">
    <w:name w:val="header"/>
    <w:basedOn w:val="Normal"/>
    <w:link w:val="HeaderChar"/>
    <w:rsid w:val="00735A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5ABB"/>
    <w:rPr>
      <w:rFonts w:ascii="Times New Roman" w:eastAsia="Times New Roman" w:hAnsi="Times New Roman" w:cs="Times New Roman"/>
      <w:sz w:val="16"/>
      <w:szCs w:val="20"/>
      <w:lang w:val="en-GB" w:eastAsia="en-US"/>
    </w:rPr>
  </w:style>
  <w:style w:type="paragraph" w:customStyle="1" w:styleId="Chapter">
    <w:name w:val="Chapter"/>
    <w:basedOn w:val="Normal"/>
    <w:rsid w:val="00735ABB"/>
    <w:pPr>
      <w:spacing w:before="240"/>
    </w:pPr>
    <w:rPr>
      <w:rFonts w:ascii="Times New Roman" w:hAnsi="Times New Roman"/>
      <w:smallCaps/>
      <w:spacing w:val="80"/>
      <w:sz w:val="28"/>
    </w:rPr>
  </w:style>
  <w:style w:type="paragraph" w:customStyle="1" w:styleId="InChapter">
    <w:name w:val="InChapter"/>
    <w:basedOn w:val="Heading3"/>
    <w:rsid w:val="00735ABB"/>
    <w:pPr>
      <w:spacing w:after="240"/>
      <w:outlineLvl w:val="9"/>
    </w:pPr>
    <w:rPr>
      <w:noProof/>
    </w:rPr>
  </w:style>
  <w:style w:type="paragraph" w:styleId="Index2">
    <w:name w:val="index 2"/>
    <w:basedOn w:val="Normal"/>
    <w:next w:val="Normal"/>
    <w:semiHidden/>
    <w:rsid w:val="00735ABB"/>
    <w:pPr>
      <w:tabs>
        <w:tab w:val="right" w:pos="4176"/>
      </w:tabs>
      <w:ind w:left="568" w:hanging="284"/>
    </w:pPr>
    <w:rPr>
      <w:rFonts w:ascii="Garamond" w:hAnsi="Garamond"/>
    </w:rPr>
  </w:style>
  <w:style w:type="paragraph" w:customStyle="1" w:styleId="Byline">
    <w:name w:val="Byline"/>
    <w:rsid w:val="00735A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5ABB"/>
    <w:pPr>
      <w:tabs>
        <w:tab w:val="clear" w:pos="3600"/>
        <w:tab w:val="clear" w:pos="3958"/>
      </w:tabs>
      <w:jc w:val="right"/>
    </w:pPr>
  </w:style>
  <w:style w:type="character" w:styleId="Emphasis">
    <w:name w:val="Emphasis"/>
    <w:basedOn w:val="DefaultParagraphFont"/>
    <w:qFormat/>
    <w:rsid w:val="00735ABB"/>
    <w:rPr>
      <w:i/>
    </w:rPr>
  </w:style>
  <w:style w:type="paragraph" w:styleId="Caption">
    <w:name w:val="caption"/>
    <w:basedOn w:val="BodyText"/>
    <w:next w:val="Normal"/>
    <w:qFormat/>
    <w:rsid w:val="00735ABB"/>
    <w:pPr>
      <w:framePr w:w="2268" w:hSpace="181" w:vSpace="181" w:wrap="around" w:vAnchor="text" w:hAnchor="page" w:x="1135" w:y="285" w:anchorLock="1"/>
    </w:pPr>
    <w:rPr>
      <w:i/>
    </w:rPr>
  </w:style>
  <w:style w:type="paragraph" w:customStyle="1" w:styleId="MiniTOCTitle">
    <w:name w:val="MiniTOCTitle"/>
    <w:basedOn w:val="Heading4"/>
    <w:rsid w:val="00735ABB"/>
    <w:pPr>
      <w:spacing w:before="240"/>
      <w:outlineLvl w:val="9"/>
    </w:pPr>
    <w:rPr>
      <w:noProof/>
      <w:sz w:val="24"/>
    </w:rPr>
  </w:style>
  <w:style w:type="paragraph" w:customStyle="1" w:styleId="MiniTOCItem">
    <w:name w:val="MiniTOCItem"/>
    <w:basedOn w:val="ListBullet"/>
    <w:rsid w:val="00735ABB"/>
    <w:pPr>
      <w:numPr>
        <w:numId w:val="0"/>
      </w:numPr>
      <w:tabs>
        <w:tab w:val="right" w:leader="dot" w:pos="6521"/>
      </w:tabs>
      <w:spacing w:before="0" w:after="0"/>
    </w:pPr>
  </w:style>
  <w:style w:type="paragraph" w:customStyle="1" w:styleId="TOFTitle">
    <w:name w:val="TOFTitle"/>
    <w:basedOn w:val="TOCTitle"/>
    <w:rsid w:val="00735ABB"/>
  </w:style>
  <w:style w:type="paragraph" w:styleId="TableofFigures">
    <w:name w:val="table of figures"/>
    <w:basedOn w:val="Normal"/>
    <w:next w:val="Normal"/>
    <w:semiHidden/>
    <w:rsid w:val="00735ABB"/>
    <w:pPr>
      <w:tabs>
        <w:tab w:val="right" w:leader="dot" w:pos="9072"/>
      </w:tabs>
      <w:ind w:left="970" w:hanging="403"/>
    </w:pPr>
    <w:rPr>
      <w:rFonts w:ascii="Times New Roman" w:hAnsi="Times New Roman"/>
      <w:b/>
    </w:rPr>
  </w:style>
  <w:style w:type="paragraph" w:styleId="ListNumber">
    <w:name w:val="List Number"/>
    <w:basedOn w:val="List"/>
    <w:rsid w:val="00735ABB"/>
    <w:pPr>
      <w:numPr>
        <w:numId w:val="11"/>
      </w:numPr>
    </w:pPr>
  </w:style>
  <w:style w:type="character" w:customStyle="1" w:styleId="WingdingSymbols">
    <w:name w:val="Wingding Symbols"/>
    <w:rsid w:val="00735ABB"/>
    <w:rPr>
      <w:rFonts w:ascii="Wingdings" w:hAnsi="Wingdings"/>
    </w:rPr>
  </w:style>
  <w:style w:type="paragraph" w:customStyle="1" w:styleId="TableHeading">
    <w:name w:val="Table Heading"/>
    <w:basedOn w:val="HeadingBase"/>
    <w:rsid w:val="00735ABB"/>
    <w:pPr>
      <w:keepLines/>
      <w:pBdr>
        <w:bottom w:val="single" w:sz="6" w:space="1" w:color="918585"/>
      </w:pBdr>
      <w:spacing w:before="240"/>
    </w:pPr>
  </w:style>
  <w:style w:type="character" w:customStyle="1" w:styleId="HotSpot">
    <w:name w:val="HotSpot"/>
    <w:rsid w:val="00735ABB"/>
    <w:rPr>
      <w:color w:val="0033CC"/>
      <w:u w:val="none"/>
    </w:rPr>
  </w:style>
  <w:style w:type="paragraph" w:customStyle="1" w:styleId="BodyTextRight">
    <w:name w:val="Body Text Right"/>
    <w:basedOn w:val="BodyText"/>
    <w:rsid w:val="00735ABB"/>
    <w:pPr>
      <w:spacing w:before="0" w:after="0"/>
      <w:jc w:val="right"/>
    </w:pPr>
  </w:style>
  <w:style w:type="paragraph" w:styleId="Index3">
    <w:name w:val="index 3"/>
    <w:basedOn w:val="ListNumber2"/>
    <w:next w:val="Normal"/>
    <w:semiHidden/>
    <w:rsid w:val="00735ABB"/>
    <w:pPr>
      <w:numPr>
        <w:numId w:val="0"/>
      </w:numPr>
      <w:tabs>
        <w:tab w:val="right" w:leader="dot" w:pos="4176"/>
      </w:tabs>
    </w:pPr>
  </w:style>
  <w:style w:type="paragraph" w:styleId="ListNumber2">
    <w:name w:val="List Number 2"/>
    <w:basedOn w:val="List2"/>
    <w:rsid w:val="00735ABB"/>
    <w:pPr>
      <w:numPr>
        <w:numId w:val="10"/>
      </w:numPr>
      <w:tabs>
        <w:tab w:val="clear" w:pos="1060"/>
      </w:tabs>
    </w:pPr>
  </w:style>
  <w:style w:type="paragraph" w:customStyle="1" w:styleId="MarginNote">
    <w:name w:val="Margin Note"/>
    <w:basedOn w:val="BodyText"/>
    <w:rsid w:val="00735A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5A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5A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5ABB"/>
    <w:rPr>
      <w:sz w:val="32"/>
    </w:rPr>
  </w:style>
  <w:style w:type="paragraph" w:customStyle="1" w:styleId="HeadingProcedure">
    <w:name w:val="Heading Procedure"/>
    <w:basedOn w:val="HeadingBase"/>
    <w:next w:val="Normal"/>
    <w:rsid w:val="00735ABB"/>
    <w:pPr>
      <w:tabs>
        <w:tab w:val="left" w:pos="0"/>
      </w:tabs>
      <w:spacing w:before="120" w:after="60"/>
    </w:pPr>
    <w:rPr>
      <w:i/>
      <w:color w:val="918585"/>
      <w:sz w:val="22"/>
    </w:rPr>
  </w:style>
  <w:style w:type="paragraph" w:customStyle="1" w:styleId="TableBodyText">
    <w:name w:val="Table Body Text"/>
    <w:basedOn w:val="BodyText"/>
    <w:rsid w:val="00735ABB"/>
    <w:pPr>
      <w:spacing w:before="60" w:after="60"/>
    </w:pPr>
  </w:style>
  <w:style w:type="paragraph" w:styleId="ListContinue">
    <w:name w:val="List Continue"/>
    <w:basedOn w:val="List"/>
    <w:rsid w:val="00735ABB"/>
    <w:pPr>
      <w:ind w:firstLine="0"/>
    </w:pPr>
  </w:style>
  <w:style w:type="paragraph" w:customStyle="1" w:styleId="ListNote">
    <w:name w:val="List Note"/>
    <w:basedOn w:val="List"/>
    <w:rsid w:val="00735ABB"/>
    <w:pPr>
      <w:pBdr>
        <w:top w:val="single" w:sz="6" w:space="2" w:color="918585"/>
        <w:bottom w:val="single" w:sz="6" w:space="2" w:color="918585"/>
      </w:pBdr>
      <w:tabs>
        <w:tab w:val="left" w:pos="1021"/>
      </w:tabs>
      <w:ind w:firstLine="0"/>
    </w:pPr>
  </w:style>
  <w:style w:type="paragraph" w:customStyle="1" w:styleId="Warning">
    <w:name w:val="Warning"/>
    <w:basedOn w:val="BodyText"/>
    <w:rsid w:val="00735ABB"/>
    <w:pPr>
      <w:shd w:val="clear" w:color="auto" w:fill="D9D9D9"/>
      <w:tabs>
        <w:tab w:val="left" w:pos="992"/>
      </w:tabs>
      <w:ind w:left="119" w:right="119"/>
    </w:pPr>
    <w:rPr>
      <w:sz w:val="20"/>
    </w:rPr>
  </w:style>
  <w:style w:type="paragraph" w:customStyle="1" w:styleId="MarginIcons">
    <w:name w:val="Margin Icons"/>
    <w:basedOn w:val="BodyText"/>
    <w:rsid w:val="00735A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5ABB"/>
    <w:rPr>
      <w:rFonts w:ascii="Courier New" w:hAnsi="Courier New"/>
    </w:rPr>
  </w:style>
  <w:style w:type="paragraph" w:customStyle="1" w:styleId="NoteBullet">
    <w:name w:val="Note Bullet"/>
    <w:basedOn w:val="Note"/>
    <w:rsid w:val="00735ABB"/>
    <w:pPr>
      <w:tabs>
        <w:tab w:val="clear" w:pos="680"/>
      </w:tabs>
      <w:spacing w:before="60" w:after="60"/>
    </w:pPr>
  </w:style>
  <w:style w:type="paragraph" w:customStyle="1" w:styleId="SubHeading2">
    <w:name w:val="SubHeading2"/>
    <w:basedOn w:val="HeadingBase"/>
    <w:rsid w:val="00735ABB"/>
    <w:pPr>
      <w:spacing w:before="240" w:after="60"/>
    </w:pPr>
    <w:rPr>
      <w:sz w:val="20"/>
    </w:rPr>
  </w:style>
  <w:style w:type="paragraph" w:customStyle="1" w:styleId="SubHeading1">
    <w:name w:val="SubHeading1"/>
    <w:basedOn w:val="HeadingBase"/>
    <w:rsid w:val="00735ABB"/>
    <w:pPr>
      <w:spacing w:before="240" w:after="60"/>
    </w:pPr>
    <w:rPr>
      <w:color w:val="918585"/>
      <w:sz w:val="22"/>
    </w:rPr>
  </w:style>
  <w:style w:type="paragraph" w:customStyle="1" w:styleId="SideHeading">
    <w:name w:val="Side Heading"/>
    <w:basedOn w:val="HeadingBase"/>
    <w:rsid w:val="00735A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5ABB"/>
    <w:pPr>
      <w:numPr>
        <w:numId w:val="12"/>
      </w:numPr>
    </w:pPr>
  </w:style>
  <w:style w:type="paragraph" w:styleId="PlainText">
    <w:name w:val="Plain Text"/>
    <w:basedOn w:val="Normal"/>
    <w:link w:val="PlainTextChar"/>
    <w:rsid w:val="00735ABB"/>
    <w:rPr>
      <w:sz w:val="20"/>
    </w:rPr>
  </w:style>
  <w:style w:type="character" w:customStyle="1" w:styleId="PlainTextChar">
    <w:name w:val="Plain Text Char"/>
    <w:basedOn w:val="DefaultParagraphFont"/>
    <w:link w:val="PlainText"/>
    <w:rsid w:val="00735ABB"/>
    <w:rPr>
      <w:rFonts w:ascii="Courier New" w:eastAsia="Times New Roman" w:hAnsi="Courier New" w:cs="Times New Roman"/>
      <w:sz w:val="20"/>
      <w:szCs w:val="20"/>
      <w:lang w:eastAsia="en-US"/>
    </w:rPr>
  </w:style>
  <w:style w:type="character" w:customStyle="1" w:styleId="MenuOption">
    <w:name w:val="Menu Option"/>
    <w:basedOn w:val="DefaultParagraphFont"/>
    <w:rsid w:val="00735ABB"/>
    <w:rPr>
      <w:b/>
      <w:smallCaps/>
    </w:rPr>
  </w:style>
  <w:style w:type="paragraph" w:customStyle="1" w:styleId="TableListNumber">
    <w:name w:val="Table List Number"/>
    <w:basedOn w:val="ListNumber"/>
    <w:rsid w:val="00735ABB"/>
    <w:pPr>
      <w:numPr>
        <w:numId w:val="0"/>
      </w:numPr>
    </w:pPr>
  </w:style>
  <w:style w:type="paragraph" w:styleId="TOC4">
    <w:name w:val="toc 4"/>
    <w:basedOn w:val="TOCBase"/>
    <w:next w:val="Normal"/>
    <w:semiHidden/>
    <w:rsid w:val="00735ABB"/>
    <w:pPr>
      <w:tabs>
        <w:tab w:val="right" w:leader="dot" w:pos="9071"/>
      </w:tabs>
      <w:ind w:left="1701"/>
    </w:pPr>
  </w:style>
  <w:style w:type="paragraph" w:customStyle="1" w:styleId="ListAlpha">
    <w:name w:val="List Alpha"/>
    <w:basedOn w:val="List"/>
    <w:rsid w:val="00735ABB"/>
    <w:pPr>
      <w:numPr>
        <w:numId w:val="9"/>
      </w:numPr>
    </w:pPr>
  </w:style>
  <w:style w:type="paragraph" w:customStyle="1" w:styleId="ListAlpha2">
    <w:name w:val="List Alpha 2"/>
    <w:basedOn w:val="List2"/>
    <w:rsid w:val="00735ABB"/>
    <w:pPr>
      <w:numPr>
        <w:numId w:val="8"/>
      </w:numPr>
    </w:pPr>
  </w:style>
  <w:style w:type="paragraph" w:styleId="List3">
    <w:name w:val="List 3"/>
    <w:basedOn w:val="BodyText"/>
    <w:rsid w:val="00735ABB"/>
    <w:pPr>
      <w:tabs>
        <w:tab w:val="left" w:pos="1021"/>
      </w:tabs>
      <w:spacing w:before="60" w:after="60"/>
      <w:ind w:left="1020" w:hanging="340"/>
    </w:pPr>
  </w:style>
  <w:style w:type="paragraph" w:styleId="List4">
    <w:name w:val="List 4"/>
    <w:basedOn w:val="BodyText"/>
    <w:rsid w:val="00735ABB"/>
    <w:pPr>
      <w:tabs>
        <w:tab w:val="left" w:pos="1361"/>
      </w:tabs>
      <w:spacing w:before="60" w:after="60"/>
      <w:ind w:left="1361" w:hanging="340"/>
    </w:pPr>
  </w:style>
  <w:style w:type="paragraph" w:styleId="List5">
    <w:name w:val="List 5"/>
    <w:basedOn w:val="BodyText"/>
    <w:rsid w:val="00735ABB"/>
    <w:pPr>
      <w:tabs>
        <w:tab w:val="left" w:pos="1701"/>
      </w:tabs>
      <w:spacing w:before="60" w:after="60"/>
      <w:ind w:left="1701" w:hanging="340"/>
    </w:pPr>
  </w:style>
  <w:style w:type="paragraph" w:styleId="ListBullet3">
    <w:name w:val="List Bullet 3"/>
    <w:basedOn w:val="List3"/>
    <w:rsid w:val="00735ABB"/>
    <w:pPr>
      <w:numPr>
        <w:numId w:val="15"/>
      </w:numPr>
      <w:tabs>
        <w:tab w:val="clear" w:pos="1021"/>
      </w:tabs>
      <w:ind w:left="1037" w:hanging="357"/>
    </w:pPr>
  </w:style>
  <w:style w:type="paragraph" w:styleId="ListBullet4">
    <w:name w:val="List Bullet 4"/>
    <w:basedOn w:val="List4"/>
    <w:rsid w:val="00735ABB"/>
    <w:pPr>
      <w:numPr>
        <w:numId w:val="3"/>
      </w:numPr>
    </w:pPr>
  </w:style>
  <w:style w:type="paragraph" w:styleId="ListBullet5">
    <w:name w:val="List Bullet 5"/>
    <w:basedOn w:val="List5"/>
    <w:rsid w:val="00735ABB"/>
    <w:pPr>
      <w:numPr>
        <w:numId w:val="4"/>
      </w:numPr>
    </w:pPr>
  </w:style>
  <w:style w:type="paragraph" w:styleId="ListContinue2">
    <w:name w:val="List Continue 2"/>
    <w:basedOn w:val="List2"/>
    <w:rsid w:val="00735ABB"/>
    <w:pPr>
      <w:ind w:firstLine="0"/>
    </w:pPr>
  </w:style>
  <w:style w:type="paragraph" w:styleId="ListContinue3">
    <w:name w:val="List Continue 3"/>
    <w:basedOn w:val="List3"/>
    <w:rsid w:val="00735ABB"/>
    <w:pPr>
      <w:ind w:left="1021" w:firstLine="0"/>
    </w:pPr>
  </w:style>
  <w:style w:type="paragraph" w:styleId="ListContinue4">
    <w:name w:val="List Continue 4"/>
    <w:basedOn w:val="List4"/>
    <w:rsid w:val="00735ABB"/>
    <w:pPr>
      <w:ind w:firstLine="0"/>
    </w:pPr>
  </w:style>
  <w:style w:type="paragraph" w:styleId="ListContinue5">
    <w:name w:val="List Continue 5"/>
    <w:basedOn w:val="List5"/>
    <w:rsid w:val="00735ABB"/>
    <w:pPr>
      <w:ind w:firstLine="0"/>
    </w:pPr>
  </w:style>
  <w:style w:type="paragraph" w:styleId="ListNumber3">
    <w:name w:val="List Number 3"/>
    <w:basedOn w:val="List3"/>
    <w:rsid w:val="00735ABB"/>
    <w:pPr>
      <w:numPr>
        <w:numId w:val="5"/>
      </w:numPr>
    </w:pPr>
  </w:style>
  <w:style w:type="paragraph" w:styleId="ListNumber4">
    <w:name w:val="List Number 4"/>
    <w:basedOn w:val="List4"/>
    <w:rsid w:val="00735ABB"/>
    <w:pPr>
      <w:numPr>
        <w:numId w:val="6"/>
      </w:numPr>
    </w:pPr>
  </w:style>
  <w:style w:type="paragraph" w:styleId="ListNumber5">
    <w:name w:val="List Number 5"/>
    <w:basedOn w:val="List5"/>
    <w:rsid w:val="00735ABB"/>
    <w:pPr>
      <w:numPr>
        <w:numId w:val="7"/>
      </w:numPr>
    </w:pPr>
  </w:style>
  <w:style w:type="paragraph" w:styleId="BlockText">
    <w:name w:val="Block Text"/>
    <w:basedOn w:val="Normal"/>
    <w:rsid w:val="00735ABB"/>
    <w:pPr>
      <w:spacing w:after="120"/>
      <w:ind w:left="1440" w:right="1440"/>
    </w:pPr>
  </w:style>
  <w:style w:type="character" w:customStyle="1" w:styleId="Subscript">
    <w:name w:val="Subscript"/>
    <w:basedOn w:val="DefaultParagraphFont"/>
    <w:rsid w:val="00735ABB"/>
    <w:rPr>
      <w:sz w:val="16"/>
      <w:vertAlign w:val="subscript"/>
    </w:rPr>
  </w:style>
  <w:style w:type="character" w:customStyle="1" w:styleId="Superscript">
    <w:name w:val="Superscript"/>
    <w:basedOn w:val="DefaultParagraphFont"/>
    <w:rsid w:val="00735ABB"/>
    <w:rPr>
      <w:sz w:val="16"/>
      <w:vertAlign w:val="superscript"/>
    </w:rPr>
  </w:style>
  <w:style w:type="character" w:customStyle="1" w:styleId="Symbols">
    <w:name w:val="Symbols"/>
    <w:basedOn w:val="DefaultParagraphFont"/>
    <w:rsid w:val="00735ABB"/>
    <w:rPr>
      <w:rFonts w:ascii="Symbol" w:hAnsi="Symbol"/>
    </w:rPr>
  </w:style>
  <w:style w:type="character" w:customStyle="1" w:styleId="MenuOptions">
    <w:name w:val="Menu Options"/>
    <w:basedOn w:val="DefaultParagraphFont"/>
    <w:rsid w:val="00735ABB"/>
    <w:rPr>
      <w:rFonts w:ascii="Arial Narrow" w:hAnsi="Arial Narrow"/>
      <w:smallCaps/>
    </w:rPr>
  </w:style>
  <w:style w:type="character" w:customStyle="1" w:styleId="Buttons">
    <w:name w:val="Buttons"/>
    <w:basedOn w:val="DefaultParagraphFont"/>
    <w:rsid w:val="00735ABB"/>
    <w:rPr>
      <w:b/>
    </w:rPr>
  </w:style>
  <w:style w:type="character" w:customStyle="1" w:styleId="Underlined">
    <w:name w:val="Underlined"/>
    <w:basedOn w:val="DefaultParagraphFont"/>
    <w:rsid w:val="00735ABB"/>
    <w:rPr>
      <w:u w:val="single"/>
    </w:rPr>
  </w:style>
  <w:style w:type="paragraph" w:customStyle="1" w:styleId="TableBodyTextRight">
    <w:name w:val="Table Body Text Right"/>
    <w:basedOn w:val="TableBodyText"/>
    <w:rsid w:val="00735ABB"/>
    <w:pPr>
      <w:widowControl w:val="0"/>
      <w:autoSpaceDE w:val="0"/>
      <w:autoSpaceDN w:val="0"/>
      <w:adjustRightInd w:val="0"/>
      <w:jc w:val="right"/>
    </w:pPr>
    <w:rPr>
      <w:rFonts w:cs="Arial"/>
      <w:szCs w:val="18"/>
    </w:rPr>
  </w:style>
  <w:style w:type="paragraph" w:customStyle="1" w:styleId="CopyrightText">
    <w:name w:val="Copyright Text"/>
    <w:basedOn w:val="BodyText"/>
    <w:rsid w:val="00735ABB"/>
    <w:rPr>
      <w:sz w:val="18"/>
    </w:rPr>
  </w:style>
  <w:style w:type="paragraph" w:customStyle="1" w:styleId="BodySmallRight">
    <w:name w:val="Body Small Right"/>
    <w:basedOn w:val="BodyTextRight"/>
    <w:rsid w:val="00735ABB"/>
    <w:rPr>
      <w:sz w:val="18"/>
      <w:szCs w:val="18"/>
    </w:rPr>
  </w:style>
  <w:style w:type="paragraph" w:customStyle="1" w:styleId="MarginEdition">
    <w:name w:val="Margin Edition"/>
    <w:basedOn w:val="MarginNote"/>
    <w:rsid w:val="00735ABB"/>
    <w:pPr>
      <w:spacing w:before="0" w:after="0"/>
    </w:pPr>
    <w:rPr>
      <w:rFonts w:ascii="Times New Roman" w:hAnsi="Times New Roman"/>
      <w:color w:val="999999"/>
    </w:rPr>
  </w:style>
  <w:style w:type="paragraph" w:customStyle="1" w:styleId="Spacer">
    <w:name w:val="Spacer"/>
    <w:basedOn w:val="Normal"/>
    <w:rsid w:val="00735ABB"/>
    <w:rPr>
      <w:sz w:val="2"/>
      <w:szCs w:val="2"/>
    </w:rPr>
  </w:style>
  <w:style w:type="character" w:customStyle="1" w:styleId="Small">
    <w:name w:val="Small"/>
    <w:basedOn w:val="DefaultParagraphFont"/>
    <w:rsid w:val="00735ABB"/>
    <w:rPr>
      <w:sz w:val="16"/>
    </w:rPr>
  </w:style>
  <w:style w:type="paragraph" w:customStyle="1" w:styleId="WideTable">
    <w:name w:val="Wide Table"/>
    <w:basedOn w:val="Normal"/>
    <w:rsid w:val="00735ABB"/>
    <w:pPr>
      <w:ind w:left="-1418"/>
    </w:pPr>
    <w:rPr>
      <w:sz w:val="2"/>
      <w:szCs w:val="2"/>
    </w:rPr>
  </w:style>
  <w:style w:type="character" w:styleId="PageNumber">
    <w:name w:val="page number"/>
    <w:basedOn w:val="DefaultParagraphFont"/>
    <w:rsid w:val="00735ABB"/>
  </w:style>
  <w:style w:type="paragraph" w:styleId="Quote">
    <w:name w:val="Quote"/>
    <w:basedOn w:val="Heading1"/>
    <w:link w:val="QuoteChar"/>
    <w:qFormat/>
    <w:rsid w:val="00735ABB"/>
    <w:rPr>
      <w:b w:val="0"/>
      <w:sz w:val="72"/>
      <w:szCs w:val="72"/>
      <w:lang w:val="en-NZ"/>
    </w:rPr>
  </w:style>
  <w:style w:type="character" w:customStyle="1" w:styleId="QuoteChar">
    <w:name w:val="Quote Char"/>
    <w:basedOn w:val="DefaultParagraphFont"/>
    <w:link w:val="Quote"/>
    <w:rsid w:val="00735A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5ABB"/>
    <w:pPr>
      <w:pageBreakBefore/>
    </w:pPr>
  </w:style>
  <w:style w:type="paragraph" w:customStyle="1" w:styleId="Border">
    <w:name w:val="Border"/>
    <w:basedOn w:val="Normal"/>
    <w:qFormat/>
    <w:rsid w:val="00735A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5ABB"/>
    <w:rPr>
      <w:b/>
      <w:bCs/>
      <w:i/>
      <w:iCs/>
      <w:color w:val="auto"/>
    </w:rPr>
  </w:style>
  <w:style w:type="paragraph" w:styleId="IntenseQuote">
    <w:name w:val="Intense Quote"/>
    <w:basedOn w:val="Normal"/>
    <w:next w:val="Normal"/>
    <w:link w:val="IntenseQuoteChar"/>
    <w:uiPriority w:val="30"/>
    <w:qFormat/>
    <w:rsid w:val="00735A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5A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5ABB"/>
    <w:rPr>
      <w:smallCaps/>
      <w:color w:val="auto"/>
      <w:u w:val="single"/>
    </w:rPr>
  </w:style>
  <w:style w:type="character" w:styleId="IntenseReference">
    <w:name w:val="Intense Reference"/>
    <w:basedOn w:val="DefaultParagraphFont"/>
    <w:uiPriority w:val="32"/>
    <w:qFormat/>
    <w:rsid w:val="00735ABB"/>
    <w:rPr>
      <w:b/>
      <w:bCs/>
      <w:smallCaps/>
      <w:color w:val="auto"/>
      <w:spacing w:val="5"/>
      <w:u w:val="single"/>
    </w:rPr>
  </w:style>
  <w:style w:type="paragraph" w:customStyle="1" w:styleId="2ColumnHeading">
    <w:name w:val="2Column Heading"/>
    <w:basedOn w:val="BodyText"/>
    <w:qFormat/>
    <w:rsid w:val="00735ABB"/>
    <w:pPr>
      <w:spacing w:after="60"/>
      <w:ind w:left="-2268"/>
    </w:pPr>
    <w:rPr>
      <w:b/>
    </w:rPr>
  </w:style>
  <w:style w:type="paragraph" w:customStyle="1" w:styleId="Heading1TOC">
    <w:name w:val="Heading1 TOC"/>
    <w:basedOn w:val="Normal"/>
    <w:qFormat/>
    <w:rsid w:val="00735ABB"/>
    <w:pPr>
      <w:spacing w:before="240" w:after="120"/>
    </w:pPr>
    <w:rPr>
      <w:rFonts w:ascii="Times New Roman" w:hAnsi="Times New Roman"/>
      <w:b/>
      <w:sz w:val="32"/>
    </w:rPr>
  </w:style>
  <w:style w:type="paragraph" w:customStyle="1" w:styleId="Heading2TOC">
    <w:name w:val="Heading2 TOC"/>
    <w:basedOn w:val="Normal"/>
    <w:qFormat/>
    <w:rsid w:val="00735ABB"/>
    <w:pPr>
      <w:spacing w:before="240" w:after="60"/>
    </w:pPr>
    <w:rPr>
      <w:rFonts w:ascii="Times New Roman" w:hAnsi="Times New Roman"/>
      <w:b/>
      <w:sz w:val="28"/>
    </w:rPr>
  </w:style>
  <w:style w:type="character" w:customStyle="1" w:styleId="Underline">
    <w:name w:val="Underline"/>
    <w:basedOn w:val="DefaultParagraphFont"/>
    <w:qFormat/>
    <w:rsid w:val="00735ABB"/>
    <w:rPr>
      <w:u w:val="single"/>
    </w:rPr>
  </w:style>
  <w:style w:type="character" w:customStyle="1" w:styleId="BoldandItalics">
    <w:name w:val="Bold and Italics"/>
    <w:qFormat/>
    <w:rsid w:val="00735ABB"/>
    <w:rPr>
      <w:b/>
      <w:i/>
      <w:u w:val="none"/>
    </w:rPr>
  </w:style>
  <w:style w:type="paragraph" w:styleId="BalloonText">
    <w:name w:val="Balloon Text"/>
    <w:basedOn w:val="Normal"/>
    <w:link w:val="BalloonTextChar"/>
    <w:rsid w:val="00735ABB"/>
    <w:rPr>
      <w:rFonts w:ascii="Tahoma" w:hAnsi="Tahoma" w:cs="Tahoma"/>
      <w:sz w:val="16"/>
      <w:szCs w:val="16"/>
    </w:rPr>
  </w:style>
  <w:style w:type="character" w:customStyle="1" w:styleId="BalloonTextChar">
    <w:name w:val="Balloon Text Char"/>
    <w:basedOn w:val="DefaultParagraphFont"/>
    <w:link w:val="BalloonText"/>
    <w:rsid w:val="00735A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5AB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35A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5ABB"/>
    <w:rPr>
      <w:b/>
      <w:color w:val="660033"/>
      <w:spacing w:val="0"/>
    </w:rPr>
  </w:style>
  <w:style w:type="paragraph" w:customStyle="1" w:styleId="Nameditemlist">
    <w:name w:val="Named item list"/>
    <w:basedOn w:val="BodyText"/>
    <w:qFormat/>
    <w:rsid w:val="00735AB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1125</Words>
  <Characters>7243</Characters>
  <Application>Microsoft Office Word</Application>
  <DocSecurity>0</DocSecurity>
  <Lines>280</Lines>
  <Paragraphs>142</Paragraphs>
  <ScaleCrop>false</ScaleCrop>
  <Company>Author-it Software Corporation Ltd.</Company>
  <LinksUpToDate>false</LinksUpToDate>
  <CharactersWithSpaces>8293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MEM21011A Service calendar and other dial indication mechanisms for watches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2012-10-05T13:14:00Z</dcterms:created>
  <dcterms:modified xsi:type="dcterms:W3CDTF">2012-10-05T13:14:00Z</dcterms:modified>
</cp:coreProperties>
</file>