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ED6" w:rsidP="00407ED6">
      <w:pPr>
        <w:pStyle w:val="Title"/>
      </w:pPr>
      <w:r>
        <w:fldChar w:fldCharType="begin"/>
      </w:r>
      <w:r>
        <w:instrText xml:space="preserve"> TITLE   \* MERGEFORMAT </w:instrText>
      </w:r>
      <w:r>
        <w:fldChar w:fldCharType="separate"/>
      </w:r>
      <w:r>
        <w:t>MEM21007A Service complex quartz watches</w:t>
      </w:r>
      <w:r>
        <w:fldChar w:fldCharType="end"/>
      </w:r>
    </w:p>
    <w:p w:rsidR="00407ED6" w:rsidP="00407ED6">
      <w:pPr>
        <w:pStyle w:val="Version"/>
        <w:sectPr w:rsidSect="00D609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9C5" w:rsidP="00D609C5">
      <w:pPr>
        <w:pStyle w:val="SuperHeading"/>
      </w:pPr>
      <w:r w:rsidRPr="00D609C5">
        <w:t>MEM21007A Service complex quartz watches</w:t>
      </w:r>
    </w:p>
    <w:p w:rsidR="00000000" w:rsidRPr="00D609C5" w:rsidP="00D609C5">
      <w:pPr>
        <w:pStyle w:val="Heading1"/>
      </w:pPr>
      <w:bookmarkStart w:id="1" w:name="O_272349"/>
      <w:bookmarkEnd w:id="1"/>
      <w:r w:rsidRPr="00D609C5">
        <w:t>Modification History</w:t>
      </w:r>
    </w:p>
    <w:p w:rsidR="00000000" w:rsidRPr="00D609C5" w:rsidP="00D609C5">
      <w:pPr>
        <w:pStyle w:val="BodyText"/>
      </w:pPr>
      <w:r w:rsidRPr="00D609C5">
        <w:t>Not Applicable</w:t>
      </w:r>
    </w:p>
    <w:p w:rsidR="00000000" w:rsidRPr="00D609C5" w:rsidP="00D609C5">
      <w:pPr>
        <w:pStyle w:val="AllowPageBreak"/>
      </w:pPr>
    </w:p>
    <w:p w:rsidR="00000000" w:rsidRPr="00D609C5" w:rsidP="00D609C5">
      <w:pPr>
        <w:pStyle w:val="Heading1"/>
      </w:pPr>
      <w:bookmarkStart w:id="2" w:name="O_212881"/>
      <w:bookmarkEnd w:id="2"/>
      <w:r w:rsidRPr="00D609C5">
        <w:t>Unit Descriptor</w:t>
      </w:r>
    </w:p>
    <w:tbl>
      <w:tblPr>
        <w:tblW w:w="0" w:type="auto"/>
        <w:tblLayout w:type="fixed"/>
        <w:tblCellMar>
          <w:left w:w="62" w:type="dxa"/>
          <w:right w:w="62" w:type="dxa"/>
        </w:tblCellMar>
        <w:tblLook w:val="0000"/>
      </w:tblPr>
      <w:tblGrid>
        <w:gridCol w:w="2668"/>
        <w:gridCol w:w="5854"/>
      </w:tblGrid>
      <w:tr w:rsidTr="00407ED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This unit of competency covers servicing techniques for complex quartz analog, digital and duo display watches, i</w:t>
            </w:r>
            <w:r w:rsidRPr="00D609C5">
              <w:t>ncluding chronographs and perpetual calendars with multiple step motors and ultrasonic step motor calendar driving systems.</w:t>
            </w:r>
          </w:p>
        </w:tc>
      </w:tr>
    </w:tbl>
    <w:p w:rsidR="00407ED6" w:rsidP="00D609C5">
      <w:pPr>
        <w:pStyle w:val="BodyText"/>
      </w:pPr>
    </w:p>
    <w:p w:rsidR="00407ED6" w:rsidP="00D609C5">
      <w:pPr>
        <w:pStyle w:val="BodyText"/>
      </w:pPr>
    </w:p>
    <w:p w:rsidR="00000000" w:rsidRPr="00D609C5" w:rsidP="00D609C5">
      <w:pPr>
        <w:pStyle w:val="Heading1"/>
      </w:pPr>
      <w:bookmarkStart w:id="3" w:name="O_212885"/>
      <w:bookmarkEnd w:id="3"/>
      <w:r w:rsidRPr="00D609C5">
        <w:t>Application of the Unit</w:t>
      </w:r>
    </w:p>
    <w:tbl>
      <w:tblPr>
        <w:tblW w:w="0" w:type="auto"/>
        <w:tblLayout w:type="fixed"/>
        <w:tblCellMar>
          <w:left w:w="62" w:type="dxa"/>
          <w:right w:w="62" w:type="dxa"/>
        </w:tblCellMar>
        <w:tblLook w:val="0000"/>
      </w:tblPr>
      <w:tblGrid>
        <w:gridCol w:w="2754"/>
        <w:gridCol w:w="5768"/>
      </w:tblGrid>
      <w:tr w:rsidTr="00407ED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 xml:space="preserve">This unit applies to specialist repairers working in watch service and repair centres and jewellery stores where servicing and repairs on complex quartz watches, chronographs and perpetual calendars is offered. </w:t>
            </w:r>
          </w:p>
          <w:p w:rsidR="00000000" w:rsidRPr="00D609C5" w:rsidP="00D609C5">
            <w:pPr>
              <w:pStyle w:val="BodyText"/>
            </w:pPr>
          </w:p>
          <w:p w:rsidR="00000000" w:rsidRPr="00D609C5" w:rsidP="00D609C5">
            <w:pPr>
              <w:pStyle w:val="BodyText"/>
            </w:pPr>
            <w:r w:rsidRPr="00D609C5">
              <w:t>Band:  A</w:t>
            </w:r>
          </w:p>
          <w:p w:rsidR="00000000" w:rsidRPr="00D609C5" w:rsidP="00D609C5">
            <w:pPr>
              <w:pStyle w:val="BodyText"/>
            </w:pPr>
            <w:r w:rsidRPr="00D609C5">
              <w:t>Unit weight:  4 points</w:t>
            </w:r>
          </w:p>
        </w:tc>
      </w:tr>
    </w:tbl>
    <w:p w:rsidR="00407ED6" w:rsidP="00D609C5">
      <w:pPr>
        <w:pStyle w:val="BodyText"/>
      </w:pPr>
    </w:p>
    <w:p w:rsidR="00407ED6" w:rsidP="00D609C5">
      <w:pPr>
        <w:pStyle w:val="BodyText"/>
      </w:pPr>
    </w:p>
    <w:p w:rsidR="00000000" w:rsidRPr="00D609C5" w:rsidP="00D609C5">
      <w:pPr>
        <w:pStyle w:val="Heading1"/>
      </w:pPr>
      <w:bookmarkStart w:id="4" w:name="O_280609"/>
      <w:bookmarkEnd w:id="4"/>
      <w:r w:rsidRPr="00D609C5">
        <w:t>Licensing/Regulatory Information</w:t>
      </w:r>
    </w:p>
    <w:p w:rsidR="00000000" w:rsidRPr="00D609C5" w:rsidP="00D609C5">
      <w:pPr>
        <w:pStyle w:val="BodyText"/>
      </w:pPr>
      <w:r w:rsidRPr="00D609C5">
        <w:t>Not Applicable</w:t>
      </w:r>
    </w:p>
    <w:p w:rsidR="00000000" w:rsidRPr="00D609C5" w:rsidP="00D609C5">
      <w:pPr>
        <w:pStyle w:val="AllowPageBreak"/>
      </w:pPr>
    </w:p>
    <w:p w:rsidR="00000000" w:rsidRPr="00D609C5" w:rsidP="00D609C5">
      <w:pPr>
        <w:pStyle w:val="Heading1"/>
      </w:pPr>
      <w:bookmarkStart w:id="5" w:name="O_212883"/>
      <w:bookmarkEnd w:id="5"/>
      <w:r w:rsidRPr="00D609C5">
        <w:t>Pre-Requisites</w:t>
      </w:r>
    </w:p>
    <w:tbl>
      <w:tblPr>
        <w:tblW w:w="0" w:type="auto"/>
        <w:tblLayout w:type="fixed"/>
        <w:tblCellMar>
          <w:left w:w="62" w:type="dxa"/>
          <w:right w:w="62" w:type="dxa"/>
        </w:tblCellMar>
        <w:tblLook w:val="0000"/>
      </w:tblPr>
      <w:tblGrid>
        <w:gridCol w:w="2710"/>
        <w:gridCol w:w="2195"/>
        <w:gridCol w:w="3617"/>
      </w:tblGrid>
      <w:tr w:rsidTr="00407ED6">
        <w:tblPrEx>
          <w:tblW w:w="0" w:type="auto"/>
          <w:tblLayout w:type="fixed"/>
          <w:tblCellMar>
            <w:left w:w="62" w:type="dxa"/>
            <w:right w:w="62" w:type="dxa"/>
          </w:tblCellMar>
          <w:tblLook w:val="0000"/>
        </w:tblPrEx>
        <w:trPr>
          <w:tblHeader/>
        </w:trPr>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Prerequisite units</w:t>
            </w:r>
          </w:p>
        </w:tc>
        <w:tc>
          <w:tcPr>
            <w:tcW w:w="58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p>
        </w:tc>
      </w:tr>
      <w:tr w:rsidTr="00407ED6">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MEM21006A</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Service quartz watches</w:t>
            </w:r>
          </w:p>
        </w:tc>
      </w:tr>
      <w:tr w:rsidTr="00407ED6">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MEM21005A</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Diagnose faults in quartz watches</w:t>
            </w:r>
          </w:p>
        </w:tc>
      </w:tr>
      <w:tr w:rsidTr="00407ED6">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MEM21002A</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Perform watch movement exchange</w:t>
            </w:r>
          </w:p>
        </w:tc>
      </w:tr>
      <w:tr w:rsidTr="00407ED6">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MEM21001A</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Replace watch batteries, capacitors and bands</w:t>
            </w:r>
          </w:p>
        </w:tc>
      </w:tr>
    </w:tbl>
    <w:p w:rsidR="00407ED6" w:rsidP="00D609C5">
      <w:pPr>
        <w:pStyle w:val="BodyText"/>
      </w:pPr>
    </w:p>
    <w:p w:rsidR="00407ED6" w:rsidP="00D609C5">
      <w:pPr>
        <w:pStyle w:val="BodyText"/>
      </w:pPr>
    </w:p>
    <w:p w:rsidR="00000000" w:rsidRPr="00D609C5" w:rsidP="00D609C5">
      <w:pPr>
        <w:pStyle w:val="Heading1"/>
      </w:pPr>
      <w:bookmarkStart w:id="6" w:name="O_212882"/>
      <w:bookmarkEnd w:id="6"/>
      <w:r w:rsidRPr="00D609C5">
        <w:t>Employability Skills Information</w:t>
      </w:r>
    </w:p>
    <w:tbl>
      <w:tblPr>
        <w:tblW w:w="0" w:type="auto"/>
        <w:tblLayout w:type="fixed"/>
        <w:tblCellMar>
          <w:left w:w="62" w:type="dxa"/>
          <w:right w:w="62" w:type="dxa"/>
        </w:tblCellMar>
        <w:tblLook w:val="0000"/>
      </w:tblPr>
      <w:tblGrid>
        <w:gridCol w:w="2802"/>
        <w:gridCol w:w="5720"/>
      </w:tblGrid>
      <w:tr w:rsidTr="00407E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This unit contains employability skills.</w:t>
            </w:r>
          </w:p>
        </w:tc>
      </w:tr>
    </w:tbl>
    <w:p w:rsidR="00407ED6" w:rsidP="00D609C5">
      <w:pPr>
        <w:pStyle w:val="BodyText"/>
      </w:pPr>
    </w:p>
    <w:p w:rsidR="00407ED6" w:rsidP="00D609C5">
      <w:pPr>
        <w:pStyle w:val="BodyText"/>
      </w:pPr>
    </w:p>
    <w:p w:rsidR="00000000" w:rsidRPr="00D609C5" w:rsidP="00D609C5">
      <w:pPr>
        <w:pStyle w:val="Heading1"/>
      </w:pPr>
      <w:bookmarkStart w:id="7" w:name="O_290395"/>
      <w:bookmarkEnd w:id="7"/>
      <w:r w:rsidRPr="00D609C5">
        <w:t>Elements and Performance Criteria Pre-Content</w:t>
      </w:r>
    </w:p>
    <w:tbl>
      <w:tblPr>
        <w:tblW w:w="0" w:type="auto"/>
        <w:tblLayout w:type="fixed"/>
        <w:tblCellMar>
          <w:left w:w="62" w:type="dxa"/>
          <w:right w:w="62" w:type="dxa"/>
        </w:tblCellMar>
        <w:tblLook w:val="0000"/>
      </w:tblPr>
      <w:tblGrid>
        <w:gridCol w:w="2609"/>
        <w:gridCol w:w="5913"/>
      </w:tblGrid>
      <w:tr w:rsidTr="00407ED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Performance criteria describe the performance needed to demonstrate achievement of the element. Where bold italicised text is used, further information is detailed in the required skills and</w:t>
            </w:r>
            <w:r w:rsidRPr="00D609C5">
              <w:t xml:space="preserve"> knowledge section and the range statement. Assessment of performance is to be consistent with the evidence guide.</w:t>
            </w:r>
          </w:p>
        </w:tc>
      </w:tr>
    </w:tbl>
    <w:p w:rsidR="00000000" w:rsidRPr="00D609C5" w:rsidP="00D609C5">
      <w:pPr>
        <w:pStyle w:val="BodyText"/>
      </w:pPr>
    </w:p>
    <w:p w:rsidR="00000000" w:rsidRPr="00D609C5" w:rsidP="00D609C5">
      <w:pPr>
        <w:pStyle w:val="AllowPageBreak"/>
      </w:pPr>
    </w:p>
    <w:p w:rsidR="00000000" w:rsidRPr="00D609C5" w:rsidP="00D609C5">
      <w:pPr>
        <w:pStyle w:val="Heading1"/>
      </w:pPr>
      <w:bookmarkStart w:id="8" w:name="O_237062"/>
      <w:bookmarkEnd w:id="8"/>
      <w:r w:rsidRPr="00D609C5">
        <w:t>Elements and Performance Criteria</w:t>
      </w:r>
    </w:p>
    <w:tbl>
      <w:tblPr>
        <w:tblW w:w="0" w:type="auto"/>
        <w:tblLayout w:type="fixed"/>
        <w:tblCellMar>
          <w:left w:w="62" w:type="dxa"/>
          <w:right w:w="62" w:type="dxa"/>
        </w:tblCellMar>
        <w:tblLook w:val="0000"/>
      </w:tblPr>
      <w:tblGrid>
        <w:gridCol w:w="2609"/>
        <w:gridCol w:w="5913"/>
      </w:tblGrid>
      <w:tr w:rsidTr="00407ED6">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PERFORMANCE CRITERIA</w:t>
            </w:r>
          </w:p>
        </w:tc>
      </w:tr>
      <w:tr w:rsidTr="00407ED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List"/>
              <w:rPr>
                <w:lang w:val="en-NZ"/>
              </w:rPr>
            </w:pPr>
            <w:r w:rsidRPr="00D609C5">
              <w:t>1.</w:t>
            </w:r>
            <w:r w:rsidRPr="00D609C5">
              <w:tab/>
              <w:t>E</w:t>
            </w:r>
            <w:r w:rsidRPr="00D609C5">
              <w:t>stablish servicing requirements and liaise with customer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List2"/>
            </w:pPr>
            <w:r w:rsidRPr="00D609C5">
              <w:t>1.1.</w:t>
            </w:r>
            <w:r w:rsidRPr="00D609C5">
              <w:tab/>
              <w:t xml:space="preserve">Identify watch functions and features </w:t>
            </w:r>
          </w:p>
          <w:p w:rsidR="00000000" w:rsidRPr="00D609C5" w:rsidP="00D609C5">
            <w:pPr>
              <w:pStyle w:val="List2"/>
            </w:pPr>
            <w:r w:rsidRPr="00D609C5">
              <w:t>1.2.</w:t>
            </w:r>
            <w:r w:rsidRPr="00D609C5">
              <w:tab/>
              <w:t>Prepare written quotation and inform customer of watch condition and performance concerns</w:t>
            </w:r>
          </w:p>
          <w:p w:rsidR="00000000" w:rsidRPr="00D609C5" w:rsidP="00D609C5">
            <w:pPr>
              <w:pStyle w:val="List2"/>
            </w:pPr>
            <w:r w:rsidRPr="00D609C5">
              <w:t>1.3.</w:t>
            </w:r>
            <w:r w:rsidRPr="00D609C5">
              <w:tab/>
              <w:t>Outline recommended service procedures to be undertaken</w:t>
            </w:r>
            <w:r w:rsidRPr="00D609C5">
              <w:t xml:space="preserve"> to remedy identified faults</w:t>
            </w:r>
          </w:p>
          <w:p w:rsidR="00000000" w:rsidRPr="00D609C5" w:rsidP="00D609C5">
            <w:pPr>
              <w:pStyle w:val="List2"/>
            </w:pPr>
            <w:r w:rsidRPr="00D609C5">
              <w:t>1.4.</w:t>
            </w:r>
            <w:r w:rsidRPr="00D609C5">
              <w:tab/>
              <w:t>Verify and agree on servicing requirements with customer</w:t>
            </w:r>
          </w:p>
          <w:p w:rsidR="00000000" w:rsidRPr="00D609C5" w:rsidP="00D609C5">
            <w:pPr>
              <w:pStyle w:val="List2"/>
            </w:pPr>
            <w:r w:rsidRPr="00D609C5">
              <w:t>1.5.</w:t>
            </w:r>
            <w:r w:rsidRPr="00D609C5">
              <w:tab/>
              <w:t xml:space="preserve">Prepare watch for handover </w:t>
            </w:r>
          </w:p>
          <w:p w:rsidR="00000000" w:rsidP="00D609C5">
            <w:pPr>
              <w:pStyle w:val="List2"/>
              <w:rPr>
                <w:lang w:val="en-NZ"/>
              </w:rPr>
            </w:pPr>
            <w:r w:rsidRPr="00D609C5">
              <w:t>1.6.</w:t>
            </w:r>
            <w:r w:rsidRPr="00D609C5">
              <w:tab/>
              <w:t>Record and document repair process</w:t>
            </w:r>
          </w:p>
        </w:tc>
      </w:tr>
      <w:tr w:rsidTr="00407ED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List"/>
              <w:rPr>
                <w:lang w:val="en-NZ"/>
              </w:rPr>
            </w:pPr>
            <w:r w:rsidRPr="00D609C5">
              <w:t>2.</w:t>
            </w:r>
            <w:r w:rsidRPr="00D609C5">
              <w:tab/>
              <w:t>Disassemble complex quartz watch cases, movements and components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List2"/>
            </w:pPr>
            <w:r w:rsidRPr="00D609C5">
              <w:t>2.1.</w:t>
            </w:r>
            <w:r w:rsidRPr="00D609C5">
              <w:tab/>
              <w:t>Establish appropri</w:t>
            </w:r>
            <w:r w:rsidRPr="00D609C5">
              <w:t>ate working environment</w:t>
            </w:r>
          </w:p>
          <w:p w:rsidR="00000000" w:rsidRPr="00D609C5" w:rsidP="00D609C5">
            <w:pPr>
              <w:pStyle w:val="List2"/>
            </w:pPr>
            <w:r w:rsidRPr="00D609C5">
              <w:t>2.2.</w:t>
            </w:r>
            <w:r w:rsidRPr="00D609C5">
              <w:tab/>
              <w:t>Select and use workshop tools and equipment appropriately</w:t>
            </w:r>
          </w:p>
          <w:p w:rsidR="00000000" w:rsidRPr="00D609C5" w:rsidP="00D609C5">
            <w:pPr>
              <w:pStyle w:val="List2"/>
            </w:pPr>
            <w:r w:rsidRPr="00D609C5">
              <w:t>2.3.</w:t>
            </w:r>
            <w:r w:rsidRPr="00D609C5">
              <w:tab/>
              <w:t>Open watch cases correctly</w:t>
            </w:r>
          </w:p>
          <w:p w:rsidR="00000000" w:rsidRPr="00D609C5" w:rsidP="00D609C5">
            <w:pPr>
              <w:pStyle w:val="List2"/>
            </w:pPr>
            <w:r w:rsidRPr="00D609C5">
              <w:t>2.4.</w:t>
            </w:r>
            <w:r w:rsidRPr="00D609C5">
              <w:tab/>
              <w:t>Remove case components and movement without damaging or marking</w:t>
            </w:r>
          </w:p>
          <w:p w:rsidR="00000000" w:rsidRPr="00D609C5" w:rsidP="00D609C5">
            <w:pPr>
              <w:pStyle w:val="List2"/>
            </w:pPr>
            <w:r w:rsidRPr="00D609C5">
              <w:t>2.5.</w:t>
            </w:r>
            <w:r w:rsidRPr="00D609C5">
              <w:tab/>
              <w:t>Verify gasket condition and replace, as required</w:t>
            </w:r>
          </w:p>
          <w:p w:rsidR="00000000" w:rsidP="00D609C5">
            <w:pPr>
              <w:pStyle w:val="List2"/>
              <w:rPr>
                <w:lang w:val="en-NZ"/>
              </w:rPr>
            </w:pPr>
            <w:r w:rsidRPr="00D609C5">
              <w:t>2.6.</w:t>
            </w:r>
            <w:r w:rsidRPr="00D609C5">
              <w:tab/>
            </w:r>
            <w:r w:rsidRPr="00D609C5">
              <w:t xml:space="preserve">Clean cases and bands, as required </w:t>
            </w:r>
          </w:p>
        </w:tc>
      </w:tr>
      <w:tr w:rsidTr="00407ED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List"/>
              <w:rPr>
                <w:lang w:val="en-NZ"/>
              </w:rPr>
            </w:pPr>
            <w:r w:rsidRPr="00D609C5">
              <w:t>3.</w:t>
            </w:r>
            <w:r w:rsidRPr="00D609C5">
              <w:tab/>
              <w:t>Service complex quartz watch case and movement components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List2"/>
            </w:pPr>
            <w:r w:rsidRPr="00D609C5">
              <w:t>3.1.</w:t>
            </w:r>
            <w:r w:rsidRPr="00D609C5">
              <w:tab/>
              <w:t xml:space="preserve">Inspect condition of movement and case components </w:t>
            </w:r>
          </w:p>
          <w:p w:rsidR="00000000" w:rsidRPr="00D609C5" w:rsidP="00D609C5">
            <w:pPr>
              <w:pStyle w:val="List2"/>
            </w:pPr>
            <w:r w:rsidRPr="00D609C5">
              <w:t>3.2.</w:t>
            </w:r>
            <w:r w:rsidRPr="00D609C5">
              <w:tab/>
              <w:t>Confirm servicing requirements</w:t>
            </w:r>
          </w:p>
          <w:p w:rsidR="00000000" w:rsidRPr="00D609C5" w:rsidP="00D609C5">
            <w:pPr>
              <w:pStyle w:val="List2"/>
            </w:pPr>
            <w:r w:rsidRPr="00D609C5">
              <w:t>3.3.</w:t>
            </w:r>
            <w:r w:rsidRPr="00D609C5">
              <w:tab/>
              <w:t>Replace faulty or worn component parts</w:t>
            </w:r>
          </w:p>
          <w:p w:rsidR="00000000" w:rsidP="00D609C5">
            <w:pPr>
              <w:pStyle w:val="List2"/>
              <w:rPr>
                <w:lang w:val="en-NZ"/>
              </w:rPr>
            </w:pPr>
            <w:r w:rsidRPr="00D609C5">
              <w:t>3.4.</w:t>
            </w:r>
            <w:r w:rsidRPr="00D609C5">
              <w:tab/>
              <w:t>Clean and inspect</w:t>
            </w:r>
            <w:r w:rsidRPr="00D609C5">
              <w:t xml:space="preserve"> watch case and components for cleanliness and rectify imperfections and faults</w:t>
            </w:r>
          </w:p>
        </w:tc>
      </w:tr>
      <w:tr w:rsidTr="00407ED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List"/>
              <w:rPr>
                <w:lang w:val="en-NZ"/>
              </w:rPr>
            </w:pPr>
            <w:r w:rsidRPr="00D609C5">
              <w:t>4.</w:t>
            </w:r>
            <w:r w:rsidRPr="00D609C5">
              <w:tab/>
              <w:t xml:space="preserve">Reassemble and test complex quartz watches </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List2"/>
            </w:pPr>
            <w:r w:rsidRPr="00D609C5">
              <w:t>4.1.</w:t>
            </w:r>
            <w:r w:rsidRPr="00D609C5">
              <w:tab/>
              <w:t xml:space="preserve">Reassemble multiple step motors, perpetual calendar mechanisms, watch movement and case components </w:t>
            </w:r>
          </w:p>
          <w:p w:rsidR="00000000" w:rsidRPr="00D609C5" w:rsidP="00D609C5">
            <w:pPr>
              <w:pStyle w:val="List2"/>
            </w:pPr>
            <w:r w:rsidRPr="00D609C5">
              <w:t>4.2.</w:t>
            </w:r>
            <w:r w:rsidRPr="00D609C5">
              <w:tab/>
              <w:t>Perform work accor</w:t>
            </w:r>
            <w:r w:rsidRPr="00D609C5">
              <w:t>ding to manufacturer guidelines and specifications</w:t>
            </w:r>
          </w:p>
          <w:p w:rsidR="00000000" w:rsidRPr="00D609C5" w:rsidP="00D609C5">
            <w:pPr>
              <w:pStyle w:val="List2"/>
            </w:pPr>
            <w:r w:rsidRPr="00D609C5">
              <w:t>4.3.</w:t>
            </w:r>
            <w:r w:rsidRPr="00D609C5">
              <w:tab/>
              <w:t>Confirm correct assembly and operation of gear train and perpetual calendar driving system</w:t>
            </w:r>
          </w:p>
          <w:p w:rsidR="00000000" w:rsidRPr="00D609C5" w:rsidP="00D609C5">
            <w:pPr>
              <w:pStyle w:val="List2"/>
            </w:pPr>
            <w:r w:rsidRPr="00D609C5">
              <w:t>4.4.</w:t>
            </w:r>
            <w:r w:rsidRPr="00D609C5">
              <w:tab/>
              <w:t>Use correct types and amounts of lubricant</w:t>
            </w:r>
          </w:p>
          <w:p w:rsidR="00000000" w:rsidRPr="00D609C5" w:rsidP="00D609C5">
            <w:pPr>
              <w:pStyle w:val="List2"/>
            </w:pPr>
            <w:r w:rsidRPr="00D609C5">
              <w:t>4.5.</w:t>
            </w:r>
            <w:r w:rsidRPr="00D609C5">
              <w:tab/>
              <w:t>Use specialist service tools, jigs and testing equipment</w:t>
            </w:r>
          </w:p>
          <w:p w:rsidR="00000000" w:rsidRPr="00D609C5" w:rsidP="00D609C5">
            <w:pPr>
              <w:pStyle w:val="List2"/>
            </w:pPr>
            <w:r w:rsidRPr="00D609C5">
              <w:t>4.6.</w:t>
            </w:r>
            <w:r w:rsidRPr="00D609C5">
              <w:tab/>
              <w:t>Verify watch functioning of calendar and chronograph mechanisms</w:t>
            </w:r>
          </w:p>
          <w:p w:rsidR="00000000" w:rsidRPr="00D609C5" w:rsidP="00D609C5">
            <w:pPr>
              <w:pStyle w:val="List2"/>
            </w:pPr>
            <w:r w:rsidRPr="00D609C5">
              <w:t>4.7.</w:t>
            </w:r>
            <w:r w:rsidRPr="00D609C5">
              <w:tab/>
              <w:t>Verify and adjust watch performance and rate testing</w:t>
            </w:r>
          </w:p>
          <w:p w:rsidR="00000000" w:rsidRPr="00D609C5" w:rsidP="00D609C5">
            <w:pPr>
              <w:pStyle w:val="List2"/>
            </w:pPr>
            <w:r w:rsidRPr="00D609C5">
              <w:t>4.8.</w:t>
            </w:r>
            <w:r w:rsidRPr="00D609C5">
              <w:tab/>
              <w:t>Perform resetting and zeroing and synchronising of chronograph and perpetual calendar displays</w:t>
            </w:r>
          </w:p>
        </w:tc>
      </w:tr>
    </w:tbl>
    <w:p w:rsidR="00407ED6" w:rsidP="00D609C5">
      <w:pPr>
        <w:pStyle w:val="BodyText"/>
      </w:pPr>
    </w:p>
    <w:p w:rsidR="00407ED6" w:rsidP="00D609C5">
      <w:pPr>
        <w:pStyle w:val="BodyText"/>
      </w:pPr>
    </w:p>
    <w:p w:rsidR="00000000" w:rsidRPr="00D609C5" w:rsidP="00D609C5">
      <w:pPr>
        <w:pStyle w:val="Heading1"/>
      </w:pPr>
      <w:bookmarkStart w:id="9" w:name="O_261012"/>
      <w:bookmarkEnd w:id="9"/>
      <w:r w:rsidRPr="00D609C5">
        <w:t>Required Skills and Knowledge</w:t>
      </w:r>
    </w:p>
    <w:tbl>
      <w:tblPr>
        <w:tblW w:w="0" w:type="auto"/>
        <w:tblLayout w:type="fixed"/>
        <w:tblCellMar>
          <w:left w:w="62" w:type="dxa"/>
          <w:right w:w="62" w:type="dxa"/>
        </w:tblCellMar>
        <w:tblLook w:val="0000"/>
      </w:tblPr>
      <w:tblGrid>
        <w:gridCol w:w="8522"/>
      </w:tblGrid>
      <w:tr w:rsidTr="00407E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REQUIRED SKILLS AND KNOWLEDGE</w:t>
            </w:r>
          </w:p>
        </w:tc>
      </w:tr>
      <w:tr w:rsidTr="00407E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This section describes the skills and knowledge required for this unit.</w:t>
            </w:r>
          </w:p>
        </w:tc>
      </w:tr>
      <w:tr w:rsidTr="00407E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Required skills</w:t>
            </w:r>
          </w:p>
        </w:tc>
      </w:tr>
      <w:tr w:rsidTr="00407E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Required skills include:</w:t>
            </w:r>
          </w:p>
          <w:p w:rsidR="00000000" w:rsidRPr="00D609C5" w:rsidP="00D609C5">
            <w:pPr>
              <w:pStyle w:val="ListBullet"/>
            </w:pPr>
            <w:r w:rsidRPr="00D609C5">
              <w:t xml:space="preserve">dismantling and reassembling complex quartz watches, chronographs and perpetual calendars </w:t>
            </w:r>
          </w:p>
          <w:p w:rsidR="00000000" w:rsidRPr="00D609C5" w:rsidP="00D609C5">
            <w:pPr>
              <w:pStyle w:val="ListBullet"/>
            </w:pPr>
            <w:r w:rsidRPr="00D609C5">
              <w:t>servicing, fault-finding and performance testing multiple quartz step motors</w:t>
            </w:r>
          </w:p>
          <w:p w:rsidR="00000000" w:rsidP="00D609C5">
            <w:pPr>
              <w:pStyle w:val="ListBullet"/>
              <w:rPr>
                <w:lang w:val="en-NZ"/>
              </w:rPr>
            </w:pPr>
            <w:r w:rsidRPr="00D609C5">
              <w:t>re-programming or resetting integrated circuits and synchronising analog displays for quartz chronographs and perpetual calendars</w:t>
            </w:r>
          </w:p>
        </w:tc>
      </w:tr>
      <w:tr w:rsidTr="00407E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Required knowledge</w:t>
            </w:r>
          </w:p>
        </w:tc>
      </w:tr>
      <w:tr w:rsidTr="00407E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Required knowledge includes:</w:t>
            </w:r>
          </w:p>
          <w:p w:rsidR="00000000" w:rsidRPr="00D609C5" w:rsidP="00D609C5">
            <w:pPr>
              <w:pStyle w:val="ListBullet"/>
            </w:pPr>
            <w:r w:rsidRPr="00D609C5">
              <w:t>quartz watch construction, components and operating principles, including c</w:t>
            </w:r>
            <w:r w:rsidRPr="00D609C5">
              <w:t>alendars and motor drive systems</w:t>
            </w:r>
          </w:p>
          <w:p w:rsidR="00000000" w:rsidRPr="00D609C5" w:rsidP="00D609C5">
            <w:pPr>
              <w:pStyle w:val="ListBullet"/>
            </w:pPr>
            <w:r w:rsidRPr="00D609C5">
              <w:t>service procedures for complex analog and digital quartz watches</w:t>
            </w:r>
          </w:p>
          <w:p w:rsidR="00000000" w:rsidRPr="00D609C5" w:rsidP="00D609C5">
            <w:pPr>
              <w:pStyle w:val="ListBullet"/>
            </w:pPr>
            <w:r w:rsidRPr="00D609C5">
              <w:t>client liaison techniques</w:t>
            </w:r>
          </w:p>
          <w:p w:rsidR="00000000" w:rsidRPr="00D609C5" w:rsidP="00D609C5">
            <w:pPr>
              <w:pStyle w:val="ListBullet"/>
            </w:pPr>
            <w:r w:rsidRPr="00D609C5">
              <w:t>fault-finding techniques for quartz watches</w:t>
            </w:r>
          </w:p>
          <w:p w:rsidR="00000000" w:rsidRPr="00D609C5" w:rsidP="00D609C5">
            <w:pPr>
              <w:pStyle w:val="ListBullet"/>
            </w:pPr>
            <w:r w:rsidRPr="00D609C5">
              <w:t xml:space="preserve">performance testing equipment/procedures </w:t>
            </w:r>
          </w:p>
          <w:p w:rsidR="00000000" w:rsidRPr="00D609C5" w:rsidP="00D609C5">
            <w:pPr>
              <w:pStyle w:val="ListBullet"/>
            </w:pPr>
            <w:r w:rsidRPr="00D609C5">
              <w:t>types of calendar displays</w:t>
            </w:r>
          </w:p>
          <w:p w:rsidR="00000000" w:rsidRPr="00D609C5" w:rsidP="00D609C5">
            <w:pPr>
              <w:pStyle w:val="ListBullet"/>
            </w:pPr>
            <w:r w:rsidRPr="00D609C5">
              <w:t xml:space="preserve">service procedures </w:t>
            </w:r>
            <w:r w:rsidRPr="00D609C5">
              <w:t xml:space="preserve">to program and reset chronograph and perpetual calendar circuits </w:t>
            </w:r>
          </w:p>
          <w:p w:rsidR="00000000" w:rsidRPr="00D609C5" w:rsidP="00D609C5">
            <w:pPr>
              <w:pStyle w:val="ListBullet"/>
            </w:pPr>
            <w:r w:rsidRPr="00D609C5">
              <w:t>occupational health and safety (OHS) regulations and procedures</w:t>
            </w:r>
          </w:p>
        </w:tc>
      </w:tr>
    </w:tbl>
    <w:p w:rsidR="00407ED6" w:rsidP="00D609C5">
      <w:pPr>
        <w:pStyle w:val="BodyText"/>
      </w:pPr>
    </w:p>
    <w:p w:rsidR="00407ED6" w:rsidP="00D609C5">
      <w:pPr>
        <w:pStyle w:val="BodyText"/>
      </w:pPr>
    </w:p>
    <w:p w:rsidR="00000000" w:rsidRPr="00D609C5" w:rsidP="00D609C5">
      <w:pPr>
        <w:pStyle w:val="AllowPageBreak"/>
      </w:pPr>
    </w:p>
    <w:p w:rsidR="00000000" w:rsidRPr="00D609C5" w:rsidP="00D609C5">
      <w:pPr>
        <w:pStyle w:val="Heading1"/>
      </w:pPr>
      <w:bookmarkStart w:id="10" w:name="O_245046"/>
      <w:bookmarkEnd w:id="10"/>
      <w:r w:rsidRPr="00D609C5">
        <w:t>Evidence Guide</w:t>
      </w:r>
    </w:p>
    <w:tbl>
      <w:tblPr>
        <w:tblW w:w="9570" w:type="dxa"/>
        <w:tblLayout w:type="fixed"/>
        <w:tblCellMar>
          <w:left w:w="62" w:type="dxa"/>
          <w:right w:w="62" w:type="dxa"/>
        </w:tblCellMar>
        <w:tblLook w:val="0000"/>
      </w:tblPr>
      <w:tblGrid>
        <w:gridCol w:w="3908"/>
        <w:gridCol w:w="5662"/>
      </w:tblGrid>
      <w:tr w:rsidTr="00407E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EVIDENCE GUIDE</w:t>
            </w:r>
          </w:p>
        </w:tc>
      </w:tr>
      <w:tr w:rsidTr="00407E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The evidence guide provides advice on assessment and must be read in conjunction with the performance criteria, required skills and knowledge, range statement and the Assessment Guidelines for the Training Package.</w:t>
            </w:r>
          </w:p>
        </w:tc>
      </w:tr>
      <w:tr w:rsidTr="00407E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A person who dem</w:t>
            </w:r>
            <w:r w:rsidRPr="00D609C5">
              <w:t xml:space="preserve">onstrates competency in this unit must be able to service complex quartz watches to industry standards, manufacturer specifications and in accordance with safety regulations and procedures.  </w:t>
            </w:r>
          </w:p>
        </w:tc>
      </w:tr>
      <w:tr w:rsidTr="00407E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Critical aspects for assessment and evidence required to demons</w:t>
            </w:r>
            <w:r w:rsidRPr="00D609C5">
              <w:rPr>
                <w:rStyle w:val="SpecialBold"/>
              </w:rPr>
              <w:t>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Assessors must be satisfied that the candidate can competently and consistently:</w:t>
            </w:r>
          </w:p>
          <w:p w:rsidR="00000000" w:rsidRPr="00D609C5" w:rsidP="00D609C5">
            <w:pPr>
              <w:pStyle w:val="ListBullet"/>
            </w:pPr>
            <w:r w:rsidRPr="00D609C5">
              <w:t>service multiple step motors in quartz chronograph and perpetual calendar watches</w:t>
            </w:r>
          </w:p>
          <w:p w:rsidR="00000000" w:rsidRPr="00D609C5" w:rsidP="00D609C5">
            <w:pPr>
              <w:pStyle w:val="ListBullet"/>
            </w:pPr>
            <w:r w:rsidRPr="00D609C5">
              <w:t>fault-find complex quartz watches</w:t>
            </w:r>
          </w:p>
          <w:p w:rsidR="00000000" w:rsidRPr="00D609C5" w:rsidP="00D609C5">
            <w:pPr>
              <w:pStyle w:val="ListBullet"/>
            </w:pPr>
            <w:r w:rsidRPr="00D609C5">
              <w:t>performance test complex quartz watches</w:t>
            </w:r>
          </w:p>
          <w:p w:rsidR="00000000" w:rsidP="00D609C5">
            <w:pPr>
              <w:pStyle w:val="ListBullet"/>
              <w:rPr>
                <w:lang w:val="en-NZ"/>
              </w:rPr>
            </w:pPr>
            <w:r w:rsidRPr="00D609C5">
              <w:t>re-programming and resetting integrated circuits and synchronising analog displays for quartz chronographs and perpetual calendars.</w:t>
            </w:r>
          </w:p>
        </w:tc>
      </w:tr>
      <w:tr w:rsidTr="00407E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ListBullet"/>
            </w:pPr>
            <w:r w:rsidRPr="00D609C5">
              <w:t>Assessment may occur on the job o</w:t>
            </w:r>
            <w:r w:rsidRPr="00D609C5">
              <w:t>r in an appropriately simulated environment. Access is required to real or appropriately simulated situations, including work areas, materials and equipment, and information on workplace practices and OHS practices.</w:t>
            </w:r>
          </w:p>
          <w:p w:rsidR="00000000" w:rsidRPr="00D609C5" w:rsidP="00D609C5">
            <w:pPr>
              <w:pStyle w:val="ListBullet"/>
            </w:pPr>
            <w:r w:rsidRPr="00D609C5">
              <w:t xml:space="preserve">Where applicable, reasonable adjustment </w:t>
            </w:r>
            <w:r w:rsidRPr="00D609C5">
              <w:t>must be made to work environments and training situations to accommodate ethnicity, age, gender, demographics and disability.</w:t>
            </w:r>
          </w:p>
          <w:p w:rsidR="00000000" w:rsidP="00D609C5">
            <w:pPr>
              <w:pStyle w:val="ListBullet"/>
              <w:rPr>
                <w:lang w:val="en-NZ"/>
              </w:rPr>
            </w:pPr>
            <w:r w:rsidRPr="00D609C5">
              <w:t>Access must be provided to appropriate learning and/or assessment support when required. Where applicable, physical resources shou</w:t>
            </w:r>
            <w:r w:rsidRPr="00D609C5">
              <w:t>ld include equipment modified for people with disabilities.</w:t>
            </w:r>
          </w:p>
        </w:tc>
      </w:tr>
      <w:tr w:rsidTr="00407E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ListBullet"/>
            </w:pPr>
            <w:r w:rsidRPr="00D609C5">
              <w:t>Assessment must satisfy the endorsed Assessment Guidelines of the MEM05 Metal and Engineering Training Package.</w:t>
            </w:r>
          </w:p>
          <w:p w:rsidR="00000000" w:rsidRPr="00D609C5" w:rsidP="00D609C5">
            <w:pPr>
              <w:pStyle w:val="ListBullet"/>
            </w:pPr>
            <w:r w:rsidRPr="00D609C5">
              <w:t>Assessment methods must confirm consistency and accuracy of p</w:t>
            </w:r>
            <w:r w:rsidRPr="00D609C5">
              <w:t>erformance (over time and in a range of workplace relevant contexts) together with application of underpinning knowledge.</w:t>
            </w:r>
          </w:p>
          <w:p w:rsidR="00000000" w:rsidRPr="00D609C5" w:rsidP="00D609C5">
            <w:pPr>
              <w:pStyle w:val="ListBullet"/>
            </w:pPr>
            <w:r w:rsidRPr="00D609C5">
              <w:t>Assessment methods must be by direct observation of tasks and include questioning on underpinning knowledge to ensure its correct inte</w:t>
            </w:r>
            <w:r w:rsidRPr="00D609C5">
              <w:t>rpretation and application.</w:t>
            </w:r>
          </w:p>
          <w:p w:rsidR="00000000" w:rsidRPr="00D609C5" w:rsidP="00D609C5">
            <w:pPr>
              <w:pStyle w:val="ListBullet"/>
            </w:pPr>
            <w:r w:rsidRPr="00D609C5">
              <w:t>Assessment may be applied under project-related conditions (real or simulated) and require evidence of process.</w:t>
            </w:r>
          </w:p>
          <w:p w:rsidR="00000000" w:rsidRPr="00D609C5" w:rsidP="00D609C5">
            <w:pPr>
              <w:pStyle w:val="ListBullet"/>
            </w:pPr>
            <w:r w:rsidRPr="00D609C5">
              <w:t>Assessment must confirm a reasonable inference that competency is not only able to be satisfied under the particular</w:t>
            </w:r>
            <w:r w:rsidRPr="00D609C5">
              <w:t xml:space="preserve"> circumstance, but is able to be transferred to other circumstances.</w:t>
            </w:r>
          </w:p>
          <w:p w:rsidR="00000000" w:rsidP="00D609C5">
            <w:pPr>
              <w:pStyle w:val="ListBullet"/>
              <w:rPr>
                <w:lang w:val="en-NZ"/>
              </w:rPr>
            </w:pPr>
            <w:r w:rsidRPr="00D609C5">
              <w:t>Assessment may be in conjunction with assessment of other units of competency where required.</w:t>
            </w:r>
          </w:p>
        </w:tc>
      </w:tr>
      <w:tr w:rsidTr="00407E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Assessment processes and techniques must be culturally appropriate and appropriate to the language and literacy capacity of the candidate and the work being performed.</w:t>
            </w:r>
          </w:p>
        </w:tc>
      </w:tr>
    </w:tbl>
    <w:p w:rsidR="00407ED6" w:rsidP="00D609C5">
      <w:pPr>
        <w:pStyle w:val="BodyText"/>
      </w:pPr>
    </w:p>
    <w:p w:rsidR="00407ED6" w:rsidP="00D609C5">
      <w:pPr>
        <w:pStyle w:val="BodyText"/>
      </w:pPr>
    </w:p>
    <w:p w:rsidR="00000000" w:rsidRPr="00D609C5" w:rsidP="00D609C5">
      <w:pPr>
        <w:pStyle w:val="Heading1"/>
      </w:pPr>
      <w:bookmarkStart w:id="11" w:name="O_253029"/>
      <w:bookmarkEnd w:id="11"/>
      <w:r w:rsidRPr="00D609C5">
        <w:t>Range Statement</w:t>
      </w:r>
    </w:p>
    <w:tbl>
      <w:tblPr>
        <w:tblW w:w="0" w:type="auto"/>
        <w:tblLayout w:type="fixed"/>
        <w:tblCellMar>
          <w:left w:w="62" w:type="dxa"/>
          <w:right w:w="62" w:type="dxa"/>
        </w:tblCellMar>
        <w:tblLook w:val="0000"/>
      </w:tblPr>
      <w:tblGrid>
        <w:gridCol w:w="3558"/>
        <w:gridCol w:w="4964"/>
      </w:tblGrid>
      <w:tr w:rsidTr="00407E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RANGE STATEMENT</w:t>
            </w:r>
          </w:p>
        </w:tc>
      </w:tr>
      <w:tr w:rsidTr="00407E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t>The range statement relates to the unit of competency as a whole. It allows for different work environments and situations that may affect performance. Bold italicised wording, if used in the performance criteria, is detailed below. Essential operating con</w:t>
            </w:r>
            <w:r w:rsidRPr="00D609C5">
              <w:t>ditions that may be present with training and assessment (depending on the work situation, needs of the candidate, accessibility of the item, and local industry and regional contexts) may also be included.</w:t>
            </w:r>
          </w:p>
        </w:tc>
      </w:tr>
      <w:tr w:rsidTr="00407ED6">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Complex quartz watch functions and features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Comp</w:t>
            </w:r>
            <w:r w:rsidRPr="00D609C5">
              <w:t>lex quartz watch functions and features may include:</w:t>
            </w:r>
          </w:p>
          <w:p w:rsidR="00000000" w:rsidRPr="00D609C5" w:rsidP="00D609C5">
            <w:pPr>
              <w:pStyle w:val="ListBullet"/>
            </w:pPr>
            <w:r w:rsidRPr="00D609C5">
              <w:t>chronograph</w:t>
            </w:r>
          </w:p>
          <w:p w:rsidR="00000000" w:rsidRPr="00D609C5" w:rsidP="00D609C5">
            <w:pPr>
              <w:pStyle w:val="ListBullet"/>
            </w:pPr>
            <w:r w:rsidRPr="00D609C5">
              <w:t>perpetual calendar</w:t>
            </w:r>
          </w:p>
          <w:p w:rsidR="00000000" w:rsidRPr="00D609C5" w:rsidP="00D609C5">
            <w:pPr>
              <w:pStyle w:val="ListBullet"/>
            </w:pPr>
            <w:r w:rsidRPr="00D609C5">
              <w:t>repeater</w:t>
            </w:r>
          </w:p>
          <w:p w:rsidR="00000000" w:rsidRPr="00D609C5" w:rsidP="00D609C5">
            <w:pPr>
              <w:pStyle w:val="ListBullet"/>
            </w:pPr>
            <w:r w:rsidRPr="00D609C5">
              <w:t>perpetual calendar with multiple step motors</w:t>
            </w:r>
          </w:p>
          <w:p w:rsidR="00000000" w:rsidP="00D609C5">
            <w:pPr>
              <w:pStyle w:val="ListBullet"/>
              <w:rPr>
                <w:lang w:val="en-NZ"/>
              </w:rPr>
            </w:pPr>
            <w:r w:rsidRPr="00D609C5">
              <w:t>ultrasonic step motor calendar driving systems</w:t>
            </w:r>
          </w:p>
        </w:tc>
      </w:tr>
      <w:tr w:rsidTr="00407ED6">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Record and document repair process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Record and document repair process may include:</w:t>
            </w:r>
          </w:p>
          <w:p w:rsidR="00000000" w:rsidRPr="00D609C5" w:rsidP="00D609C5">
            <w:pPr>
              <w:pStyle w:val="ListBullet"/>
            </w:pPr>
            <w:r w:rsidRPr="00D609C5">
              <w:t xml:space="preserve">extent and date of repair </w:t>
            </w:r>
          </w:p>
          <w:p w:rsidR="00000000" w:rsidRPr="00D609C5" w:rsidP="00D609C5">
            <w:pPr>
              <w:pStyle w:val="ListBullet"/>
            </w:pPr>
            <w:r w:rsidRPr="00D609C5">
              <w:t>cost of replacement part</w:t>
            </w:r>
          </w:p>
          <w:p w:rsidR="00000000" w:rsidP="00D609C5">
            <w:pPr>
              <w:pStyle w:val="ListBullet"/>
              <w:rPr>
                <w:lang w:val="en-NZ"/>
              </w:rPr>
            </w:pPr>
            <w:r w:rsidRPr="00D609C5">
              <w:t xml:space="preserve">time spent on procedure </w:t>
            </w:r>
          </w:p>
        </w:tc>
      </w:tr>
      <w:tr w:rsidTr="00407ED6">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Appropriate working environment</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Appropriate working environment may include:</w:t>
            </w:r>
          </w:p>
          <w:p w:rsidR="00000000" w:rsidRPr="00D609C5" w:rsidP="00D609C5">
            <w:pPr>
              <w:pStyle w:val="ListBullet"/>
            </w:pPr>
            <w:r w:rsidRPr="00D609C5">
              <w:t xml:space="preserve">suitable watchmakers' bench </w:t>
            </w:r>
          </w:p>
          <w:p w:rsidR="00000000" w:rsidRPr="00D609C5" w:rsidP="00D609C5">
            <w:pPr>
              <w:pStyle w:val="ListBullet"/>
            </w:pPr>
            <w:r w:rsidRPr="00D609C5">
              <w:t>clean and orderly work</w:t>
            </w:r>
            <w:r w:rsidRPr="00D609C5">
              <w:t xml:space="preserve"> area (precautions taken to minimise dust)</w:t>
            </w:r>
          </w:p>
          <w:p w:rsidR="00000000" w:rsidRPr="00D609C5" w:rsidP="00D609C5">
            <w:pPr>
              <w:pStyle w:val="ListBullet"/>
            </w:pPr>
            <w:r w:rsidRPr="00D609C5">
              <w:t>suitable lighting and adequate ventilation</w:t>
            </w:r>
          </w:p>
          <w:p w:rsidR="00000000" w:rsidP="00D609C5">
            <w:pPr>
              <w:pStyle w:val="ListBullet"/>
              <w:rPr>
                <w:lang w:val="en-NZ"/>
              </w:rPr>
            </w:pPr>
            <w:r w:rsidRPr="00D609C5">
              <w:t xml:space="preserve">ergonomic chair with adjustable height </w:t>
            </w:r>
          </w:p>
        </w:tc>
      </w:tr>
      <w:tr w:rsidTr="00407ED6">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Workshop tools and equipment</w:t>
            </w:r>
            <w:r w:rsidRPr="00D609C5">
              <w:t xml:space="preserve"> </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Workshop tools and equipment may include:</w:t>
            </w:r>
          </w:p>
          <w:p w:rsidR="00000000" w:rsidRPr="00D609C5" w:rsidP="00D609C5">
            <w:pPr>
              <w:pStyle w:val="ListBullet"/>
            </w:pPr>
            <w:r w:rsidRPr="00D609C5">
              <w:t>timing machine</w:t>
            </w:r>
          </w:p>
          <w:p w:rsidR="00000000" w:rsidRPr="00D609C5" w:rsidP="00D609C5">
            <w:pPr>
              <w:pStyle w:val="ListBullet"/>
            </w:pPr>
            <w:r w:rsidRPr="00D609C5">
              <w:t>multimeter</w:t>
            </w:r>
          </w:p>
          <w:p w:rsidR="00000000" w:rsidRPr="00D609C5" w:rsidP="00D609C5">
            <w:pPr>
              <w:pStyle w:val="ListBullet"/>
            </w:pPr>
            <w:r w:rsidRPr="00D609C5">
              <w:t>pulse generator</w:t>
            </w:r>
          </w:p>
          <w:p w:rsidR="00000000" w:rsidRPr="00D609C5" w:rsidP="00D609C5">
            <w:pPr>
              <w:pStyle w:val="ListBullet"/>
            </w:pPr>
            <w:r w:rsidRPr="00D609C5">
              <w:t>watch repair and construction hand tools</w:t>
            </w:r>
          </w:p>
          <w:p w:rsidR="00000000" w:rsidRPr="00D609C5" w:rsidP="00D609C5">
            <w:pPr>
              <w:pStyle w:val="ListBullet"/>
            </w:pPr>
            <w:r w:rsidRPr="00D609C5">
              <w:t>case opening and closing tools</w:t>
            </w:r>
          </w:p>
          <w:p w:rsidR="00000000" w:rsidRPr="00D609C5" w:rsidP="00D609C5">
            <w:pPr>
              <w:pStyle w:val="ListBullet"/>
            </w:pPr>
            <w:r w:rsidRPr="00D609C5">
              <w:t>cleaning media</w:t>
            </w:r>
          </w:p>
          <w:p w:rsidR="00000000" w:rsidRPr="00D609C5" w:rsidP="00D609C5">
            <w:pPr>
              <w:pStyle w:val="ListBullet"/>
            </w:pPr>
            <w:r w:rsidRPr="00D609C5">
              <w:t xml:space="preserve">cleaning machines </w:t>
            </w:r>
          </w:p>
          <w:p w:rsidR="00000000" w:rsidRPr="00D609C5" w:rsidP="00D609C5">
            <w:pPr>
              <w:pStyle w:val="ListBullet"/>
            </w:pPr>
            <w:r w:rsidRPr="00D609C5">
              <w:t>lubricants</w:t>
            </w:r>
          </w:p>
          <w:p w:rsidR="00000000" w:rsidP="00D609C5">
            <w:pPr>
              <w:pStyle w:val="ListBullet"/>
              <w:rPr>
                <w:lang w:val="en-NZ"/>
              </w:rPr>
            </w:pPr>
            <w:r w:rsidRPr="00D609C5">
              <w:t>personal protective equipment</w:t>
            </w:r>
          </w:p>
        </w:tc>
      </w:tr>
      <w:tr w:rsidTr="00407ED6">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Case components</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Case components may include:</w:t>
            </w:r>
          </w:p>
          <w:p w:rsidR="00000000" w:rsidRPr="00D609C5" w:rsidP="00D609C5">
            <w:pPr>
              <w:pStyle w:val="ListBullet"/>
            </w:pPr>
            <w:r w:rsidRPr="00D609C5">
              <w:t>watch glasses</w:t>
            </w:r>
          </w:p>
          <w:p w:rsidR="00000000" w:rsidRPr="00D609C5" w:rsidP="00D609C5">
            <w:pPr>
              <w:pStyle w:val="ListBullet"/>
            </w:pPr>
            <w:r w:rsidRPr="00D609C5">
              <w:t>case back</w:t>
            </w:r>
          </w:p>
          <w:p w:rsidR="00000000" w:rsidRPr="00D609C5" w:rsidP="00D609C5">
            <w:pPr>
              <w:pStyle w:val="ListBullet"/>
            </w:pPr>
            <w:r w:rsidRPr="00D609C5">
              <w:t>bezel (e.g. rotating)</w:t>
            </w:r>
          </w:p>
          <w:p w:rsidR="00000000" w:rsidRPr="00D609C5" w:rsidP="00D609C5">
            <w:pPr>
              <w:pStyle w:val="ListBullet"/>
            </w:pPr>
            <w:r w:rsidRPr="00D609C5">
              <w:t>crown (e.g. screwed)</w:t>
            </w:r>
          </w:p>
          <w:p w:rsidR="00000000" w:rsidRPr="00D609C5" w:rsidP="00D609C5">
            <w:pPr>
              <w:pStyle w:val="ListBullet"/>
            </w:pPr>
            <w:r w:rsidRPr="00D609C5">
              <w:t>pendant</w:t>
            </w:r>
          </w:p>
          <w:p w:rsidR="00000000" w:rsidRPr="00D609C5" w:rsidP="00D609C5">
            <w:pPr>
              <w:pStyle w:val="ListBullet"/>
            </w:pPr>
            <w:r w:rsidRPr="00D609C5">
              <w:t>pushbuttons (e.g. arbors and circlips)</w:t>
            </w:r>
          </w:p>
          <w:p w:rsidR="00000000" w:rsidP="00D609C5">
            <w:pPr>
              <w:pStyle w:val="ListBullet"/>
              <w:rPr>
                <w:lang w:val="en-NZ"/>
              </w:rPr>
            </w:pPr>
            <w:r w:rsidRPr="00D609C5">
              <w:t>gaskets</w:t>
            </w:r>
          </w:p>
        </w:tc>
      </w:tr>
      <w:tr w:rsidTr="00407ED6">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Watch performance</w:t>
            </w:r>
            <w:r w:rsidRPr="00D609C5">
              <w:t>/</w:t>
            </w:r>
            <w:r w:rsidRPr="00D609C5">
              <w:rPr>
                <w:rStyle w:val="SpecialBold"/>
              </w:rPr>
              <w:t>rate testing</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Watch performance/rate testing may include:</w:t>
            </w:r>
          </w:p>
          <w:p w:rsidR="00000000" w:rsidRPr="00D609C5" w:rsidP="00D609C5">
            <w:pPr>
              <w:pStyle w:val="ListBullet"/>
            </w:pPr>
            <w:r w:rsidRPr="00D609C5">
              <w:t>current consumption (e.g. manufacture specifications)</w:t>
            </w:r>
          </w:p>
          <w:p w:rsidR="00000000" w:rsidRPr="00D609C5" w:rsidP="00D609C5">
            <w:pPr>
              <w:pStyle w:val="ListBullet"/>
            </w:pPr>
            <w:r w:rsidRPr="00D609C5">
              <w:t>pulse generation</w:t>
            </w:r>
          </w:p>
          <w:p w:rsidR="00000000" w:rsidRPr="00D609C5" w:rsidP="00D609C5">
            <w:pPr>
              <w:pStyle w:val="ListBullet"/>
            </w:pPr>
            <w:r w:rsidRPr="00D609C5">
              <w:t>lower working limit test</w:t>
            </w:r>
          </w:p>
          <w:p w:rsidR="00000000" w:rsidRPr="00D609C5" w:rsidP="00D609C5">
            <w:pPr>
              <w:pStyle w:val="ListBullet"/>
            </w:pPr>
            <w:r w:rsidRPr="00D609C5">
              <w:t>gear tr</w:t>
            </w:r>
            <w:r w:rsidRPr="00D609C5">
              <w:t>ain freedom</w:t>
            </w:r>
          </w:p>
          <w:p w:rsidR="00000000" w:rsidRPr="00D609C5" w:rsidP="00D609C5">
            <w:pPr>
              <w:pStyle w:val="ListBullet"/>
            </w:pPr>
            <w:r w:rsidRPr="00D609C5">
              <w:t>types of quartz regulating systems (capacitive, inhibition and thermo-compensation)</w:t>
            </w:r>
          </w:p>
          <w:p w:rsidR="00000000" w:rsidRPr="00D609C5" w:rsidP="00D609C5">
            <w:pPr>
              <w:pStyle w:val="ListBullet"/>
            </w:pPr>
            <w:r w:rsidRPr="00D609C5">
              <w:t>adjust rate for various types of quartz watch (e.g. +0.25 - 0.3 seconds/day)</w:t>
            </w:r>
          </w:p>
        </w:tc>
      </w:tr>
    </w:tbl>
    <w:p w:rsidR="00407ED6" w:rsidP="00D609C5">
      <w:pPr>
        <w:pStyle w:val="BodyText"/>
      </w:pPr>
    </w:p>
    <w:p w:rsidR="00407ED6" w:rsidP="00D609C5">
      <w:pPr>
        <w:pStyle w:val="BodyText"/>
      </w:pPr>
    </w:p>
    <w:p w:rsidR="00000000" w:rsidRPr="00D609C5" w:rsidP="00D609C5">
      <w:pPr>
        <w:pStyle w:val="Heading1"/>
      </w:pPr>
      <w:bookmarkStart w:id="12" w:name="O_212887"/>
      <w:bookmarkEnd w:id="12"/>
      <w:r w:rsidRPr="00D609C5">
        <w:t>Unit Sector(s)</w:t>
      </w:r>
    </w:p>
    <w:tbl>
      <w:tblPr>
        <w:tblW w:w="0" w:type="auto"/>
        <w:tblLayout w:type="fixed"/>
        <w:tblCellMar>
          <w:left w:w="62" w:type="dxa"/>
          <w:right w:w="62" w:type="dxa"/>
        </w:tblCellMar>
        <w:tblLook w:val="0000"/>
      </w:tblPr>
      <w:tblGrid>
        <w:gridCol w:w="2614"/>
        <w:gridCol w:w="5908"/>
      </w:tblGrid>
      <w:tr w:rsidTr="00407ED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r w:rsidRPr="00D609C5">
              <w:t>Horology</w:t>
            </w:r>
          </w:p>
        </w:tc>
      </w:tr>
    </w:tbl>
    <w:p w:rsidR="00407ED6" w:rsidP="00D609C5">
      <w:pPr>
        <w:pStyle w:val="BodyText"/>
      </w:pPr>
    </w:p>
    <w:p w:rsidR="00407ED6" w:rsidP="00D609C5">
      <w:pPr>
        <w:pStyle w:val="BodyText"/>
      </w:pPr>
    </w:p>
    <w:p w:rsidR="00000000" w:rsidRPr="00D609C5" w:rsidP="00D609C5">
      <w:pPr>
        <w:pStyle w:val="Heading1"/>
      </w:pPr>
      <w:bookmarkStart w:id="13" w:name="O_212884"/>
      <w:bookmarkEnd w:id="13"/>
      <w:r w:rsidRPr="00D609C5">
        <w:t>Co-requisite units</w:t>
      </w:r>
    </w:p>
    <w:tbl>
      <w:tblPr>
        <w:tblW w:w="0" w:type="auto"/>
        <w:tblLayout w:type="fixed"/>
        <w:tblCellMar>
          <w:left w:w="62" w:type="dxa"/>
          <w:right w:w="62" w:type="dxa"/>
        </w:tblCellMar>
        <w:tblLook w:val="0000"/>
      </w:tblPr>
      <w:tblGrid>
        <w:gridCol w:w="2641"/>
        <w:gridCol w:w="1322"/>
        <w:gridCol w:w="4559"/>
      </w:tblGrid>
      <w:tr w:rsidTr="00407E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p>
        </w:tc>
      </w:tr>
      <w:tr w:rsidTr="00407E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p>
        </w:tc>
      </w:tr>
      <w:tr w:rsidTr="00407E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p>
        </w:tc>
      </w:tr>
    </w:tbl>
    <w:p w:rsidR="00407ED6" w:rsidP="00D609C5">
      <w:pPr>
        <w:pStyle w:val="BodyText"/>
      </w:pPr>
    </w:p>
    <w:p w:rsidR="00407ED6" w:rsidP="00D609C5">
      <w:pPr>
        <w:pStyle w:val="BodyText"/>
      </w:pPr>
    </w:p>
    <w:p w:rsidR="00000000" w:rsidRPr="00D609C5" w:rsidP="00D609C5">
      <w:pPr>
        <w:pStyle w:val="Heading1"/>
      </w:pPr>
      <w:bookmarkStart w:id="14" w:name="O_212886"/>
      <w:bookmarkEnd w:id="14"/>
      <w:r w:rsidRPr="00D609C5">
        <w:t>Competency field</w:t>
      </w:r>
    </w:p>
    <w:tbl>
      <w:tblPr>
        <w:tblW w:w="0" w:type="auto"/>
        <w:tblLayout w:type="fixed"/>
        <w:tblCellMar>
          <w:left w:w="62" w:type="dxa"/>
          <w:right w:w="62" w:type="dxa"/>
        </w:tblCellMar>
        <w:tblLook w:val="0000"/>
      </w:tblPr>
      <w:tblGrid>
        <w:gridCol w:w="2784"/>
        <w:gridCol w:w="5738"/>
      </w:tblGrid>
      <w:tr w:rsidTr="00407E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9C5">
            <w:pPr>
              <w:pStyle w:val="BodyText"/>
              <w:rPr>
                <w:lang w:val="en-NZ"/>
              </w:rPr>
            </w:pPr>
            <w:r w:rsidRPr="00D609C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9C5" w:rsidP="00D609C5">
            <w:pPr>
              <w:pStyle w:val="BodyText"/>
            </w:pPr>
          </w:p>
        </w:tc>
      </w:tr>
    </w:tbl>
    <w:p w:rsidR="00407ED6" w:rsidP="00D609C5">
      <w:pPr>
        <w:pStyle w:val="BodyText"/>
      </w:pPr>
    </w:p>
    <w:p w:rsidR="00407ED6" w:rsidP="00D609C5">
      <w:pPr>
        <w:pStyle w:val="BodyText"/>
      </w:pPr>
    </w:p>
    <w:p w:rsidR="00000000" w:rsidRPr="00D609C5" w:rsidP="00D609C5"/>
    <w:sectPr w:rsidSect="00D609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ED6" w:rsidP="00407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D6" w:rsidP="00D60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7ED6" w:rsidP="00D609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7ED6" w:rsidP="00D609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ED6" w:rsidP="00407E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ED6" w:rsidP="00D609C5">
    <w:pPr>
      <w:pStyle w:val="Header"/>
      <w:framePr w:wrap="around"/>
    </w:pPr>
    <w:r>
      <w:fldChar w:fldCharType="begin"/>
    </w:r>
    <w:r>
      <w:instrText xml:space="preserve"> TITLE   \* MERGEFORMAT </w:instrText>
    </w:r>
    <w:r>
      <w:fldChar w:fldCharType="separate"/>
    </w:r>
    <w:r>
      <w:t>MEM21007A Service complex quartz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7ED6" w:rsidP="00D609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3858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8C54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9C5"/>
    <w:pPr>
      <w:spacing w:before="360" w:after="60"/>
      <w:outlineLvl w:val="0"/>
    </w:pPr>
    <w:rPr>
      <w:sz w:val="32"/>
    </w:rPr>
  </w:style>
  <w:style w:type="paragraph" w:styleId="Heading2">
    <w:name w:val="heading 2"/>
    <w:basedOn w:val="HeadingBase"/>
    <w:next w:val="BodyText"/>
    <w:link w:val="Heading2Char"/>
    <w:qFormat/>
    <w:rsid w:val="00D609C5"/>
    <w:pPr>
      <w:keepLines/>
      <w:spacing w:before="240" w:after="120"/>
      <w:outlineLvl w:val="1"/>
    </w:pPr>
    <w:rPr>
      <w:sz w:val="28"/>
      <w:szCs w:val="40"/>
    </w:rPr>
  </w:style>
  <w:style w:type="paragraph" w:styleId="Heading3">
    <w:name w:val="heading 3"/>
    <w:basedOn w:val="HeadingBase"/>
    <w:next w:val="BodyText"/>
    <w:link w:val="Heading3Char"/>
    <w:qFormat/>
    <w:rsid w:val="00D609C5"/>
    <w:pPr>
      <w:spacing w:before="180" w:after="120"/>
      <w:outlineLvl w:val="2"/>
    </w:pPr>
    <w:rPr>
      <w:spacing w:val="-10"/>
      <w:kern w:val="32"/>
    </w:rPr>
  </w:style>
  <w:style w:type="paragraph" w:styleId="Heading4">
    <w:name w:val="heading 4"/>
    <w:basedOn w:val="HeadingBase"/>
    <w:next w:val="BodyText"/>
    <w:link w:val="Heading4Char"/>
    <w:qFormat/>
    <w:rsid w:val="00D609C5"/>
    <w:pPr>
      <w:spacing w:before="160" w:after="120"/>
      <w:outlineLvl w:val="3"/>
    </w:pPr>
    <w:rPr>
      <w:sz w:val="22"/>
    </w:rPr>
  </w:style>
  <w:style w:type="paragraph" w:styleId="Heading5">
    <w:name w:val="heading 5"/>
    <w:basedOn w:val="HeadingBase"/>
    <w:next w:val="Normal"/>
    <w:link w:val="Heading5Char"/>
    <w:qFormat/>
    <w:rsid w:val="00D609C5"/>
    <w:pPr>
      <w:spacing w:before="80"/>
      <w:outlineLvl w:val="4"/>
    </w:pPr>
    <w:rPr>
      <w:color w:val="918585"/>
      <w:sz w:val="20"/>
    </w:rPr>
  </w:style>
  <w:style w:type="paragraph" w:styleId="Heading6">
    <w:name w:val="heading 6"/>
    <w:basedOn w:val="HeadingBase"/>
    <w:next w:val="Normal"/>
    <w:link w:val="Heading6Char"/>
    <w:qFormat/>
    <w:rsid w:val="00D609C5"/>
    <w:pPr>
      <w:spacing w:before="60"/>
      <w:outlineLvl w:val="5"/>
    </w:pPr>
    <w:rPr>
      <w:color w:val="918585"/>
      <w:sz w:val="20"/>
    </w:rPr>
  </w:style>
  <w:style w:type="paragraph" w:styleId="Heading7">
    <w:name w:val="heading 7"/>
    <w:basedOn w:val="Normal"/>
    <w:next w:val="Normal"/>
    <w:link w:val="Heading7Char"/>
    <w:qFormat/>
    <w:rsid w:val="00D609C5"/>
    <w:pPr>
      <w:ind w:left="720"/>
      <w:outlineLvl w:val="6"/>
    </w:pPr>
    <w:rPr>
      <w:i/>
    </w:rPr>
  </w:style>
  <w:style w:type="paragraph" w:styleId="Heading8">
    <w:name w:val="heading 8"/>
    <w:basedOn w:val="Normal"/>
    <w:next w:val="Normal"/>
    <w:link w:val="Heading8Char"/>
    <w:qFormat/>
    <w:rsid w:val="00D609C5"/>
    <w:pPr>
      <w:ind w:left="720"/>
      <w:outlineLvl w:val="7"/>
    </w:pPr>
    <w:rPr>
      <w:i/>
    </w:rPr>
  </w:style>
  <w:style w:type="paragraph" w:styleId="Heading9">
    <w:name w:val="heading 9"/>
    <w:basedOn w:val="Normal"/>
    <w:next w:val="Normal"/>
    <w:link w:val="Heading9Char"/>
    <w:qFormat/>
    <w:rsid w:val="00D609C5"/>
    <w:pPr>
      <w:ind w:left="720"/>
      <w:outlineLvl w:val="8"/>
    </w:pPr>
    <w:rPr>
      <w:i/>
    </w:rPr>
  </w:style>
  <w:style w:type="character" w:default="1" w:styleId="DefaultParagraphFont">
    <w:name w:val="Default Paragraph Font"/>
    <w:uiPriority w:val="1"/>
    <w:unhideWhenUsed/>
    <w:rsid w:val="00D60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9C5"/>
  </w:style>
  <w:style w:type="character" w:customStyle="1" w:styleId="Heading1Char">
    <w:name w:val="Heading 1 Char"/>
    <w:link w:val="Heading1"/>
    <w:rsid w:val="00D609C5"/>
    <w:rPr>
      <w:rFonts w:ascii="Times New Roman" w:eastAsia="Times New Roman" w:hAnsi="Times New Roman" w:cs="Times New Roman"/>
      <w:b/>
      <w:sz w:val="32"/>
      <w:szCs w:val="20"/>
      <w:lang w:eastAsia="en-US"/>
    </w:rPr>
  </w:style>
  <w:style w:type="paragraph" w:styleId="BodyText">
    <w:name w:val="Body Text"/>
    <w:basedOn w:val="Normal"/>
    <w:link w:val="BodyTextChar"/>
    <w:rsid w:val="00D609C5"/>
    <w:pPr>
      <w:spacing w:before="120" w:after="120"/>
      <w:contextualSpacing/>
    </w:pPr>
    <w:rPr>
      <w:rFonts w:ascii="Times New Roman" w:hAnsi="Times New Roman"/>
      <w:sz w:val="24"/>
      <w:szCs w:val="22"/>
    </w:rPr>
  </w:style>
  <w:style w:type="character" w:customStyle="1" w:styleId="BodyTextChar">
    <w:name w:val="Body Text Char"/>
    <w:link w:val="BodyText"/>
    <w:rsid w:val="00D609C5"/>
    <w:rPr>
      <w:rFonts w:ascii="Times New Roman" w:eastAsia="Times New Roman" w:hAnsi="Times New Roman" w:cs="Times New Roman"/>
      <w:sz w:val="24"/>
      <w:lang w:val="en-US" w:eastAsia="en-US"/>
    </w:rPr>
  </w:style>
  <w:style w:type="paragraph" w:styleId="Footer">
    <w:name w:val="footer"/>
    <w:basedOn w:val="Normal"/>
    <w:link w:val="FooterChar"/>
    <w:rsid w:val="00D60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09C5"/>
    <w:rPr>
      <w:rFonts w:ascii="Times New Roman" w:eastAsia="Times New Roman" w:hAnsi="Times New Roman" w:cs="Times New Roman"/>
      <w:sz w:val="16"/>
      <w:lang w:val="en-US" w:eastAsia="en-US"/>
    </w:rPr>
  </w:style>
  <w:style w:type="paragraph" w:styleId="List">
    <w:name w:val="List"/>
    <w:basedOn w:val="BodyText"/>
    <w:next w:val="BodyText"/>
    <w:rsid w:val="00D609C5"/>
    <w:pPr>
      <w:tabs>
        <w:tab w:val="left" w:pos="340"/>
      </w:tabs>
      <w:spacing w:before="60" w:after="60"/>
      <w:ind w:left="340" w:hanging="340"/>
    </w:pPr>
  </w:style>
  <w:style w:type="paragraph" w:styleId="ListBullet">
    <w:name w:val="List Bullet"/>
    <w:basedOn w:val="List"/>
    <w:rsid w:val="00D609C5"/>
    <w:pPr>
      <w:numPr>
        <w:numId w:val="12"/>
      </w:numPr>
      <w:tabs>
        <w:tab w:val="clear" w:pos="340"/>
      </w:tabs>
      <w:spacing w:before="40" w:after="40"/>
    </w:pPr>
  </w:style>
  <w:style w:type="character" w:customStyle="1" w:styleId="SpecialBold">
    <w:name w:val="Special Bold"/>
    <w:rsid w:val="00D609C5"/>
    <w:rPr>
      <w:b/>
      <w:spacing w:val="0"/>
    </w:rPr>
  </w:style>
  <w:style w:type="paragraph" w:styleId="Header">
    <w:name w:val="header"/>
    <w:basedOn w:val="Normal"/>
    <w:link w:val="HeaderChar"/>
    <w:rsid w:val="00D60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09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09C5"/>
    <w:pPr>
      <w:spacing w:before="240" w:after="120"/>
      <w:outlineLvl w:val="0"/>
    </w:pPr>
    <w:rPr>
      <w:rFonts w:ascii="Times New Roman" w:hAnsi="Times New Roman"/>
      <w:b/>
      <w:sz w:val="28"/>
    </w:rPr>
  </w:style>
  <w:style w:type="paragraph" w:customStyle="1" w:styleId="AllowPageBreak">
    <w:name w:val="AllowPageBreak"/>
    <w:rsid w:val="00D609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09C5"/>
    <w:pPr>
      <w:tabs>
        <w:tab w:val="left" w:pos="680"/>
      </w:tabs>
      <w:spacing w:before="60" w:after="60"/>
      <w:ind w:left="680" w:hanging="340"/>
    </w:pPr>
  </w:style>
  <w:style w:type="character" w:customStyle="1" w:styleId="Heading2Char">
    <w:name w:val="Heading 2 Char"/>
    <w:link w:val="Heading2"/>
    <w:rsid w:val="00D609C5"/>
    <w:rPr>
      <w:rFonts w:ascii="Times New Roman" w:eastAsia="Times New Roman" w:hAnsi="Times New Roman" w:cs="Times New Roman"/>
      <w:b/>
      <w:sz w:val="28"/>
      <w:szCs w:val="40"/>
      <w:lang w:eastAsia="en-US"/>
    </w:rPr>
  </w:style>
  <w:style w:type="character" w:customStyle="1" w:styleId="Heading3Char">
    <w:name w:val="Heading 3 Char"/>
    <w:link w:val="Heading3"/>
    <w:rsid w:val="00D609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09C5"/>
    <w:rPr>
      <w:rFonts w:ascii="Times New Roman" w:eastAsia="Times New Roman" w:hAnsi="Times New Roman" w:cs="Times New Roman"/>
      <w:b/>
      <w:szCs w:val="20"/>
      <w:lang w:eastAsia="en-US"/>
    </w:rPr>
  </w:style>
  <w:style w:type="character" w:customStyle="1" w:styleId="Heading5Char">
    <w:name w:val="Heading 5 Char"/>
    <w:link w:val="Heading5"/>
    <w:rsid w:val="00D609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0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9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9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9C5"/>
    <w:rPr>
      <w:rFonts w:ascii="Courier New" w:eastAsia="Times New Roman" w:hAnsi="Courier New" w:cs="Times New Roman"/>
      <w:i/>
      <w:szCs w:val="20"/>
      <w:lang w:val="en-US" w:eastAsia="en-US"/>
    </w:rPr>
  </w:style>
  <w:style w:type="paragraph" w:customStyle="1" w:styleId="HeadingBase">
    <w:name w:val="Heading Base"/>
    <w:rsid w:val="00D60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9C5"/>
    <w:pPr>
      <w:tabs>
        <w:tab w:val="right" w:leader="dot" w:pos="9072"/>
      </w:tabs>
      <w:ind w:left="567"/>
    </w:pPr>
    <w:rPr>
      <w:szCs w:val="22"/>
    </w:rPr>
  </w:style>
  <w:style w:type="paragraph" w:customStyle="1" w:styleId="TOCBase">
    <w:name w:val="TOC Base"/>
    <w:rsid w:val="00D60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9C5"/>
    <w:pPr>
      <w:tabs>
        <w:tab w:val="right" w:leader="dot" w:pos="9072"/>
      </w:tabs>
      <w:spacing w:before="40" w:after="40"/>
      <w:ind w:left="284"/>
    </w:pPr>
    <w:rPr>
      <w:rFonts w:ascii="Times New Roman" w:hAnsi="Times New Roman"/>
    </w:rPr>
  </w:style>
  <w:style w:type="paragraph" w:styleId="TOC1">
    <w:name w:val="toc 1"/>
    <w:basedOn w:val="TOCBase"/>
    <w:next w:val="Normal"/>
    <w:rsid w:val="00D609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9C5"/>
    <w:pPr>
      <w:spacing w:before="5040"/>
      <w:jc w:val="center"/>
    </w:pPr>
    <w:rPr>
      <w:sz w:val="48"/>
      <w:szCs w:val="72"/>
      <w:lang w:val="en-US"/>
    </w:rPr>
  </w:style>
  <w:style w:type="character" w:customStyle="1" w:styleId="TitleChar">
    <w:name w:val="Title Char"/>
    <w:link w:val="Title"/>
    <w:rsid w:val="00D60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9C5"/>
    <w:pPr>
      <w:tabs>
        <w:tab w:val="left" w:pos="3600"/>
        <w:tab w:val="left" w:pos="3958"/>
      </w:tabs>
    </w:pPr>
  </w:style>
  <w:style w:type="paragraph" w:customStyle="1" w:styleId="Note">
    <w:name w:val="Note"/>
    <w:basedOn w:val="BodyText"/>
    <w:rsid w:val="00D60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9C5"/>
    <w:pPr>
      <w:framePr w:wrap="auto" w:hAnchor="text" w:y="6049"/>
    </w:pPr>
    <w:rPr>
      <w:color w:val="000000"/>
      <w:sz w:val="40"/>
    </w:rPr>
  </w:style>
  <w:style w:type="paragraph" w:customStyle="1" w:styleId="TOCTitle">
    <w:name w:val="TOCTitle"/>
    <w:basedOn w:val="Heading1"/>
    <w:rsid w:val="00D609C5"/>
    <w:pPr>
      <w:spacing w:after="240"/>
      <w:jc w:val="center"/>
      <w:outlineLvl w:val="9"/>
    </w:pPr>
    <w:rPr>
      <w:caps/>
    </w:rPr>
  </w:style>
  <w:style w:type="paragraph" w:customStyle="1" w:styleId="Version">
    <w:name w:val="Version"/>
    <w:rsid w:val="00D609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09C5"/>
    <w:pPr>
      <w:numPr>
        <w:numId w:val="13"/>
      </w:numPr>
      <w:tabs>
        <w:tab w:val="clear" w:pos="680"/>
      </w:tabs>
    </w:pPr>
  </w:style>
  <w:style w:type="paragraph" w:styleId="Index1">
    <w:name w:val="index 1"/>
    <w:basedOn w:val="Normal"/>
    <w:next w:val="Normal"/>
    <w:semiHidden/>
    <w:rsid w:val="00D609C5"/>
    <w:pPr>
      <w:keepNext w:val="0"/>
      <w:tabs>
        <w:tab w:val="right" w:pos="4176"/>
      </w:tabs>
      <w:ind w:left="198" w:hanging="198"/>
    </w:pPr>
    <w:rPr>
      <w:rFonts w:ascii="Garamond" w:hAnsi="Garamond"/>
    </w:rPr>
  </w:style>
  <w:style w:type="paragraph" w:styleId="IndexHeading">
    <w:name w:val="index heading"/>
    <w:basedOn w:val="Normal"/>
    <w:next w:val="Index1"/>
    <w:semiHidden/>
    <w:rsid w:val="00D609C5"/>
    <w:pPr>
      <w:spacing w:before="120" w:after="120"/>
    </w:pPr>
    <w:rPr>
      <w:rFonts w:ascii="Arial" w:hAnsi="Arial"/>
      <w:b/>
      <w:color w:val="918585"/>
      <w:sz w:val="24"/>
    </w:rPr>
  </w:style>
  <w:style w:type="paragraph" w:customStyle="1" w:styleId="Chapter">
    <w:name w:val="Chapter"/>
    <w:basedOn w:val="Normal"/>
    <w:rsid w:val="00D609C5"/>
    <w:pPr>
      <w:spacing w:before="240"/>
    </w:pPr>
    <w:rPr>
      <w:rFonts w:ascii="Times New Roman" w:hAnsi="Times New Roman"/>
      <w:smallCaps/>
      <w:spacing w:val="80"/>
      <w:sz w:val="28"/>
    </w:rPr>
  </w:style>
  <w:style w:type="paragraph" w:customStyle="1" w:styleId="InChapter">
    <w:name w:val="InChapter"/>
    <w:basedOn w:val="Heading3"/>
    <w:rsid w:val="00D609C5"/>
    <w:pPr>
      <w:spacing w:after="240"/>
      <w:outlineLvl w:val="9"/>
    </w:pPr>
    <w:rPr>
      <w:noProof/>
    </w:rPr>
  </w:style>
  <w:style w:type="paragraph" w:styleId="Index2">
    <w:name w:val="index 2"/>
    <w:basedOn w:val="Normal"/>
    <w:next w:val="Normal"/>
    <w:semiHidden/>
    <w:rsid w:val="00D609C5"/>
    <w:pPr>
      <w:tabs>
        <w:tab w:val="right" w:pos="4176"/>
      </w:tabs>
      <w:ind w:left="568" w:hanging="284"/>
    </w:pPr>
    <w:rPr>
      <w:rFonts w:ascii="Garamond" w:hAnsi="Garamond"/>
    </w:rPr>
  </w:style>
  <w:style w:type="paragraph" w:customStyle="1" w:styleId="Byline">
    <w:name w:val="Byline"/>
    <w:rsid w:val="00D60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9C5"/>
    <w:pPr>
      <w:tabs>
        <w:tab w:val="clear" w:pos="3600"/>
        <w:tab w:val="clear" w:pos="3958"/>
      </w:tabs>
      <w:jc w:val="right"/>
    </w:pPr>
  </w:style>
  <w:style w:type="character" w:styleId="Emphasis">
    <w:name w:val="Emphasis"/>
    <w:qFormat/>
    <w:rsid w:val="00D609C5"/>
    <w:rPr>
      <w:i/>
    </w:rPr>
  </w:style>
  <w:style w:type="paragraph" w:styleId="Caption">
    <w:name w:val="caption"/>
    <w:basedOn w:val="BodyText"/>
    <w:next w:val="Normal"/>
    <w:qFormat/>
    <w:rsid w:val="00D609C5"/>
    <w:pPr>
      <w:framePr w:w="2268" w:hSpace="181" w:vSpace="181" w:wrap="around" w:vAnchor="text" w:hAnchor="page" w:x="1135" w:y="285" w:anchorLock="1"/>
    </w:pPr>
    <w:rPr>
      <w:i/>
    </w:rPr>
  </w:style>
  <w:style w:type="paragraph" w:customStyle="1" w:styleId="MiniTOCTitle">
    <w:name w:val="MiniTOCTitle"/>
    <w:basedOn w:val="Heading4"/>
    <w:rsid w:val="00D609C5"/>
    <w:pPr>
      <w:spacing w:before="240"/>
      <w:outlineLvl w:val="9"/>
    </w:pPr>
    <w:rPr>
      <w:noProof/>
      <w:sz w:val="24"/>
    </w:rPr>
  </w:style>
  <w:style w:type="paragraph" w:customStyle="1" w:styleId="MiniTOCItem">
    <w:name w:val="MiniTOCItem"/>
    <w:basedOn w:val="ListBullet"/>
    <w:rsid w:val="00D609C5"/>
    <w:pPr>
      <w:numPr>
        <w:numId w:val="0"/>
      </w:numPr>
      <w:tabs>
        <w:tab w:val="right" w:leader="dot" w:pos="6521"/>
      </w:tabs>
      <w:spacing w:before="0" w:after="0"/>
    </w:pPr>
  </w:style>
  <w:style w:type="paragraph" w:customStyle="1" w:styleId="TOFTitle">
    <w:name w:val="TOFTitle"/>
    <w:basedOn w:val="TOCTitle"/>
    <w:rsid w:val="00D609C5"/>
  </w:style>
  <w:style w:type="paragraph" w:styleId="TableofFigures">
    <w:name w:val="table of figures"/>
    <w:basedOn w:val="Normal"/>
    <w:next w:val="Normal"/>
    <w:semiHidden/>
    <w:rsid w:val="00D609C5"/>
    <w:pPr>
      <w:tabs>
        <w:tab w:val="right" w:leader="dot" w:pos="9072"/>
      </w:tabs>
      <w:ind w:left="970" w:hanging="403"/>
    </w:pPr>
    <w:rPr>
      <w:rFonts w:ascii="Times New Roman" w:hAnsi="Times New Roman"/>
      <w:b/>
    </w:rPr>
  </w:style>
  <w:style w:type="paragraph" w:styleId="ListNumber">
    <w:name w:val="List Number"/>
    <w:basedOn w:val="List"/>
    <w:rsid w:val="00D609C5"/>
    <w:pPr>
      <w:numPr>
        <w:numId w:val="10"/>
      </w:numPr>
    </w:pPr>
  </w:style>
  <w:style w:type="character" w:customStyle="1" w:styleId="WingdingSymbols">
    <w:name w:val="Wingding Symbols"/>
    <w:rsid w:val="00D609C5"/>
    <w:rPr>
      <w:rFonts w:ascii="Wingdings" w:hAnsi="Wingdings"/>
    </w:rPr>
  </w:style>
  <w:style w:type="paragraph" w:customStyle="1" w:styleId="TableHeading">
    <w:name w:val="Table Heading"/>
    <w:basedOn w:val="HeadingBase"/>
    <w:rsid w:val="00D609C5"/>
    <w:pPr>
      <w:keepLines/>
      <w:pBdr>
        <w:bottom w:val="single" w:sz="6" w:space="1" w:color="918585"/>
      </w:pBdr>
      <w:spacing w:before="240"/>
    </w:pPr>
  </w:style>
  <w:style w:type="character" w:customStyle="1" w:styleId="HotSpot">
    <w:name w:val="HotSpot"/>
    <w:rsid w:val="00D609C5"/>
    <w:rPr>
      <w:color w:val="0033CC"/>
      <w:u w:val="none"/>
    </w:rPr>
  </w:style>
  <w:style w:type="paragraph" w:customStyle="1" w:styleId="BodyTextRight">
    <w:name w:val="Body Text Right"/>
    <w:basedOn w:val="BodyText"/>
    <w:rsid w:val="00D609C5"/>
    <w:pPr>
      <w:spacing w:before="0" w:after="0"/>
      <w:jc w:val="right"/>
    </w:pPr>
  </w:style>
  <w:style w:type="paragraph" w:styleId="Index3">
    <w:name w:val="index 3"/>
    <w:basedOn w:val="ListNumber2"/>
    <w:next w:val="Normal"/>
    <w:semiHidden/>
    <w:rsid w:val="00D609C5"/>
    <w:pPr>
      <w:numPr>
        <w:numId w:val="0"/>
      </w:numPr>
      <w:tabs>
        <w:tab w:val="right" w:leader="dot" w:pos="4176"/>
      </w:tabs>
    </w:pPr>
  </w:style>
  <w:style w:type="paragraph" w:styleId="ListNumber2">
    <w:name w:val="List Number 2"/>
    <w:basedOn w:val="List2"/>
    <w:rsid w:val="00D609C5"/>
    <w:pPr>
      <w:numPr>
        <w:numId w:val="9"/>
      </w:numPr>
      <w:tabs>
        <w:tab w:val="clear" w:pos="1060"/>
      </w:tabs>
    </w:pPr>
  </w:style>
  <w:style w:type="paragraph" w:customStyle="1" w:styleId="MarginNote">
    <w:name w:val="Margin Note"/>
    <w:basedOn w:val="BodyText"/>
    <w:rsid w:val="00D60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09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9C5"/>
    <w:rPr>
      <w:sz w:val="32"/>
    </w:rPr>
  </w:style>
  <w:style w:type="paragraph" w:customStyle="1" w:styleId="HeadingProcedure">
    <w:name w:val="Heading Procedure"/>
    <w:basedOn w:val="HeadingBase"/>
    <w:next w:val="Normal"/>
    <w:rsid w:val="00D609C5"/>
    <w:pPr>
      <w:tabs>
        <w:tab w:val="left" w:pos="0"/>
      </w:tabs>
      <w:spacing w:before="120" w:after="60"/>
    </w:pPr>
    <w:rPr>
      <w:i/>
      <w:color w:val="918585"/>
      <w:sz w:val="22"/>
    </w:rPr>
  </w:style>
  <w:style w:type="paragraph" w:customStyle="1" w:styleId="TableBodyText">
    <w:name w:val="Table Body Text"/>
    <w:basedOn w:val="BodyText"/>
    <w:rsid w:val="00D609C5"/>
    <w:pPr>
      <w:spacing w:before="60" w:after="60"/>
    </w:pPr>
  </w:style>
  <w:style w:type="paragraph" w:styleId="ListContinue">
    <w:name w:val="List Continue"/>
    <w:basedOn w:val="List"/>
    <w:rsid w:val="00D609C5"/>
    <w:pPr>
      <w:ind w:firstLine="0"/>
    </w:pPr>
  </w:style>
  <w:style w:type="paragraph" w:customStyle="1" w:styleId="ListNote">
    <w:name w:val="List Note"/>
    <w:basedOn w:val="List"/>
    <w:rsid w:val="00D609C5"/>
    <w:pPr>
      <w:pBdr>
        <w:top w:val="single" w:sz="6" w:space="2" w:color="918585"/>
        <w:bottom w:val="single" w:sz="6" w:space="2" w:color="918585"/>
      </w:pBdr>
      <w:tabs>
        <w:tab w:val="left" w:pos="1021"/>
      </w:tabs>
      <w:ind w:firstLine="0"/>
    </w:pPr>
  </w:style>
  <w:style w:type="paragraph" w:customStyle="1" w:styleId="Warning">
    <w:name w:val="Warning"/>
    <w:basedOn w:val="BodyText"/>
    <w:rsid w:val="00D609C5"/>
    <w:pPr>
      <w:shd w:val="clear" w:color="auto" w:fill="D9D9D9"/>
      <w:tabs>
        <w:tab w:val="left" w:pos="992"/>
      </w:tabs>
      <w:ind w:left="119" w:right="119"/>
    </w:pPr>
    <w:rPr>
      <w:sz w:val="20"/>
    </w:rPr>
  </w:style>
  <w:style w:type="paragraph" w:customStyle="1" w:styleId="MarginIcons">
    <w:name w:val="Margin Icons"/>
    <w:basedOn w:val="BodyText"/>
    <w:rsid w:val="00D609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09C5"/>
    <w:rPr>
      <w:rFonts w:ascii="Courier New" w:hAnsi="Courier New"/>
    </w:rPr>
  </w:style>
  <w:style w:type="paragraph" w:customStyle="1" w:styleId="NoteBullet">
    <w:name w:val="Note Bullet"/>
    <w:basedOn w:val="Note"/>
    <w:rsid w:val="00D609C5"/>
    <w:pPr>
      <w:tabs>
        <w:tab w:val="clear" w:pos="680"/>
      </w:tabs>
      <w:spacing w:before="60" w:after="60"/>
    </w:pPr>
  </w:style>
  <w:style w:type="paragraph" w:customStyle="1" w:styleId="SubHeading2">
    <w:name w:val="SubHeading2"/>
    <w:basedOn w:val="HeadingBase"/>
    <w:rsid w:val="00D609C5"/>
    <w:pPr>
      <w:spacing w:before="240" w:after="60"/>
    </w:pPr>
    <w:rPr>
      <w:sz w:val="20"/>
    </w:rPr>
  </w:style>
  <w:style w:type="paragraph" w:customStyle="1" w:styleId="SubHeading1">
    <w:name w:val="SubHeading1"/>
    <w:basedOn w:val="HeadingBase"/>
    <w:rsid w:val="00D609C5"/>
    <w:pPr>
      <w:spacing w:before="240" w:after="60"/>
    </w:pPr>
    <w:rPr>
      <w:color w:val="918585"/>
      <w:sz w:val="22"/>
    </w:rPr>
  </w:style>
  <w:style w:type="paragraph" w:customStyle="1" w:styleId="SideHeading">
    <w:name w:val="Side Heading"/>
    <w:basedOn w:val="HeadingBase"/>
    <w:rsid w:val="00D60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9C5"/>
    <w:pPr>
      <w:tabs>
        <w:tab w:val="num" w:pos="360"/>
      </w:tabs>
    </w:pPr>
  </w:style>
  <w:style w:type="paragraph" w:styleId="PlainText">
    <w:name w:val="Plain Text"/>
    <w:basedOn w:val="Normal"/>
    <w:link w:val="PlainTextChar"/>
    <w:rsid w:val="00D609C5"/>
    <w:rPr>
      <w:sz w:val="20"/>
    </w:rPr>
  </w:style>
  <w:style w:type="character" w:customStyle="1" w:styleId="PlainTextChar">
    <w:name w:val="Plain Text Char"/>
    <w:basedOn w:val="DefaultParagraphFont"/>
    <w:link w:val="PlainText"/>
    <w:rsid w:val="00D609C5"/>
    <w:rPr>
      <w:rFonts w:ascii="Courier New" w:eastAsia="Times New Roman" w:hAnsi="Courier New" w:cs="Times New Roman"/>
      <w:sz w:val="20"/>
      <w:szCs w:val="20"/>
      <w:lang w:val="en-US" w:eastAsia="en-US"/>
    </w:rPr>
  </w:style>
  <w:style w:type="character" w:customStyle="1" w:styleId="MenuOption">
    <w:name w:val="Menu Option"/>
    <w:rsid w:val="00D609C5"/>
    <w:rPr>
      <w:b/>
      <w:smallCaps/>
    </w:rPr>
  </w:style>
  <w:style w:type="paragraph" w:customStyle="1" w:styleId="TableListNumber">
    <w:name w:val="Table List Number"/>
    <w:basedOn w:val="ListNumber"/>
    <w:rsid w:val="00D609C5"/>
    <w:pPr>
      <w:numPr>
        <w:numId w:val="0"/>
      </w:numPr>
    </w:pPr>
  </w:style>
  <w:style w:type="paragraph" w:styleId="TOC4">
    <w:name w:val="toc 4"/>
    <w:basedOn w:val="TOCBase"/>
    <w:next w:val="Normal"/>
    <w:semiHidden/>
    <w:rsid w:val="00D609C5"/>
    <w:pPr>
      <w:tabs>
        <w:tab w:val="right" w:leader="dot" w:pos="9071"/>
      </w:tabs>
      <w:ind w:left="1701"/>
    </w:pPr>
  </w:style>
  <w:style w:type="paragraph" w:customStyle="1" w:styleId="ListAlpha">
    <w:name w:val="List Alpha"/>
    <w:basedOn w:val="List"/>
    <w:rsid w:val="00D609C5"/>
    <w:pPr>
      <w:numPr>
        <w:numId w:val="8"/>
      </w:numPr>
    </w:pPr>
  </w:style>
  <w:style w:type="paragraph" w:customStyle="1" w:styleId="ListAlpha2">
    <w:name w:val="List Alpha 2"/>
    <w:basedOn w:val="List2"/>
    <w:rsid w:val="00D609C5"/>
    <w:pPr>
      <w:numPr>
        <w:numId w:val="7"/>
      </w:numPr>
    </w:pPr>
  </w:style>
  <w:style w:type="paragraph" w:styleId="List3">
    <w:name w:val="List 3"/>
    <w:basedOn w:val="BodyText"/>
    <w:rsid w:val="00D609C5"/>
    <w:pPr>
      <w:tabs>
        <w:tab w:val="left" w:pos="1021"/>
      </w:tabs>
      <w:spacing w:before="60" w:after="60"/>
      <w:ind w:left="1020" w:hanging="340"/>
    </w:pPr>
  </w:style>
  <w:style w:type="paragraph" w:styleId="List4">
    <w:name w:val="List 4"/>
    <w:basedOn w:val="BodyText"/>
    <w:rsid w:val="00D609C5"/>
    <w:pPr>
      <w:tabs>
        <w:tab w:val="left" w:pos="1361"/>
      </w:tabs>
      <w:spacing w:before="60" w:after="60"/>
      <w:ind w:left="1361" w:hanging="340"/>
    </w:pPr>
  </w:style>
  <w:style w:type="paragraph" w:styleId="List5">
    <w:name w:val="List 5"/>
    <w:basedOn w:val="BodyText"/>
    <w:rsid w:val="00D609C5"/>
    <w:pPr>
      <w:tabs>
        <w:tab w:val="left" w:pos="1701"/>
      </w:tabs>
      <w:spacing w:before="60" w:after="60"/>
      <w:ind w:left="1701" w:hanging="340"/>
    </w:pPr>
  </w:style>
  <w:style w:type="paragraph" w:styleId="ListBullet3">
    <w:name w:val="List Bullet 3"/>
    <w:basedOn w:val="List3"/>
    <w:rsid w:val="00D609C5"/>
    <w:pPr>
      <w:numPr>
        <w:numId w:val="14"/>
      </w:numPr>
      <w:tabs>
        <w:tab w:val="clear" w:pos="1021"/>
      </w:tabs>
      <w:ind w:left="1037" w:hanging="357"/>
    </w:pPr>
  </w:style>
  <w:style w:type="paragraph" w:styleId="ListBullet4">
    <w:name w:val="List Bullet 4"/>
    <w:basedOn w:val="List4"/>
    <w:rsid w:val="00D609C5"/>
    <w:pPr>
      <w:numPr>
        <w:numId w:val="2"/>
      </w:numPr>
    </w:pPr>
  </w:style>
  <w:style w:type="paragraph" w:styleId="ListBullet5">
    <w:name w:val="List Bullet 5"/>
    <w:basedOn w:val="List5"/>
    <w:rsid w:val="00D609C5"/>
    <w:pPr>
      <w:numPr>
        <w:numId w:val="3"/>
      </w:numPr>
    </w:pPr>
  </w:style>
  <w:style w:type="paragraph" w:styleId="ListContinue2">
    <w:name w:val="List Continue 2"/>
    <w:basedOn w:val="List2"/>
    <w:rsid w:val="00D609C5"/>
    <w:pPr>
      <w:ind w:firstLine="0"/>
    </w:pPr>
  </w:style>
  <w:style w:type="paragraph" w:styleId="ListContinue3">
    <w:name w:val="List Continue 3"/>
    <w:basedOn w:val="List3"/>
    <w:rsid w:val="00D609C5"/>
    <w:pPr>
      <w:ind w:left="1021" w:firstLine="0"/>
    </w:pPr>
  </w:style>
  <w:style w:type="paragraph" w:styleId="ListContinue4">
    <w:name w:val="List Continue 4"/>
    <w:basedOn w:val="List4"/>
    <w:rsid w:val="00D609C5"/>
    <w:pPr>
      <w:ind w:firstLine="0"/>
    </w:pPr>
  </w:style>
  <w:style w:type="paragraph" w:styleId="ListContinue5">
    <w:name w:val="List Continue 5"/>
    <w:basedOn w:val="List5"/>
    <w:rsid w:val="00D609C5"/>
    <w:pPr>
      <w:ind w:firstLine="0"/>
    </w:pPr>
  </w:style>
  <w:style w:type="paragraph" w:styleId="ListNumber3">
    <w:name w:val="List Number 3"/>
    <w:basedOn w:val="List3"/>
    <w:rsid w:val="00D609C5"/>
    <w:pPr>
      <w:numPr>
        <w:numId w:val="4"/>
      </w:numPr>
    </w:pPr>
  </w:style>
  <w:style w:type="paragraph" w:styleId="ListNumber4">
    <w:name w:val="List Number 4"/>
    <w:basedOn w:val="List4"/>
    <w:rsid w:val="00D609C5"/>
    <w:pPr>
      <w:numPr>
        <w:numId w:val="5"/>
      </w:numPr>
    </w:pPr>
  </w:style>
  <w:style w:type="paragraph" w:styleId="ListNumber5">
    <w:name w:val="List Number 5"/>
    <w:basedOn w:val="List5"/>
    <w:rsid w:val="00D609C5"/>
    <w:pPr>
      <w:numPr>
        <w:numId w:val="6"/>
      </w:numPr>
    </w:pPr>
  </w:style>
  <w:style w:type="paragraph" w:styleId="BlockText">
    <w:name w:val="Block Text"/>
    <w:basedOn w:val="Normal"/>
    <w:rsid w:val="00D609C5"/>
    <w:pPr>
      <w:spacing w:after="120"/>
      <w:ind w:left="1440" w:right="1440"/>
    </w:pPr>
  </w:style>
  <w:style w:type="character" w:customStyle="1" w:styleId="Subscript">
    <w:name w:val="Subscript"/>
    <w:rsid w:val="00D609C5"/>
    <w:rPr>
      <w:sz w:val="16"/>
      <w:vertAlign w:val="subscript"/>
    </w:rPr>
  </w:style>
  <w:style w:type="character" w:customStyle="1" w:styleId="Superscript">
    <w:name w:val="Superscript"/>
    <w:rsid w:val="00D609C5"/>
    <w:rPr>
      <w:sz w:val="16"/>
      <w:vertAlign w:val="superscript"/>
    </w:rPr>
  </w:style>
  <w:style w:type="character" w:customStyle="1" w:styleId="Symbols">
    <w:name w:val="Symbols"/>
    <w:rsid w:val="00D609C5"/>
    <w:rPr>
      <w:rFonts w:ascii="Symbol" w:hAnsi="Symbol"/>
    </w:rPr>
  </w:style>
  <w:style w:type="character" w:customStyle="1" w:styleId="MenuOptions">
    <w:name w:val="Menu Options"/>
    <w:rsid w:val="00D609C5"/>
    <w:rPr>
      <w:rFonts w:ascii="Arial Narrow" w:hAnsi="Arial Narrow"/>
      <w:smallCaps/>
    </w:rPr>
  </w:style>
  <w:style w:type="character" w:customStyle="1" w:styleId="Buttons">
    <w:name w:val="Buttons"/>
    <w:rsid w:val="00D609C5"/>
    <w:rPr>
      <w:b/>
    </w:rPr>
  </w:style>
  <w:style w:type="character" w:customStyle="1" w:styleId="Underlined">
    <w:name w:val="Underlined"/>
    <w:rsid w:val="00D609C5"/>
    <w:rPr>
      <w:u w:val="single"/>
    </w:rPr>
  </w:style>
  <w:style w:type="paragraph" w:customStyle="1" w:styleId="TableBodyTextRight">
    <w:name w:val="Table Body Text Right"/>
    <w:basedOn w:val="TableBodyText"/>
    <w:rsid w:val="00D609C5"/>
    <w:pPr>
      <w:widowControl w:val="0"/>
      <w:autoSpaceDE w:val="0"/>
      <w:autoSpaceDN w:val="0"/>
      <w:adjustRightInd w:val="0"/>
      <w:jc w:val="right"/>
    </w:pPr>
    <w:rPr>
      <w:rFonts w:cs="Arial"/>
      <w:szCs w:val="18"/>
    </w:rPr>
  </w:style>
  <w:style w:type="paragraph" w:customStyle="1" w:styleId="CopyrightText">
    <w:name w:val="Copyright Text"/>
    <w:basedOn w:val="BodyText"/>
    <w:rsid w:val="00D609C5"/>
    <w:rPr>
      <w:sz w:val="18"/>
    </w:rPr>
  </w:style>
  <w:style w:type="paragraph" w:customStyle="1" w:styleId="BodySmallRight">
    <w:name w:val="Body Small Right"/>
    <w:basedOn w:val="BodyTextRight"/>
    <w:rsid w:val="00D609C5"/>
    <w:rPr>
      <w:sz w:val="18"/>
      <w:szCs w:val="18"/>
    </w:rPr>
  </w:style>
  <w:style w:type="paragraph" w:customStyle="1" w:styleId="MarginEdition">
    <w:name w:val="Margin Edition"/>
    <w:basedOn w:val="MarginNote"/>
    <w:rsid w:val="00D609C5"/>
    <w:pPr>
      <w:spacing w:before="0" w:after="0"/>
    </w:pPr>
    <w:rPr>
      <w:rFonts w:ascii="Times New Roman" w:hAnsi="Times New Roman"/>
      <w:color w:val="999999"/>
    </w:rPr>
  </w:style>
  <w:style w:type="paragraph" w:customStyle="1" w:styleId="Spacer">
    <w:name w:val="Spacer"/>
    <w:basedOn w:val="Normal"/>
    <w:rsid w:val="00D609C5"/>
    <w:rPr>
      <w:sz w:val="2"/>
      <w:szCs w:val="2"/>
    </w:rPr>
  </w:style>
  <w:style w:type="character" w:customStyle="1" w:styleId="Small">
    <w:name w:val="Small"/>
    <w:rsid w:val="00D609C5"/>
    <w:rPr>
      <w:sz w:val="16"/>
    </w:rPr>
  </w:style>
  <w:style w:type="paragraph" w:customStyle="1" w:styleId="WideTable">
    <w:name w:val="Wide Table"/>
    <w:basedOn w:val="Normal"/>
    <w:rsid w:val="00D609C5"/>
    <w:pPr>
      <w:ind w:left="-1418"/>
    </w:pPr>
    <w:rPr>
      <w:sz w:val="2"/>
      <w:szCs w:val="2"/>
    </w:rPr>
  </w:style>
  <w:style w:type="character" w:styleId="PageNumber">
    <w:name w:val="page number"/>
    <w:rsid w:val="00D609C5"/>
  </w:style>
  <w:style w:type="paragraph" w:styleId="Quote">
    <w:name w:val="Quote"/>
    <w:basedOn w:val="Heading1"/>
    <w:link w:val="QuoteChar"/>
    <w:qFormat/>
    <w:rsid w:val="00D609C5"/>
    <w:rPr>
      <w:b w:val="0"/>
      <w:sz w:val="72"/>
      <w:szCs w:val="72"/>
      <w:lang w:val="en-NZ"/>
    </w:rPr>
  </w:style>
  <w:style w:type="character" w:customStyle="1" w:styleId="QuoteChar">
    <w:name w:val="Quote Char"/>
    <w:link w:val="Quote"/>
    <w:rsid w:val="00D60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9C5"/>
    <w:pPr>
      <w:pageBreakBefore/>
    </w:pPr>
  </w:style>
  <w:style w:type="paragraph" w:customStyle="1" w:styleId="Border">
    <w:name w:val="Border"/>
    <w:basedOn w:val="Normal"/>
    <w:qFormat/>
    <w:rsid w:val="00D609C5"/>
    <w:pPr>
      <w:pBdr>
        <w:top w:val="single" w:sz="18" w:space="1" w:color="auto"/>
      </w:pBdr>
    </w:pPr>
    <w:rPr>
      <w:rFonts w:ascii="Times New Roman" w:hAnsi="Times New Roman"/>
      <w:color w:val="FFFFFF"/>
      <w:sz w:val="2"/>
    </w:rPr>
  </w:style>
  <w:style w:type="character" w:styleId="IntenseEmphasis">
    <w:name w:val="Intense Emphasis"/>
    <w:uiPriority w:val="21"/>
    <w:qFormat/>
    <w:rsid w:val="00D609C5"/>
    <w:rPr>
      <w:b/>
      <w:bCs/>
      <w:i/>
      <w:iCs/>
      <w:color w:val="auto"/>
    </w:rPr>
  </w:style>
  <w:style w:type="paragraph" w:styleId="IntenseQuote">
    <w:name w:val="Intense Quote"/>
    <w:basedOn w:val="Normal"/>
    <w:next w:val="Normal"/>
    <w:link w:val="IntenseQuoteChar"/>
    <w:uiPriority w:val="30"/>
    <w:qFormat/>
    <w:rsid w:val="00D609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09C5"/>
    <w:rPr>
      <w:rFonts w:ascii="Courier New" w:eastAsia="Times New Roman" w:hAnsi="Courier New" w:cs="Times New Roman"/>
      <w:b/>
      <w:bCs/>
      <w:i/>
      <w:iCs/>
      <w:szCs w:val="20"/>
      <w:lang w:val="en-US" w:eastAsia="en-US"/>
    </w:rPr>
  </w:style>
  <w:style w:type="character" w:styleId="SubtleReference">
    <w:name w:val="Subtle Reference"/>
    <w:uiPriority w:val="31"/>
    <w:qFormat/>
    <w:rsid w:val="00D609C5"/>
    <w:rPr>
      <w:smallCaps/>
      <w:color w:val="auto"/>
      <w:u w:val="single"/>
    </w:rPr>
  </w:style>
  <w:style w:type="character" w:styleId="IntenseReference">
    <w:name w:val="Intense Reference"/>
    <w:uiPriority w:val="32"/>
    <w:qFormat/>
    <w:rsid w:val="00D609C5"/>
    <w:rPr>
      <w:b/>
      <w:bCs/>
      <w:smallCaps/>
      <w:color w:val="auto"/>
      <w:spacing w:val="5"/>
      <w:u w:val="single"/>
    </w:rPr>
  </w:style>
  <w:style w:type="paragraph" w:customStyle="1" w:styleId="2ColumnHeading">
    <w:name w:val="2Column Heading"/>
    <w:basedOn w:val="BodyText"/>
    <w:qFormat/>
    <w:rsid w:val="00D609C5"/>
    <w:pPr>
      <w:spacing w:after="60"/>
      <w:ind w:left="-2268"/>
    </w:pPr>
    <w:rPr>
      <w:b/>
    </w:rPr>
  </w:style>
  <w:style w:type="paragraph" w:customStyle="1" w:styleId="Heading1TOC">
    <w:name w:val="Heading1 TOC"/>
    <w:basedOn w:val="Normal"/>
    <w:qFormat/>
    <w:rsid w:val="00D609C5"/>
    <w:pPr>
      <w:spacing w:before="240" w:after="120"/>
    </w:pPr>
    <w:rPr>
      <w:rFonts w:ascii="Times New Roman" w:hAnsi="Times New Roman"/>
      <w:b/>
      <w:sz w:val="32"/>
    </w:rPr>
  </w:style>
  <w:style w:type="paragraph" w:customStyle="1" w:styleId="Heading2TOC">
    <w:name w:val="Heading2 TOC"/>
    <w:basedOn w:val="Normal"/>
    <w:qFormat/>
    <w:rsid w:val="00D609C5"/>
    <w:pPr>
      <w:spacing w:before="240" w:after="60"/>
    </w:pPr>
    <w:rPr>
      <w:rFonts w:ascii="Times New Roman" w:hAnsi="Times New Roman"/>
      <w:b/>
      <w:sz w:val="28"/>
    </w:rPr>
  </w:style>
  <w:style w:type="character" w:customStyle="1" w:styleId="Underline">
    <w:name w:val="Underline"/>
    <w:qFormat/>
    <w:rsid w:val="00D609C5"/>
    <w:rPr>
      <w:u w:val="single"/>
    </w:rPr>
  </w:style>
  <w:style w:type="character" w:customStyle="1" w:styleId="BoldandItalics">
    <w:name w:val="Bold and Italics"/>
    <w:qFormat/>
    <w:rsid w:val="00D609C5"/>
    <w:rPr>
      <w:b/>
      <w:i/>
      <w:u w:val="none"/>
    </w:rPr>
  </w:style>
  <w:style w:type="paragraph" w:styleId="BalloonText">
    <w:name w:val="Balloon Text"/>
    <w:basedOn w:val="Normal"/>
    <w:link w:val="BalloonTextChar"/>
    <w:rsid w:val="00D609C5"/>
    <w:rPr>
      <w:rFonts w:ascii="Tahoma" w:hAnsi="Tahoma" w:cs="Tahoma"/>
      <w:sz w:val="16"/>
      <w:szCs w:val="16"/>
    </w:rPr>
  </w:style>
  <w:style w:type="character" w:customStyle="1" w:styleId="BalloonTextChar">
    <w:name w:val="Balloon Text Char"/>
    <w:link w:val="BalloonText"/>
    <w:rsid w:val="00D609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9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09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1203</Words>
  <Characters>7786</Characters>
  <Application>Microsoft Office Word</Application>
  <DocSecurity>0</DocSecurity>
  <Lines>299</Lines>
  <Paragraphs>160</Paragraphs>
  <ScaleCrop>false</ScaleCrop>
  <Company>Author-it Software Corporation Ltd.</Company>
  <LinksUpToDate>false</LinksUpToDate>
  <CharactersWithSpaces>8906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MEM21007A Service complex quartz watches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2012-05-27T02:05:00Z</dcterms:created>
  <dcterms:modified xsi:type="dcterms:W3CDTF">2012-05-27T02:05:00Z</dcterms:modified>
</cp:coreProperties>
</file>