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F83" w:rsidP="00834F83">
      <w:pPr>
        <w:pStyle w:val="Title"/>
      </w:pPr>
      <w:r>
        <w:fldChar w:fldCharType="begin"/>
      </w:r>
      <w:r>
        <w:instrText xml:space="preserve"> TITLE   \* MERGEFORMAT </w:instrText>
      </w:r>
      <w:r>
        <w:fldChar w:fldCharType="separate"/>
      </w:r>
      <w:r>
        <w:t>MEM21006A Service quartz watches</w:t>
      </w:r>
      <w:r>
        <w:fldChar w:fldCharType="end"/>
      </w:r>
    </w:p>
    <w:p w:rsidR="00834F83" w:rsidP="00834F83">
      <w:pPr>
        <w:pStyle w:val="Version"/>
        <w:sectPr w:rsidSect="00F40E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0EDF" w:rsidP="00F40EDF">
      <w:pPr>
        <w:pStyle w:val="SuperHeading"/>
      </w:pPr>
      <w:r w:rsidRPr="00F40EDF">
        <w:t>MEM21006A Service quartz watches</w:t>
      </w:r>
    </w:p>
    <w:p w:rsidR="00000000" w:rsidRPr="00F40EDF" w:rsidP="00F40EDF">
      <w:pPr>
        <w:pStyle w:val="Heading1"/>
      </w:pPr>
      <w:bookmarkStart w:id="1" w:name="O_272348"/>
      <w:bookmarkEnd w:id="1"/>
      <w:r w:rsidRPr="00F40EDF">
        <w:t>Modification History</w:t>
      </w:r>
    </w:p>
    <w:p w:rsidR="00000000" w:rsidRPr="00F40EDF" w:rsidP="00F40EDF">
      <w:pPr>
        <w:pStyle w:val="BodyText"/>
      </w:pPr>
      <w:r w:rsidRPr="00F40EDF">
        <w:t>Not Applicable</w:t>
      </w:r>
    </w:p>
    <w:p w:rsidR="00000000" w:rsidRPr="00F40EDF" w:rsidP="00F40EDF">
      <w:pPr>
        <w:pStyle w:val="AllowPageBreak"/>
      </w:pPr>
    </w:p>
    <w:p w:rsidR="00000000" w:rsidRPr="00F40EDF" w:rsidP="00F40EDF">
      <w:pPr>
        <w:pStyle w:val="Heading1"/>
      </w:pPr>
      <w:bookmarkStart w:id="2" w:name="O_212874"/>
      <w:bookmarkEnd w:id="2"/>
      <w:r w:rsidRPr="00F40EDF">
        <w:t>Unit Descriptor</w:t>
      </w:r>
    </w:p>
    <w:tbl>
      <w:tblPr>
        <w:tblW w:w="0" w:type="auto"/>
        <w:tblLayout w:type="fixed"/>
        <w:tblCellMar>
          <w:left w:w="62" w:type="dxa"/>
          <w:right w:w="62" w:type="dxa"/>
        </w:tblCellMar>
        <w:tblLook w:val="0000"/>
      </w:tblPr>
      <w:tblGrid>
        <w:gridCol w:w="2670"/>
        <w:gridCol w:w="5852"/>
      </w:tblGrid>
      <w:tr w:rsidTr="00834F8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This unit of competency covers servicing techniques for quartz analog and digital display watches, including modules a</w:t>
            </w:r>
            <w:r w:rsidRPr="00F40EDF">
              <w:t>nd case components.</w:t>
            </w:r>
          </w:p>
        </w:tc>
      </w:tr>
    </w:tbl>
    <w:p w:rsidR="00834F83" w:rsidP="00F40EDF">
      <w:pPr>
        <w:pStyle w:val="BodyText"/>
      </w:pPr>
    </w:p>
    <w:p w:rsidR="00834F83" w:rsidP="00F40EDF">
      <w:pPr>
        <w:pStyle w:val="BodyText"/>
      </w:pPr>
    </w:p>
    <w:p w:rsidR="00000000" w:rsidRPr="00F40EDF" w:rsidP="00F40EDF">
      <w:pPr>
        <w:pStyle w:val="Heading1"/>
      </w:pPr>
      <w:bookmarkStart w:id="3" w:name="O_212878"/>
      <w:bookmarkEnd w:id="3"/>
      <w:r w:rsidRPr="00F40EDF">
        <w:t>Application of the Unit</w:t>
      </w:r>
    </w:p>
    <w:tbl>
      <w:tblPr>
        <w:tblW w:w="0" w:type="auto"/>
        <w:tblLayout w:type="fixed"/>
        <w:tblCellMar>
          <w:left w:w="62" w:type="dxa"/>
          <w:right w:w="62" w:type="dxa"/>
        </w:tblCellMar>
        <w:tblLook w:val="0000"/>
      </w:tblPr>
      <w:tblGrid>
        <w:gridCol w:w="2751"/>
        <w:gridCol w:w="5771"/>
      </w:tblGrid>
      <w:tr w:rsidTr="00834F8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 xml:space="preserve">This unit of competency applies to watch repairers working in watch service and repair centres and jewellery stores and kiosks offering watch </w:t>
            </w:r>
            <w:r w:rsidRPr="00F40EDF">
              <w:t>service and repair. It is a common servicing requirement for watch repairers and may extend, in some cases, to the work of service technicians.</w:t>
            </w:r>
          </w:p>
          <w:p w:rsidR="00000000" w:rsidRPr="00F40EDF" w:rsidP="00F40EDF">
            <w:pPr>
              <w:pStyle w:val="BodyText"/>
            </w:pPr>
          </w:p>
          <w:p w:rsidR="00000000" w:rsidRPr="00F40EDF" w:rsidP="00F40EDF">
            <w:pPr>
              <w:pStyle w:val="BodyText"/>
            </w:pPr>
            <w:r w:rsidRPr="00F40EDF">
              <w:t>Band:  A</w:t>
            </w:r>
          </w:p>
          <w:p w:rsidR="00000000" w:rsidRPr="00F40EDF" w:rsidP="00F40EDF">
            <w:pPr>
              <w:pStyle w:val="BodyText"/>
            </w:pPr>
            <w:r w:rsidRPr="00F40EDF">
              <w:t>Unit weight:  4 points</w:t>
            </w:r>
          </w:p>
        </w:tc>
      </w:tr>
    </w:tbl>
    <w:p w:rsidR="00834F83" w:rsidP="00F40EDF">
      <w:pPr>
        <w:pStyle w:val="BodyText"/>
      </w:pPr>
    </w:p>
    <w:p w:rsidR="00834F83" w:rsidP="00F40EDF">
      <w:pPr>
        <w:pStyle w:val="BodyText"/>
      </w:pPr>
    </w:p>
    <w:p w:rsidR="00000000" w:rsidRPr="00F40EDF" w:rsidP="00F40EDF">
      <w:pPr>
        <w:pStyle w:val="Heading1"/>
      </w:pPr>
      <w:bookmarkStart w:id="4" w:name="O_280608"/>
      <w:bookmarkEnd w:id="4"/>
      <w:r w:rsidRPr="00F40EDF">
        <w:t>Licensing/Regulatory Information</w:t>
      </w:r>
    </w:p>
    <w:p w:rsidR="00000000" w:rsidRPr="00F40EDF" w:rsidP="00F40EDF">
      <w:pPr>
        <w:pStyle w:val="BodyText"/>
      </w:pPr>
      <w:r w:rsidRPr="00F40EDF">
        <w:t>Not Applicable</w:t>
      </w:r>
    </w:p>
    <w:p w:rsidR="00000000" w:rsidRPr="00F40EDF" w:rsidP="00F40EDF">
      <w:pPr>
        <w:pStyle w:val="AllowPageBreak"/>
      </w:pPr>
    </w:p>
    <w:p w:rsidR="00000000" w:rsidRPr="00F40EDF" w:rsidP="00F40EDF">
      <w:pPr>
        <w:pStyle w:val="Heading1"/>
      </w:pPr>
      <w:bookmarkStart w:id="5" w:name="O_212876"/>
      <w:bookmarkEnd w:id="5"/>
      <w:r w:rsidRPr="00F40EDF">
        <w:t>Pre-Requisites</w:t>
      </w:r>
    </w:p>
    <w:tbl>
      <w:tblPr>
        <w:tblW w:w="0" w:type="auto"/>
        <w:tblLayout w:type="fixed"/>
        <w:tblCellMar>
          <w:left w:w="62" w:type="dxa"/>
          <w:right w:w="62" w:type="dxa"/>
        </w:tblCellMar>
        <w:tblLook w:val="0000"/>
      </w:tblPr>
      <w:tblGrid>
        <w:gridCol w:w="2710"/>
        <w:gridCol w:w="2195"/>
        <w:gridCol w:w="3617"/>
      </w:tblGrid>
      <w:tr w:rsidTr="00834F83">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Prerequisite units</w:t>
            </w:r>
          </w:p>
        </w:tc>
        <w:tc>
          <w:tcPr>
            <w:tcW w:w="58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p>
        </w:tc>
      </w:tr>
      <w:tr w:rsidTr="00834F83">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MEM21005A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Diagnose faults in quartz watches</w:t>
            </w:r>
          </w:p>
        </w:tc>
      </w:tr>
      <w:tr w:rsidTr="00834F83">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MEM21002A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Perform watch movement exchange</w:t>
            </w:r>
          </w:p>
        </w:tc>
      </w:tr>
      <w:tr w:rsidTr="00834F83">
        <w:tblPrEx>
          <w:tblW w:w="0" w:type="auto"/>
          <w:tblLayout w:type="fixed"/>
          <w:tblCellMar>
            <w:left w:w="62" w:type="dxa"/>
            <w:right w:w="62" w:type="dxa"/>
          </w:tblCellMar>
          <w:tblLook w:val="0000"/>
        </w:tblPrEx>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MEM21001A</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Replace watch batteries, capacitors and bands</w:t>
            </w:r>
          </w:p>
        </w:tc>
      </w:tr>
    </w:tbl>
    <w:p w:rsidR="00834F83" w:rsidP="00F40EDF">
      <w:pPr>
        <w:pStyle w:val="BodyText"/>
      </w:pPr>
    </w:p>
    <w:p w:rsidR="00834F83" w:rsidP="00F40EDF">
      <w:pPr>
        <w:pStyle w:val="BodyText"/>
      </w:pPr>
    </w:p>
    <w:p w:rsidR="00000000" w:rsidRPr="00F40EDF" w:rsidP="00F40EDF">
      <w:pPr>
        <w:pStyle w:val="Heading1"/>
      </w:pPr>
      <w:bookmarkStart w:id="6" w:name="O_212875"/>
      <w:bookmarkEnd w:id="6"/>
      <w:r w:rsidRPr="00F40EDF">
        <w:t>Employability Skills Information</w:t>
      </w:r>
    </w:p>
    <w:tbl>
      <w:tblPr>
        <w:tblW w:w="0" w:type="auto"/>
        <w:tblLayout w:type="fixed"/>
        <w:tblCellMar>
          <w:left w:w="62" w:type="dxa"/>
          <w:right w:w="62" w:type="dxa"/>
        </w:tblCellMar>
        <w:tblLook w:val="0000"/>
      </w:tblPr>
      <w:tblGrid>
        <w:gridCol w:w="2802"/>
        <w:gridCol w:w="5720"/>
      </w:tblGrid>
      <w:tr w:rsidTr="00834F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This unit contains employability skills.</w:t>
            </w:r>
          </w:p>
        </w:tc>
      </w:tr>
    </w:tbl>
    <w:p w:rsidR="00834F83" w:rsidP="00F40EDF">
      <w:pPr>
        <w:pStyle w:val="BodyText"/>
      </w:pPr>
    </w:p>
    <w:p w:rsidR="00834F83" w:rsidP="00F40EDF">
      <w:pPr>
        <w:pStyle w:val="BodyText"/>
      </w:pPr>
    </w:p>
    <w:p w:rsidR="00000000" w:rsidRPr="00F40EDF" w:rsidP="00F40EDF">
      <w:pPr>
        <w:pStyle w:val="Heading1"/>
      </w:pPr>
      <w:bookmarkStart w:id="7" w:name="O_290394"/>
      <w:bookmarkEnd w:id="7"/>
      <w:r w:rsidRPr="00F40EDF">
        <w:t>Elements and Performance Criteria Pre-Content</w:t>
      </w:r>
    </w:p>
    <w:tbl>
      <w:tblPr>
        <w:tblW w:w="0" w:type="auto"/>
        <w:tblLayout w:type="fixed"/>
        <w:tblCellMar>
          <w:left w:w="62" w:type="dxa"/>
          <w:right w:w="62" w:type="dxa"/>
        </w:tblCellMar>
        <w:tblLook w:val="0000"/>
      </w:tblPr>
      <w:tblGrid>
        <w:gridCol w:w="2605"/>
        <w:gridCol w:w="5917"/>
      </w:tblGrid>
      <w:tr w:rsidTr="00834F83">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Performance criteria describe the performance needed to demonstrate achievement of the element. Where bold italicised text is used, further information is detailed in the required skills and knowledge section and the range statement. Assessment of performa</w:t>
            </w:r>
            <w:r w:rsidRPr="00F40EDF">
              <w:t>nce is to be consistent with the evidence guide.</w:t>
            </w:r>
          </w:p>
        </w:tc>
      </w:tr>
    </w:tbl>
    <w:p w:rsidR="00000000" w:rsidRPr="00F40EDF" w:rsidP="00F40EDF">
      <w:pPr>
        <w:pStyle w:val="BodyText"/>
      </w:pPr>
    </w:p>
    <w:p w:rsidR="00000000" w:rsidRPr="00F40EDF" w:rsidP="00F40EDF">
      <w:pPr>
        <w:pStyle w:val="AllowPageBreak"/>
      </w:pPr>
    </w:p>
    <w:p w:rsidR="00000000" w:rsidRPr="00F40EDF" w:rsidP="00F40EDF">
      <w:pPr>
        <w:pStyle w:val="Heading1"/>
      </w:pPr>
      <w:bookmarkStart w:id="8" w:name="O_237061"/>
      <w:bookmarkEnd w:id="8"/>
      <w:r w:rsidRPr="00F40EDF">
        <w:t>Elements and Performance Criteria</w:t>
      </w:r>
    </w:p>
    <w:tbl>
      <w:tblPr>
        <w:tblW w:w="0" w:type="auto"/>
        <w:tblLayout w:type="fixed"/>
        <w:tblCellMar>
          <w:left w:w="62" w:type="dxa"/>
          <w:right w:w="62" w:type="dxa"/>
        </w:tblCellMar>
        <w:tblLook w:val="0000"/>
      </w:tblPr>
      <w:tblGrid>
        <w:gridCol w:w="2605"/>
        <w:gridCol w:w="5917"/>
      </w:tblGrid>
      <w:tr w:rsidTr="00834F83">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PERFORMANCE CRITERIA</w:t>
            </w:r>
          </w:p>
        </w:tc>
      </w:tr>
      <w:tr w:rsidTr="00834F83">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List"/>
              <w:rPr>
                <w:lang w:val="en-NZ"/>
              </w:rPr>
            </w:pPr>
            <w:r w:rsidRPr="00F40EDF">
              <w:t>1.</w:t>
            </w:r>
            <w:r w:rsidRPr="00F40EDF">
              <w:tab/>
              <w:t>Determine servicing requirements and liaise with customer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List2"/>
            </w:pPr>
            <w:r w:rsidRPr="00F40EDF">
              <w:t>1.1.</w:t>
            </w:r>
            <w:r w:rsidRPr="00F40EDF">
              <w:tab/>
              <w:t xml:space="preserve">Identify watch functions and features </w:t>
            </w:r>
          </w:p>
          <w:p w:rsidR="00000000" w:rsidRPr="00F40EDF" w:rsidP="00F40EDF">
            <w:pPr>
              <w:pStyle w:val="List2"/>
            </w:pPr>
            <w:r w:rsidRPr="00F40EDF">
              <w:t>1.2.</w:t>
            </w:r>
            <w:r w:rsidRPr="00F40EDF">
              <w:tab/>
            </w:r>
            <w:r w:rsidRPr="00F40EDF">
              <w:t xml:space="preserve">Prepare written quotation and inform customer of watch condition and performance concerns </w:t>
            </w:r>
          </w:p>
          <w:p w:rsidR="00000000" w:rsidRPr="00F40EDF" w:rsidP="00F40EDF">
            <w:pPr>
              <w:pStyle w:val="List2"/>
            </w:pPr>
            <w:r w:rsidRPr="00F40EDF">
              <w:t>1.3.</w:t>
            </w:r>
            <w:r w:rsidRPr="00F40EDF">
              <w:tab/>
              <w:t>Outline recommended service procedures to be undertaken to remedy identified faults</w:t>
            </w:r>
          </w:p>
          <w:p w:rsidR="00000000" w:rsidRPr="00F40EDF" w:rsidP="00F40EDF">
            <w:pPr>
              <w:pStyle w:val="List2"/>
            </w:pPr>
            <w:r w:rsidRPr="00F40EDF">
              <w:t>1.4.</w:t>
            </w:r>
            <w:r w:rsidRPr="00F40EDF">
              <w:tab/>
              <w:t>Verify and agree servicing requirements with customer</w:t>
            </w:r>
          </w:p>
          <w:p w:rsidR="00000000" w:rsidRPr="00F40EDF" w:rsidP="00F40EDF">
            <w:pPr>
              <w:pStyle w:val="List2"/>
            </w:pPr>
            <w:r w:rsidRPr="00F40EDF">
              <w:t>1.5.</w:t>
            </w:r>
            <w:r w:rsidRPr="00F40EDF">
              <w:tab/>
              <w:t>Prepare watc</w:t>
            </w:r>
            <w:r w:rsidRPr="00F40EDF">
              <w:t xml:space="preserve">h for handover </w:t>
            </w:r>
          </w:p>
          <w:p w:rsidR="00000000" w:rsidP="00F40EDF">
            <w:pPr>
              <w:pStyle w:val="List2"/>
              <w:rPr>
                <w:lang w:val="en-NZ"/>
              </w:rPr>
            </w:pPr>
            <w:r w:rsidRPr="00F40EDF">
              <w:t>1.6.</w:t>
            </w:r>
            <w:r w:rsidRPr="00F40EDF">
              <w:tab/>
              <w:t>Record and document repair process</w:t>
            </w:r>
          </w:p>
        </w:tc>
      </w:tr>
      <w:tr w:rsidTr="00834F83">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List"/>
              <w:rPr>
                <w:lang w:val="en-NZ"/>
              </w:rPr>
            </w:pPr>
            <w:r w:rsidRPr="00F40EDF">
              <w:t>2.</w:t>
            </w:r>
            <w:r w:rsidRPr="00F40EDF">
              <w:tab/>
              <w:t>Disassemble watch case and movement components for servicing</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List2"/>
            </w:pPr>
            <w:r w:rsidRPr="00F40EDF">
              <w:t>2.1.</w:t>
            </w:r>
            <w:r w:rsidRPr="00F40EDF">
              <w:tab/>
              <w:t>Establish appropriate working environment</w:t>
            </w:r>
          </w:p>
          <w:p w:rsidR="00000000" w:rsidRPr="00F40EDF" w:rsidP="00F40EDF">
            <w:pPr>
              <w:pStyle w:val="List2"/>
            </w:pPr>
            <w:r w:rsidRPr="00F40EDF">
              <w:t>2.2.</w:t>
            </w:r>
            <w:r w:rsidRPr="00F40EDF">
              <w:tab/>
              <w:t>Select and use workshop tools and equipment appropriately</w:t>
            </w:r>
          </w:p>
          <w:p w:rsidR="00000000" w:rsidRPr="00F40EDF" w:rsidP="00F40EDF">
            <w:pPr>
              <w:pStyle w:val="List2"/>
            </w:pPr>
            <w:r w:rsidRPr="00F40EDF">
              <w:t>2.3.</w:t>
            </w:r>
            <w:r w:rsidRPr="00F40EDF">
              <w:tab/>
              <w:t>Open and close watch</w:t>
            </w:r>
            <w:r w:rsidRPr="00F40EDF">
              <w:t xml:space="preserve"> cases correctly</w:t>
            </w:r>
          </w:p>
          <w:p w:rsidR="00000000" w:rsidRPr="00F40EDF" w:rsidP="00F40EDF">
            <w:pPr>
              <w:pStyle w:val="List2"/>
            </w:pPr>
            <w:r w:rsidRPr="00F40EDF">
              <w:t>2.4.</w:t>
            </w:r>
            <w:r w:rsidRPr="00F40EDF">
              <w:tab/>
              <w:t>Remove case movement and components without damaging or marking</w:t>
            </w:r>
          </w:p>
          <w:p w:rsidR="00000000" w:rsidRPr="00F40EDF" w:rsidP="00F40EDF">
            <w:pPr>
              <w:pStyle w:val="List2"/>
            </w:pPr>
            <w:r w:rsidRPr="00F40EDF">
              <w:t>2.5.</w:t>
            </w:r>
            <w:r w:rsidRPr="00F40EDF">
              <w:tab/>
              <w:t>Verify gasket condition and replace if required</w:t>
            </w:r>
          </w:p>
          <w:p w:rsidR="00000000" w:rsidP="00F40EDF">
            <w:pPr>
              <w:pStyle w:val="List2"/>
              <w:rPr>
                <w:lang w:val="en-NZ"/>
              </w:rPr>
            </w:pPr>
            <w:r w:rsidRPr="00F40EDF">
              <w:t>2.6.</w:t>
            </w:r>
            <w:r w:rsidRPr="00F40EDF">
              <w:tab/>
              <w:t xml:space="preserve">Clean cases and bands, as required </w:t>
            </w:r>
          </w:p>
        </w:tc>
      </w:tr>
      <w:tr w:rsidTr="00834F83">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List"/>
              <w:rPr>
                <w:lang w:val="en-NZ"/>
              </w:rPr>
            </w:pPr>
            <w:r w:rsidRPr="00F40EDF">
              <w:t>3.</w:t>
            </w:r>
            <w:r w:rsidRPr="00F40EDF">
              <w:tab/>
              <w:t>Service watch case and movement components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List2"/>
            </w:pPr>
            <w:r w:rsidRPr="00F40EDF">
              <w:t>3.1.</w:t>
            </w:r>
            <w:r w:rsidRPr="00F40EDF">
              <w:tab/>
              <w:t>Inspect condition of wat</w:t>
            </w:r>
            <w:r w:rsidRPr="00F40EDF">
              <w:t xml:space="preserve">ch case and movement components </w:t>
            </w:r>
          </w:p>
          <w:p w:rsidR="00000000" w:rsidRPr="00F40EDF" w:rsidP="00F40EDF">
            <w:pPr>
              <w:pStyle w:val="List2"/>
            </w:pPr>
            <w:r w:rsidRPr="00F40EDF">
              <w:t>3.2.</w:t>
            </w:r>
            <w:r w:rsidRPr="00F40EDF">
              <w:tab/>
              <w:t>Confirm servicing requirements</w:t>
            </w:r>
          </w:p>
          <w:p w:rsidR="00000000" w:rsidRPr="00F40EDF" w:rsidP="00F40EDF">
            <w:pPr>
              <w:pStyle w:val="List2"/>
            </w:pPr>
            <w:r w:rsidRPr="00F40EDF">
              <w:t>3.3.</w:t>
            </w:r>
            <w:r w:rsidRPr="00F40EDF">
              <w:tab/>
              <w:t xml:space="preserve">Replace faulty or worn component parts </w:t>
            </w:r>
          </w:p>
          <w:p w:rsidR="00000000" w:rsidRPr="00F40EDF" w:rsidP="00F40EDF">
            <w:pPr>
              <w:pStyle w:val="List2"/>
            </w:pPr>
            <w:r w:rsidRPr="00F40EDF">
              <w:t>3.4.</w:t>
            </w:r>
            <w:r w:rsidRPr="00F40EDF">
              <w:tab/>
              <w:t>Clean components and parts</w:t>
            </w:r>
          </w:p>
          <w:p w:rsidR="00000000" w:rsidRPr="00F40EDF" w:rsidP="00F40EDF">
            <w:pPr>
              <w:pStyle w:val="List2"/>
            </w:pPr>
            <w:r w:rsidRPr="00F40EDF">
              <w:t>3.5.</w:t>
            </w:r>
            <w:r w:rsidRPr="00F40EDF">
              <w:tab/>
              <w:t>Inspect watch case and movement components for cleanliness and rectify imperfections/faults</w:t>
            </w:r>
          </w:p>
          <w:p w:rsidR="00000000" w:rsidP="00F40EDF">
            <w:pPr>
              <w:pStyle w:val="List2"/>
              <w:rPr>
                <w:lang w:val="en-NZ"/>
              </w:rPr>
            </w:pPr>
            <w:r w:rsidRPr="00F40EDF">
              <w:t>3.6.</w:t>
            </w:r>
            <w:r w:rsidRPr="00F40EDF">
              <w:tab/>
              <w:t>U</w:t>
            </w:r>
            <w:r w:rsidRPr="00F40EDF">
              <w:t>se correct tools and equipment for handling and servicing</w:t>
            </w:r>
          </w:p>
        </w:tc>
      </w:tr>
      <w:tr w:rsidTr="00834F83">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List"/>
              <w:rPr>
                <w:lang w:val="en-NZ"/>
              </w:rPr>
            </w:pPr>
            <w:r w:rsidRPr="00F40EDF">
              <w:t>4.</w:t>
            </w:r>
            <w:r w:rsidRPr="00F40EDF">
              <w:tab/>
              <w:t>Reassemble and test watch case and movement components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List2"/>
            </w:pPr>
            <w:r w:rsidRPr="00F40EDF">
              <w:t>4.1.</w:t>
            </w:r>
            <w:r w:rsidRPr="00F40EDF">
              <w:tab/>
              <w:t>Reassemble watch case and movement components according to manufacturer specifications</w:t>
            </w:r>
          </w:p>
          <w:p w:rsidR="00000000" w:rsidRPr="00F40EDF" w:rsidP="00F40EDF">
            <w:pPr>
              <w:pStyle w:val="List2"/>
            </w:pPr>
            <w:r w:rsidRPr="00F40EDF">
              <w:t>4.2.</w:t>
            </w:r>
            <w:r w:rsidRPr="00F40EDF">
              <w:tab/>
              <w:t>Confirm correct assembly of gear train and</w:t>
            </w:r>
            <w:r w:rsidRPr="00F40EDF">
              <w:t xml:space="preserve"> other components</w:t>
            </w:r>
          </w:p>
          <w:p w:rsidR="00000000" w:rsidRPr="00F40EDF" w:rsidP="00F40EDF">
            <w:pPr>
              <w:pStyle w:val="List2"/>
            </w:pPr>
            <w:r w:rsidRPr="00F40EDF">
              <w:t>4.3.</w:t>
            </w:r>
            <w:r w:rsidRPr="00F40EDF">
              <w:tab/>
              <w:t>Use correct types and amounts of lubricant according to manufacturer specifications</w:t>
            </w:r>
          </w:p>
          <w:p w:rsidR="00000000" w:rsidRPr="00F40EDF" w:rsidP="00F40EDF">
            <w:pPr>
              <w:pStyle w:val="List2"/>
            </w:pPr>
            <w:r w:rsidRPr="00F40EDF">
              <w:t>4.4.</w:t>
            </w:r>
            <w:r w:rsidRPr="00F40EDF">
              <w:tab/>
              <w:t>Use tools and equipment appropriately taking precautions for correct reassembly</w:t>
            </w:r>
          </w:p>
          <w:p w:rsidR="00000000" w:rsidRPr="00F40EDF" w:rsidP="00F40EDF">
            <w:pPr>
              <w:pStyle w:val="List2"/>
            </w:pPr>
            <w:r w:rsidRPr="00F40EDF">
              <w:t>4.5.</w:t>
            </w:r>
            <w:r w:rsidRPr="00F40EDF">
              <w:tab/>
              <w:t xml:space="preserve">Verify/confirm watch functioning according to manufacturer </w:t>
            </w:r>
            <w:r w:rsidRPr="00F40EDF">
              <w:t>specifications</w:t>
            </w:r>
          </w:p>
          <w:p w:rsidR="00000000" w:rsidRPr="00F40EDF" w:rsidP="00F40EDF">
            <w:pPr>
              <w:pStyle w:val="List2"/>
            </w:pPr>
            <w:r w:rsidRPr="00F40EDF">
              <w:t>4.6.</w:t>
            </w:r>
            <w:r w:rsidRPr="00F40EDF">
              <w:tab/>
              <w:t>Verify watch performance including rate testing and adjust, as required, according to manufacturer specifications</w:t>
            </w:r>
          </w:p>
        </w:tc>
      </w:tr>
    </w:tbl>
    <w:p w:rsidR="00834F83" w:rsidP="00F40EDF">
      <w:pPr>
        <w:pStyle w:val="BodyText"/>
      </w:pPr>
    </w:p>
    <w:p w:rsidR="00834F83" w:rsidP="00F40EDF">
      <w:pPr>
        <w:pStyle w:val="BodyText"/>
      </w:pPr>
    </w:p>
    <w:p w:rsidR="00000000" w:rsidRPr="00F40EDF" w:rsidP="00F40EDF">
      <w:pPr>
        <w:pStyle w:val="Heading1"/>
      </w:pPr>
      <w:bookmarkStart w:id="9" w:name="O_261011"/>
      <w:bookmarkEnd w:id="9"/>
      <w:r w:rsidRPr="00F40EDF">
        <w:t>Required Skills and Knowledge</w:t>
      </w:r>
    </w:p>
    <w:tbl>
      <w:tblPr>
        <w:tblW w:w="0" w:type="auto"/>
        <w:tblLayout w:type="fixed"/>
        <w:tblCellMar>
          <w:left w:w="62" w:type="dxa"/>
          <w:right w:w="62" w:type="dxa"/>
        </w:tblCellMar>
        <w:tblLook w:val="0000"/>
      </w:tblPr>
      <w:tblGrid>
        <w:gridCol w:w="8522"/>
      </w:tblGrid>
      <w:tr w:rsidTr="00834F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REQUIRED SKILLS AND KNOWLEDGE</w:t>
            </w:r>
          </w:p>
        </w:tc>
      </w:tr>
      <w:tr w:rsidTr="00834F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This section describes the skills and knowledge required for this unit.</w:t>
            </w:r>
          </w:p>
        </w:tc>
      </w:tr>
      <w:tr w:rsidTr="00834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Required skills</w:t>
            </w:r>
          </w:p>
        </w:tc>
      </w:tr>
      <w:tr w:rsidTr="00834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Required skills include:</w:t>
            </w:r>
          </w:p>
          <w:p w:rsidR="00000000" w:rsidRPr="00F40EDF" w:rsidP="00F40EDF">
            <w:pPr>
              <w:pStyle w:val="ListBullet"/>
            </w:pPr>
            <w:r w:rsidRPr="00F40EDF">
              <w:t>diagnosing and fault-finding quartz analog and digital watches</w:t>
            </w:r>
          </w:p>
          <w:p w:rsidR="00000000" w:rsidRPr="00F40EDF" w:rsidP="00F40EDF">
            <w:pPr>
              <w:pStyle w:val="ListBullet"/>
            </w:pPr>
            <w:r w:rsidRPr="00F40EDF">
              <w:t>dismantling and assembling quartz watch digital modules, movements, gear trains and sub-assemblies</w:t>
            </w:r>
          </w:p>
          <w:p w:rsidR="00000000" w:rsidRPr="00F40EDF" w:rsidP="00F40EDF">
            <w:pPr>
              <w:pStyle w:val="ListBullet"/>
            </w:pPr>
            <w:r w:rsidRPr="00F40EDF">
              <w:t>applying correct type and amount of lubrication</w:t>
            </w:r>
          </w:p>
          <w:p w:rsidR="00000000" w:rsidRPr="00F40EDF" w:rsidP="00F40EDF">
            <w:pPr>
              <w:pStyle w:val="ListBullet"/>
            </w:pPr>
            <w:r w:rsidRPr="00F40EDF">
              <w:t>using quartz timing and testing equipment</w:t>
            </w:r>
          </w:p>
          <w:p w:rsidR="00000000" w:rsidRPr="00F40EDF" w:rsidP="00F40EDF">
            <w:pPr>
              <w:pStyle w:val="ListBullet"/>
            </w:pPr>
            <w:r w:rsidRPr="00F40EDF">
              <w:t>communicating effectively</w:t>
            </w:r>
          </w:p>
          <w:p w:rsidR="00000000" w:rsidP="00F40EDF">
            <w:pPr>
              <w:pStyle w:val="ListBullet"/>
              <w:rPr>
                <w:lang w:val="en-NZ"/>
              </w:rPr>
            </w:pPr>
            <w:r w:rsidRPr="00F40EDF">
              <w:t>interpreting manufacturer technical guide</w:t>
            </w:r>
            <w:r w:rsidRPr="00F40EDF">
              <w:t>s</w:t>
            </w:r>
          </w:p>
        </w:tc>
      </w:tr>
      <w:tr w:rsidTr="00834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Required knowledge</w:t>
            </w:r>
          </w:p>
        </w:tc>
      </w:tr>
      <w:tr w:rsidTr="00834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Required knowledge includes:</w:t>
            </w:r>
          </w:p>
          <w:p w:rsidR="00000000" w:rsidRPr="00F40EDF" w:rsidP="00F40EDF">
            <w:pPr>
              <w:pStyle w:val="ListBullet"/>
            </w:pPr>
            <w:r w:rsidRPr="00F40EDF">
              <w:t>quartz watch construction and components (i.e. analog, digital and duo displays)</w:t>
            </w:r>
          </w:p>
          <w:p w:rsidR="00000000" w:rsidRPr="00F40EDF" w:rsidP="00F40EDF">
            <w:pPr>
              <w:pStyle w:val="ListBullet"/>
            </w:pPr>
            <w:r w:rsidRPr="00F40EDF">
              <w:t>quartz watch operating principles (e.g. analog and digital)</w:t>
            </w:r>
          </w:p>
          <w:p w:rsidR="00000000" w:rsidRPr="00F40EDF" w:rsidP="00F40EDF">
            <w:pPr>
              <w:pStyle w:val="ListBullet"/>
            </w:pPr>
            <w:r w:rsidRPr="00F40EDF">
              <w:t>quartz watch lubrication techniques</w:t>
            </w:r>
          </w:p>
          <w:p w:rsidR="00000000" w:rsidRPr="00F40EDF" w:rsidP="00F40EDF">
            <w:pPr>
              <w:pStyle w:val="ListBullet"/>
            </w:pPr>
            <w:r w:rsidRPr="00F40EDF">
              <w:t>watch case and band construction and components</w:t>
            </w:r>
          </w:p>
          <w:p w:rsidR="00000000" w:rsidRPr="00F40EDF" w:rsidP="00F40EDF">
            <w:pPr>
              <w:pStyle w:val="ListBullet"/>
            </w:pPr>
            <w:r w:rsidRPr="00F40EDF">
              <w:t>client liaison techniques</w:t>
            </w:r>
          </w:p>
          <w:p w:rsidR="00000000" w:rsidRPr="00F40EDF" w:rsidP="00F40EDF">
            <w:pPr>
              <w:pStyle w:val="ListBullet"/>
            </w:pPr>
            <w:r w:rsidRPr="00F40EDF">
              <w:t>power sources</w:t>
            </w:r>
          </w:p>
          <w:p w:rsidR="00000000" w:rsidRPr="00F40EDF" w:rsidP="00F40EDF">
            <w:pPr>
              <w:pStyle w:val="ListBullet"/>
            </w:pPr>
            <w:r w:rsidRPr="00F40EDF">
              <w:t>power cells, batteries, capacitors and electronic storage units</w:t>
            </w:r>
          </w:p>
          <w:p w:rsidR="00000000" w:rsidRPr="00F40EDF" w:rsidP="00F40EDF">
            <w:pPr>
              <w:pStyle w:val="ListBullet"/>
            </w:pPr>
            <w:r w:rsidRPr="00F40EDF">
              <w:t>occupational health and safety (OHS) regulations and procedures</w:t>
            </w:r>
          </w:p>
        </w:tc>
      </w:tr>
    </w:tbl>
    <w:p w:rsidR="00834F83" w:rsidP="00F40EDF">
      <w:pPr>
        <w:pStyle w:val="BodyText"/>
      </w:pPr>
    </w:p>
    <w:p w:rsidR="00834F83" w:rsidP="00F40EDF">
      <w:pPr>
        <w:pStyle w:val="BodyText"/>
      </w:pPr>
    </w:p>
    <w:p w:rsidR="00000000" w:rsidRPr="00F40EDF" w:rsidP="00F40EDF">
      <w:pPr>
        <w:pStyle w:val="AllowPageBreak"/>
      </w:pPr>
    </w:p>
    <w:p w:rsidR="00000000" w:rsidRPr="00F40EDF" w:rsidP="00F40EDF">
      <w:pPr>
        <w:pStyle w:val="Heading1"/>
      </w:pPr>
      <w:bookmarkStart w:id="10" w:name="O_245045"/>
      <w:bookmarkEnd w:id="10"/>
      <w:r w:rsidRPr="00F40EDF">
        <w:t>Evidence Guide</w:t>
      </w:r>
    </w:p>
    <w:tbl>
      <w:tblPr>
        <w:tblW w:w="9570" w:type="dxa"/>
        <w:tblLayout w:type="fixed"/>
        <w:tblCellMar>
          <w:left w:w="62" w:type="dxa"/>
          <w:right w:w="62" w:type="dxa"/>
        </w:tblCellMar>
        <w:tblLook w:val="0000"/>
      </w:tblPr>
      <w:tblGrid>
        <w:gridCol w:w="3908"/>
        <w:gridCol w:w="5662"/>
      </w:tblGrid>
      <w:tr w:rsidTr="00834F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EVIDENCE GUIDE</w:t>
            </w:r>
          </w:p>
        </w:tc>
      </w:tr>
      <w:tr w:rsidTr="00834F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The evidence guide provides advice on assessment and must be read in conjunction with the performance criteria, required skills and knowledge, range statement and the Assessment Guidelines for the Training Package.</w:t>
            </w:r>
          </w:p>
        </w:tc>
      </w:tr>
      <w:tr w:rsidTr="00834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A person who demonstrates competency in this unit must be able to service quartz watches to industry standards, manufacturer specifications and in accordance with safety regulations and procedures.</w:t>
            </w:r>
          </w:p>
        </w:tc>
      </w:tr>
      <w:tr w:rsidTr="00834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Critical aspects for assessment an</w:t>
            </w:r>
            <w:r w:rsidRPr="00F40EDF">
              <w:rPr>
                <w:rStyle w:val="SpecialBold"/>
              </w:rPr>
              <w:t>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Assessors must be satisfied that the candidate can competently and consistently:</w:t>
            </w:r>
          </w:p>
          <w:p w:rsidR="00000000" w:rsidRPr="00F40EDF" w:rsidP="00F40EDF">
            <w:pPr>
              <w:pStyle w:val="ListBullet"/>
            </w:pPr>
            <w:r w:rsidRPr="00F40EDF">
              <w:t>use correct disassembly/reassembly techniques</w:t>
            </w:r>
          </w:p>
          <w:p w:rsidR="00000000" w:rsidRPr="00F40EDF" w:rsidP="00F40EDF">
            <w:pPr>
              <w:pStyle w:val="ListBullet"/>
            </w:pPr>
            <w:r w:rsidRPr="00F40EDF">
              <w:t>perform watch function and electrical performance testing</w:t>
            </w:r>
          </w:p>
          <w:p w:rsidR="00000000" w:rsidRPr="00F40EDF" w:rsidP="00F40EDF">
            <w:pPr>
              <w:pStyle w:val="ListBullet"/>
            </w:pPr>
            <w:r w:rsidRPr="00F40EDF">
              <w:t>use appropriate watch movement/components cleaning techniques</w:t>
            </w:r>
          </w:p>
          <w:p w:rsidR="00000000" w:rsidP="00F40EDF">
            <w:pPr>
              <w:pStyle w:val="ListBullet"/>
              <w:rPr>
                <w:lang w:val="en-NZ"/>
              </w:rPr>
            </w:pPr>
            <w:r w:rsidRPr="00F40EDF">
              <w:t>apply lubrication techniques.</w:t>
            </w:r>
          </w:p>
        </w:tc>
      </w:tr>
      <w:tr w:rsidTr="00834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ListBullet"/>
            </w:pPr>
            <w:r w:rsidRPr="00F40EDF">
              <w:t>Assessment may occur on the job or in a simulated working environment. Access is required to real or appropriatel</w:t>
            </w:r>
            <w:r w:rsidRPr="00F40EDF">
              <w:t>y simulated situations, including work areas, materials and equipment, and information on workplace practices and OHS practices.</w:t>
            </w:r>
          </w:p>
          <w:p w:rsidR="00000000" w:rsidRPr="00F40EDF" w:rsidP="00F40EDF">
            <w:pPr>
              <w:pStyle w:val="ListBullet"/>
            </w:pPr>
            <w:r w:rsidRPr="00F40EDF">
              <w:t>Where applicable, reasonable adjustment must be made to work environments and training situations to accommodate ethnicity, age</w:t>
            </w:r>
            <w:r w:rsidRPr="00F40EDF">
              <w:t>, gender, demographics and disability.</w:t>
            </w:r>
          </w:p>
          <w:p w:rsidR="00000000" w:rsidP="00F40EDF">
            <w:pPr>
              <w:pStyle w:val="ListBullet"/>
              <w:rPr>
                <w:lang w:val="en-NZ"/>
              </w:rPr>
            </w:pPr>
            <w:r w:rsidRPr="00F40EDF">
              <w:t>Access must be provided to appropriate learning and/or assessment support when required. Where applicable, physical resources should include equipment modified for people with disabilities.</w:t>
            </w:r>
          </w:p>
        </w:tc>
      </w:tr>
      <w:tr w:rsidTr="00834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ListBullet"/>
            </w:pPr>
            <w:r w:rsidRPr="00F40EDF">
              <w:t>Asse</w:t>
            </w:r>
            <w:r w:rsidRPr="00F40EDF">
              <w:t>ssment must satisfy the endorsed Assessment Guidelines of the MEM05 Metal and Engineering Training Package.</w:t>
            </w:r>
          </w:p>
          <w:p w:rsidR="00000000" w:rsidRPr="00F40EDF" w:rsidP="00F40EDF">
            <w:pPr>
              <w:pStyle w:val="ListBullet"/>
            </w:pPr>
            <w:r w:rsidRPr="00F40EDF">
              <w:t>Assessment methods must confirm consistency and accuracy of performance (over time and in a range of workplace relevant contexts) together with appl</w:t>
            </w:r>
            <w:r w:rsidRPr="00F40EDF">
              <w:t>ication of underpinning knowledge.</w:t>
            </w:r>
          </w:p>
          <w:p w:rsidR="00000000" w:rsidRPr="00F40EDF" w:rsidP="00F40EDF">
            <w:pPr>
              <w:pStyle w:val="ListBullet"/>
            </w:pPr>
            <w:r w:rsidRPr="00F40EDF">
              <w:t>Assessment methods must be by direct observation of tasks and include questioning on underpinning knowledge to ensure its correct interpretation and application.</w:t>
            </w:r>
          </w:p>
          <w:p w:rsidR="00000000" w:rsidRPr="00F40EDF" w:rsidP="00F40EDF">
            <w:pPr>
              <w:pStyle w:val="ListBullet"/>
            </w:pPr>
            <w:r w:rsidRPr="00F40EDF">
              <w:t xml:space="preserve">Assessment may be applied under project-related conditions </w:t>
            </w:r>
            <w:r w:rsidRPr="00F40EDF">
              <w:t>(real or simulated) and require evidence of process.</w:t>
            </w:r>
          </w:p>
          <w:p w:rsidR="00000000" w:rsidRPr="00F40EDF" w:rsidP="00F40EDF">
            <w:pPr>
              <w:pStyle w:val="ListBullet"/>
            </w:pPr>
            <w:r w:rsidRPr="00F40EDF">
              <w:t>Assessment must confirm a reasonable inference that competency is not only able to be satisfied under the particular circumstance, but is able to be transferred to other circumstances.</w:t>
            </w:r>
          </w:p>
          <w:p w:rsidR="00000000" w:rsidP="00F40EDF">
            <w:pPr>
              <w:pStyle w:val="ListBullet"/>
              <w:rPr>
                <w:lang w:val="en-NZ"/>
              </w:rPr>
            </w:pPr>
            <w:r w:rsidRPr="00F40EDF">
              <w:t>Assessment may be in conjunction with assessment of other units of competency where required.</w:t>
            </w:r>
          </w:p>
        </w:tc>
      </w:tr>
      <w:tr w:rsidTr="00834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Assessment processes and techniques must be culturally appropriate and appropriate to the language and literacy capacity of t</w:t>
            </w:r>
            <w:r w:rsidRPr="00F40EDF">
              <w:t>he candidate and the work being performed.</w:t>
            </w:r>
          </w:p>
        </w:tc>
      </w:tr>
    </w:tbl>
    <w:p w:rsidR="00834F83" w:rsidP="00F40EDF">
      <w:pPr>
        <w:pStyle w:val="BodyText"/>
      </w:pPr>
    </w:p>
    <w:p w:rsidR="00834F83" w:rsidP="00F40EDF">
      <w:pPr>
        <w:pStyle w:val="BodyText"/>
      </w:pPr>
    </w:p>
    <w:p w:rsidR="00000000" w:rsidRPr="00F40EDF" w:rsidP="00F40EDF">
      <w:pPr>
        <w:pStyle w:val="Heading1"/>
      </w:pPr>
      <w:bookmarkStart w:id="11" w:name="O_253028"/>
      <w:bookmarkEnd w:id="11"/>
      <w:r w:rsidRPr="00F40EDF">
        <w:t>Range Statement</w:t>
      </w:r>
    </w:p>
    <w:tbl>
      <w:tblPr>
        <w:tblW w:w="0" w:type="auto"/>
        <w:tblLayout w:type="fixed"/>
        <w:tblCellMar>
          <w:left w:w="62" w:type="dxa"/>
          <w:right w:w="62" w:type="dxa"/>
        </w:tblCellMar>
        <w:tblLook w:val="0000"/>
      </w:tblPr>
      <w:tblGrid>
        <w:gridCol w:w="3560"/>
        <w:gridCol w:w="4962"/>
      </w:tblGrid>
      <w:tr w:rsidTr="00834F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RANGE STATEMENT</w:t>
            </w:r>
          </w:p>
        </w:tc>
      </w:tr>
      <w:tr w:rsidTr="00834F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t xml:space="preserve">The range statement relates to the unit of competency as a whole. It allows for different work environments and situations that may affect </w:t>
            </w:r>
            <w:r w:rsidRPr="00F40EDF">
              <w:t>performance. Bold italicised wording, if used in the performance criteria, is detailed below. Essential operating conditions that may be present with training and assessment (depending on the work situation, needs of the candidate, accessibility of the ite</w:t>
            </w:r>
            <w:r w:rsidRPr="00F40EDF">
              <w:t>m, and local industry and regional contexts) may also be included.</w:t>
            </w:r>
          </w:p>
        </w:tc>
      </w:tr>
      <w:tr w:rsidTr="00834F8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Watch functions and features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Watch functions and features may include:</w:t>
            </w:r>
          </w:p>
          <w:p w:rsidR="00000000" w:rsidRPr="00F40EDF" w:rsidP="00F40EDF">
            <w:pPr>
              <w:pStyle w:val="ListBullet"/>
            </w:pPr>
            <w:r w:rsidRPr="00F40EDF">
              <w:t>quartz oscillating stage</w:t>
            </w:r>
          </w:p>
          <w:p w:rsidR="00000000" w:rsidRPr="00F40EDF" w:rsidP="00F40EDF">
            <w:pPr>
              <w:pStyle w:val="ListBullet"/>
            </w:pPr>
            <w:r w:rsidRPr="00F40EDF">
              <w:t>dividing stage</w:t>
            </w:r>
          </w:p>
          <w:p w:rsidR="00000000" w:rsidRPr="00F40EDF" w:rsidP="00F40EDF">
            <w:pPr>
              <w:pStyle w:val="ListBullet"/>
            </w:pPr>
            <w:r w:rsidRPr="00F40EDF">
              <w:t xml:space="preserve">motor drive output pulses </w:t>
            </w:r>
          </w:p>
          <w:p w:rsidR="00000000" w:rsidRPr="00F40EDF" w:rsidP="00F40EDF">
            <w:pPr>
              <w:pStyle w:val="ListBullet"/>
            </w:pPr>
            <w:r w:rsidRPr="00F40EDF">
              <w:t>capacitive output signals</w:t>
            </w:r>
          </w:p>
          <w:p w:rsidR="00000000" w:rsidRPr="00F40EDF" w:rsidP="00F40EDF">
            <w:pPr>
              <w:pStyle w:val="ListBullet"/>
            </w:pPr>
            <w:r w:rsidRPr="00F40EDF">
              <w:t>current consumption</w:t>
            </w:r>
          </w:p>
          <w:p w:rsidR="00000000" w:rsidRPr="00F40EDF" w:rsidP="00F40EDF">
            <w:pPr>
              <w:pStyle w:val="ListBullet"/>
            </w:pPr>
            <w:r w:rsidRPr="00F40EDF">
              <w:t>pulse generation</w:t>
            </w:r>
          </w:p>
          <w:p w:rsidR="00000000" w:rsidRPr="00F40EDF" w:rsidP="00F40EDF">
            <w:pPr>
              <w:pStyle w:val="ListBullet"/>
            </w:pPr>
            <w:r w:rsidRPr="00F40EDF">
              <w:t>lower working limit test</w:t>
            </w:r>
          </w:p>
          <w:p w:rsidR="00000000" w:rsidP="00F40EDF">
            <w:pPr>
              <w:pStyle w:val="ListBullet"/>
              <w:rPr>
                <w:lang w:val="en-NZ"/>
              </w:rPr>
            </w:pPr>
            <w:r w:rsidRPr="00F40EDF">
              <w:t>gear train freedom</w:t>
            </w:r>
          </w:p>
        </w:tc>
      </w:tr>
      <w:tr w:rsidTr="00834F8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Record and document repair process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Record and document repair process may include:</w:t>
            </w:r>
          </w:p>
          <w:p w:rsidR="00000000" w:rsidRPr="00F40EDF" w:rsidP="00F40EDF">
            <w:pPr>
              <w:pStyle w:val="ListBullet"/>
            </w:pPr>
            <w:r w:rsidRPr="00F40EDF">
              <w:t xml:space="preserve">extent and date of repair </w:t>
            </w:r>
          </w:p>
          <w:p w:rsidR="00000000" w:rsidRPr="00F40EDF" w:rsidP="00F40EDF">
            <w:pPr>
              <w:pStyle w:val="ListBullet"/>
            </w:pPr>
            <w:r w:rsidRPr="00F40EDF">
              <w:t>cost of replacement part</w:t>
            </w:r>
          </w:p>
          <w:p w:rsidR="00000000" w:rsidP="00F40EDF">
            <w:pPr>
              <w:pStyle w:val="ListBullet"/>
              <w:rPr>
                <w:lang w:val="en-NZ"/>
              </w:rPr>
            </w:pPr>
            <w:r w:rsidRPr="00F40EDF">
              <w:t xml:space="preserve">time spent on procedure </w:t>
            </w:r>
          </w:p>
        </w:tc>
      </w:tr>
      <w:tr w:rsidTr="00834F8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Appropriate working environment</w:t>
            </w:r>
            <w:r w:rsidRPr="00F40EDF">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Appropriate working environment may include:</w:t>
            </w:r>
          </w:p>
          <w:p w:rsidR="00000000" w:rsidRPr="00F40EDF" w:rsidP="00F40EDF">
            <w:pPr>
              <w:pStyle w:val="ListBullet"/>
            </w:pPr>
            <w:r w:rsidRPr="00F40EDF">
              <w:t xml:space="preserve">suitable watchmakers' bench </w:t>
            </w:r>
          </w:p>
          <w:p w:rsidR="00000000" w:rsidRPr="00F40EDF" w:rsidP="00F40EDF">
            <w:pPr>
              <w:pStyle w:val="ListBullet"/>
            </w:pPr>
            <w:r w:rsidRPr="00F40EDF">
              <w:t>clean and orderly work area (precautions taken to minimise dust)</w:t>
            </w:r>
          </w:p>
          <w:p w:rsidR="00000000" w:rsidRPr="00F40EDF" w:rsidP="00F40EDF">
            <w:pPr>
              <w:pStyle w:val="ListBullet"/>
            </w:pPr>
            <w:r w:rsidRPr="00F40EDF">
              <w:t>adequate lighting and ventilation</w:t>
            </w:r>
          </w:p>
          <w:p w:rsidR="00000000" w:rsidP="00F40EDF">
            <w:pPr>
              <w:pStyle w:val="ListBullet"/>
              <w:rPr>
                <w:lang w:val="en-NZ"/>
              </w:rPr>
            </w:pPr>
            <w:r w:rsidRPr="00F40EDF">
              <w:t>ergonomic chair with adjustable height</w:t>
            </w:r>
          </w:p>
        </w:tc>
      </w:tr>
      <w:tr w:rsidTr="00834F8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Workshop tools and equipment</w:t>
            </w:r>
            <w:r w:rsidRPr="00F40EDF">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Workshop tools and equipment may include:</w:t>
            </w:r>
          </w:p>
          <w:p w:rsidR="00000000" w:rsidRPr="00F40EDF" w:rsidP="00F40EDF">
            <w:pPr>
              <w:pStyle w:val="ListBullet"/>
            </w:pPr>
            <w:r w:rsidRPr="00F40EDF">
              <w:t>timing machine</w:t>
            </w:r>
          </w:p>
          <w:p w:rsidR="00000000" w:rsidRPr="00F40EDF" w:rsidP="00F40EDF">
            <w:pPr>
              <w:pStyle w:val="ListBullet"/>
            </w:pPr>
            <w:r w:rsidRPr="00F40EDF">
              <w:t>multimeter</w:t>
            </w:r>
          </w:p>
          <w:p w:rsidR="00000000" w:rsidRPr="00F40EDF" w:rsidP="00F40EDF">
            <w:pPr>
              <w:pStyle w:val="ListBullet"/>
            </w:pPr>
            <w:r w:rsidRPr="00F40EDF">
              <w:t>pulse generator</w:t>
            </w:r>
          </w:p>
          <w:p w:rsidR="00000000" w:rsidRPr="00F40EDF" w:rsidP="00F40EDF">
            <w:pPr>
              <w:pStyle w:val="ListBullet"/>
            </w:pPr>
            <w:r w:rsidRPr="00F40EDF">
              <w:t>watch repair hand tools</w:t>
            </w:r>
          </w:p>
          <w:p w:rsidR="00000000" w:rsidRPr="00F40EDF" w:rsidP="00F40EDF">
            <w:pPr>
              <w:pStyle w:val="ListBullet"/>
            </w:pPr>
            <w:r w:rsidRPr="00F40EDF">
              <w:t>case opening and closing tools</w:t>
            </w:r>
          </w:p>
          <w:p w:rsidR="00000000" w:rsidRPr="00F40EDF" w:rsidP="00F40EDF">
            <w:pPr>
              <w:pStyle w:val="ListBullet"/>
            </w:pPr>
            <w:r w:rsidRPr="00F40EDF">
              <w:t>cleaning media</w:t>
            </w:r>
          </w:p>
          <w:p w:rsidR="00000000" w:rsidRPr="00F40EDF" w:rsidP="00F40EDF">
            <w:pPr>
              <w:pStyle w:val="ListBullet"/>
            </w:pPr>
            <w:r w:rsidRPr="00F40EDF">
              <w:t xml:space="preserve">cleaning machines </w:t>
            </w:r>
          </w:p>
          <w:p w:rsidR="00000000" w:rsidRPr="00F40EDF" w:rsidP="00F40EDF">
            <w:pPr>
              <w:pStyle w:val="ListBullet"/>
            </w:pPr>
            <w:r w:rsidRPr="00F40EDF">
              <w:t>lubricants</w:t>
            </w:r>
          </w:p>
          <w:p w:rsidR="00000000" w:rsidP="00F40EDF">
            <w:pPr>
              <w:pStyle w:val="ListBullet"/>
              <w:rPr>
                <w:lang w:val="en-NZ"/>
              </w:rPr>
            </w:pPr>
            <w:r w:rsidRPr="00F40EDF">
              <w:t>personal protective equipment</w:t>
            </w:r>
          </w:p>
        </w:tc>
      </w:tr>
      <w:tr w:rsidTr="00834F8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Movement and case components</w:t>
            </w:r>
            <w:r w:rsidRPr="00F40EDF">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Movement and case components may include:</w:t>
            </w:r>
          </w:p>
          <w:p w:rsidR="00000000" w:rsidRPr="00F40EDF" w:rsidP="00F40EDF">
            <w:pPr>
              <w:pStyle w:val="ListBullet"/>
            </w:pPr>
            <w:r w:rsidRPr="00F40EDF">
              <w:t>quartz crystal</w:t>
            </w:r>
          </w:p>
          <w:p w:rsidR="00000000" w:rsidRPr="00F40EDF" w:rsidP="00F40EDF">
            <w:pPr>
              <w:pStyle w:val="ListBullet"/>
            </w:pPr>
            <w:r w:rsidRPr="00F40EDF">
              <w:t>electronic circuits</w:t>
            </w:r>
          </w:p>
          <w:p w:rsidR="00000000" w:rsidRPr="00F40EDF" w:rsidP="00F40EDF">
            <w:pPr>
              <w:pStyle w:val="ListBullet"/>
            </w:pPr>
            <w:r w:rsidRPr="00F40EDF">
              <w:t>coils</w:t>
            </w:r>
          </w:p>
          <w:p w:rsidR="00000000" w:rsidRPr="00F40EDF" w:rsidP="00F40EDF">
            <w:pPr>
              <w:pStyle w:val="ListBullet"/>
            </w:pPr>
            <w:r w:rsidRPr="00F40EDF">
              <w:t>mechanical gear train</w:t>
            </w:r>
          </w:p>
          <w:p w:rsidR="00000000" w:rsidRPr="00F40EDF" w:rsidP="00F40EDF">
            <w:pPr>
              <w:pStyle w:val="ListBullet"/>
            </w:pPr>
            <w:r w:rsidRPr="00F40EDF">
              <w:t>liquid crystal displays</w:t>
            </w:r>
          </w:p>
          <w:p w:rsidR="00000000" w:rsidRPr="00F40EDF" w:rsidP="00F40EDF">
            <w:pPr>
              <w:pStyle w:val="ListBullet"/>
            </w:pPr>
            <w:r w:rsidRPr="00F40EDF">
              <w:t>watch glasses</w:t>
            </w:r>
          </w:p>
          <w:p w:rsidR="00000000" w:rsidRPr="00F40EDF" w:rsidP="00F40EDF">
            <w:pPr>
              <w:pStyle w:val="ListBullet"/>
            </w:pPr>
            <w:r w:rsidRPr="00F40EDF">
              <w:t>case back</w:t>
            </w:r>
          </w:p>
          <w:p w:rsidR="00000000" w:rsidRPr="00F40EDF" w:rsidP="00F40EDF">
            <w:pPr>
              <w:pStyle w:val="ListBullet"/>
            </w:pPr>
            <w:r w:rsidRPr="00F40EDF">
              <w:t>bezel (rotating)</w:t>
            </w:r>
          </w:p>
          <w:p w:rsidR="00000000" w:rsidRPr="00F40EDF" w:rsidP="00F40EDF">
            <w:pPr>
              <w:pStyle w:val="ListBullet"/>
            </w:pPr>
            <w:r w:rsidRPr="00F40EDF">
              <w:t>crown</w:t>
            </w:r>
          </w:p>
          <w:p w:rsidR="00000000" w:rsidRPr="00F40EDF" w:rsidP="00F40EDF">
            <w:pPr>
              <w:pStyle w:val="ListBullet"/>
            </w:pPr>
            <w:r w:rsidRPr="00F40EDF">
              <w:t>pendant</w:t>
            </w:r>
          </w:p>
          <w:p w:rsidR="00000000" w:rsidP="00F40EDF">
            <w:pPr>
              <w:pStyle w:val="ListBullet"/>
              <w:rPr>
                <w:lang w:val="en-NZ"/>
              </w:rPr>
            </w:pPr>
            <w:r w:rsidRPr="00F40EDF">
              <w:t>pushbuttons</w:t>
            </w:r>
          </w:p>
        </w:tc>
      </w:tr>
      <w:tr w:rsidTr="00834F83">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Watch performance</w:t>
            </w:r>
            <w:r w:rsidRPr="00F40EDF">
              <w:t>/</w:t>
            </w:r>
            <w:r w:rsidRPr="00F40EDF">
              <w:rPr>
                <w:rStyle w:val="SpecialBold"/>
              </w:rPr>
              <w:t>rate testing</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Watch performance/rate testing may include:</w:t>
            </w:r>
          </w:p>
          <w:p w:rsidR="00000000" w:rsidRPr="00F40EDF" w:rsidP="00F40EDF">
            <w:pPr>
              <w:pStyle w:val="ListBullet"/>
            </w:pPr>
            <w:r w:rsidRPr="00F40EDF">
              <w:t xml:space="preserve">current consumption according to manufacturer specifications </w:t>
            </w:r>
          </w:p>
          <w:p w:rsidR="00000000" w:rsidRPr="00F40EDF" w:rsidP="00F40EDF">
            <w:pPr>
              <w:pStyle w:val="ListBullet"/>
            </w:pPr>
            <w:r w:rsidRPr="00F40EDF">
              <w:t>rate testing (e.g. +0.25 - 0.3 seconds/day)</w:t>
            </w:r>
          </w:p>
        </w:tc>
      </w:tr>
    </w:tbl>
    <w:p w:rsidR="00834F83" w:rsidP="00F40EDF">
      <w:pPr>
        <w:pStyle w:val="BodyText"/>
      </w:pPr>
    </w:p>
    <w:p w:rsidR="00834F83" w:rsidP="00F40EDF">
      <w:pPr>
        <w:pStyle w:val="BodyText"/>
      </w:pPr>
    </w:p>
    <w:p w:rsidR="00000000" w:rsidRPr="00F40EDF" w:rsidP="00F40EDF">
      <w:pPr>
        <w:pStyle w:val="Heading1"/>
      </w:pPr>
      <w:bookmarkStart w:id="12" w:name="O_212880"/>
      <w:bookmarkEnd w:id="12"/>
      <w:r w:rsidRPr="00F40EDF">
        <w:t>Unit Sector(s)</w:t>
      </w:r>
    </w:p>
    <w:tbl>
      <w:tblPr>
        <w:tblW w:w="0" w:type="auto"/>
        <w:tblLayout w:type="fixed"/>
        <w:tblCellMar>
          <w:left w:w="62" w:type="dxa"/>
          <w:right w:w="62" w:type="dxa"/>
        </w:tblCellMar>
        <w:tblLook w:val="0000"/>
      </w:tblPr>
      <w:tblGrid>
        <w:gridCol w:w="2614"/>
        <w:gridCol w:w="5908"/>
      </w:tblGrid>
      <w:tr w:rsidTr="00834F8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r w:rsidRPr="00F40EDF">
              <w:t>Horology</w:t>
            </w:r>
          </w:p>
        </w:tc>
      </w:tr>
    </w:tbl>
    <w:p w:rsidR="00834F83" w:rsidP="00F40EDF">
      <w:pPr>
        <w:pStyle w:val="BodyText"/>
      </w:pPr>
    </w:p>
    <w:p w:rsidR="00834F83" w:rsidP="00F40EDF">
      <w:pPr>
        <w:pStyle w:val="BodyText"/>
      </w:pPr>
    </w:p>
    <w:p w:rsidR="00000000" w:rsidRPr="00F40EDF" w:rsidP="00F40EDF">
      <w:pPr>
        <w:pStyle w:val="Heading1"/>
      </w:pPr>
      <w:bookmarkStart w:id="13" w:name="O_212877"/>
      <w:bookmarkEnd w:id="13"/>
      <w:r w:rsidRPr="00F40EDF">
        <w:t>Co-requisite units</w:t>
      </w:r>
    </w:p>
    <w:tbl>
      <w:tblPr>
        <w:tblW w:w="0" w:type="auto"/>
        <w:tblLayout w:type="fixed"/>
        <w:tblCellMar>
          <w:left w:w="62" w:type="dxa"/>
          <w:right w:w="62" w:type="dxa"/>
        </w:tblCellMar>
        <w:tblLook w:val="0000"/>
      </w:tblPr>
      <w:tblGrid>
        <w:gridCol w:w="2641"/>
        <w:gridCol w:w="1322"/>
        <w:gridCol w:w="4559"/>
      </w:tblGrid>
      <w:tr w:rsidTr="00834F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p>
        </w:tc>
      </w:tr>
      <w:tr w:rsidTr="00834F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p>
        </w:tc>
      </w:tr>
      <w:tr w:rsidTr="00834F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p>
        </w:tc>
      </w:tr>
    </w:tbl>
    <w:p w:rsidR="00834F83" w:rsidP="00F40EDF">
      <w:pPr>
        <w:pStyle w:val="BodyText"/>
      </w:pPr>
    </w:p>
    <w:p w:rsidR="00834F83" w:rsidP="00F40EDF">
      <w:pPr>
        <w:pStyle w:val="BodyText"/>
      </w:pPr>
    </w:p>
    <w:p w:rsidR="00000000" w:rsidRPr="00F40EDF" w:rsidP="00F40EDF">
      <w:pPr>
        <w:pStyle w:val="Heading1"/>
      </w:pPr>
      <w:bookmarkStart w:id="14" w:name="O_212879"/>
      <w:bookmarkEnd w:id="14"/>
      <w:r w:rsidRPr="00F40EDF">
        <w:t>Competency field</w:t>
      </w:r>
    </w:p>
    <w:tbl>
      <w:tblPr>
        <w:tblW w:w="0" w:type="auto"/>
        <w:tblLayout w:type="fixed"/>
        <w:tblCellMar>
          <w:left w:w="62" w:type="dxa"/>
          <w:right w:w="62" w:type="dxa"/>
        </w:tblCellMar>
        <w:tblLook w:val="0000"/>
      </w:tblPr>
      <w:tblGrid>
        <w:gridCol w:w="2784"/>
        <w:gridCol w:w="5738"/>
      </w:tblGrid>
      <w:tr w:rsidTr="00834F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0EDF">
            <w:pPr>
              <w:pStyle w:val="BodyText"/>
              <w:rPr>
                <w:lang w:val="en-NZ"/>
              </w:rPr>
            </w:pPr>
            <w:r w:rsidRPr="00F40E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0EDF" w:rsidP="00F40EDF">
            <w:pPr>
              <w:pStyle w:val="BodyText"/>
            </w:pPr>
          </w:p>
        </w:tc>
      </w:tr>
    </w:tbl>
    <w:p w:rsidR="00834F83" w:rsidP="00F40EDF">
      <w:pPr>
        <w:pStyle w:val="BodyText"/>
      </w:pPr>
    </w:p>
    <w:p w:rsidR="00834F83" w:rsidP="00F40EDF">
      <w:pPr>
        <w:pStyle w:val="BodyText"/>
      </w:pPr>
    </w:p>
    <w:p w:rsidR="00000000" w:rsidRPr="00F40EDF" w:rsidP="00F40EDF"/>
    <w:sectPr w:rsidSect="00F40E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F83" w:rsidP="00834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F83" w:rsidP="00F40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4F83" w:rsidP="00F40E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4F83" w:rsidP="00F40E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F83" w:rsidP="00834F8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F83" w:rsidP="00F40EDF">
    <w:pPr>
      <w:pStyle w:val="Header"/>
      <w:framePr w:wrap="around"/>
    </w:pPr>
    <w:r>
      <w:fldChar w:fldCharType="begin"/>
    </w:r>
    <w:r>
      <w:instrText xml:space="preserve"> TITLE   \* MERGEFORMAT </w:instrText>
    </w:r>
    <w:r>
      <w:fldChar w:fldCharType="separate"/>
    </w:r>
    <w:r>
      <w:t>MEM21006A Service quartz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F83" w:rsidP="00F40E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F0C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A45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E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0EDF"/>
    <w:pPr>
      <w:spacing w:before="360" w:after="60"/>
      <w:outlineLvl w:val="0"/>
    </w:pPr>
    <w:rPr>
      <w:sz w:val="32"/>
    </w:rPr>
  </w:style>
  <w:style w:type="paragraph" w:styleId="Heading2">
    <w:name w:val="heading 2"/>
    <w:basedOn w:val="HeadingBase"/>
    <w:next w:val="BodyText"/>
    <w:link w:val="Heading2Char"/>
    <w:qFormat/>
    <w:rsid w:val="00F40EDF"/>
    <w:pPr>
      <w:keepLines/>
      <w:spacing w:before="240" w:after="120"/>
      <w:outlineLvl w:val="1"/>
    </w:pPr>
    <w:rPr>
      <w:sz w:val="28"/>
      <w:szCs w:val="40"/>
    </w:rPr>
  </w:style>
  <w:style w:type="paragraph" w:styleId="Heading3">
    <w:name w:val="heading 3"/>
    <w:basedOn w:val="HeadingBase"/>
    <w:next w:val="BodyText"/>
    <w:link w:val="Heading3Char"/>
    <w:qFormat/>
    <w:rsid w:val="00F40EDF"/>
    <w:pPr>
      <w:spacing w:before="180" w:after="120"/>
      <w:outlineLvl w:val="2"/>
    </w:pPr>
    <w:rPr>
      <w:spacing w:val="-10"/>
      <w:kern w:val="32"/>
    </w:rPr>
  </w:style>
  <w:style w:type="paragraph" w:styleId="Heading4">
    <w:name w:val="heading 4"/>
    <w:basedOn w:val="HeadingBase"/>
    <w:next w:val="BodyText"/>
    <w:link w:val="Heading4Char"/>
    <w:qFormat/>
    <w:rsid w:val="00F40EDF"/>
    <w:pPr>
      <w:spacing w:before="160" w:after="120"/>
      <w:outlineLvl w:val="3"/>
    </w:pPr>
    <w:rPr>
      <w:sz w:val="22"/>
    </w:rPr>
  </w:style>
  <w:style w:type="paragraph" w:styleId="Heading5">
    <w:name w:val="heading 5"/>
    <w:basedOn w:val="HeadingBase"/>
    <w:next w:val="Normal"/>
    <w:link w:val="Heading5Char"/>
    <w:qFormat/>
    <w:rsid w:val="00F40EDF"/>
    <w:pPr>
      <w:spacing w:before="80"/>
      <w:outlineLvl w:val="4"/>
    </w:pPr>
    <w:rPr>
      <w:color w:val="918585"/>
      <w:sz w:val="20"/>
    </w:rPr>
  </w:style>
  <w:style w:type="paragraph" w:styleId="Heading6">
    <w:name w:val="heading 6"/>
    <w:basedOn w:val="HeadingBase"/>
    <w:next w:val="Normal"/>
    <w:link w:val="Heading6Char"/>
    <w:qFormat/>
    <w:rsid w:val="00F40EDF"/>
    <w:pPr>
      <w:spacing w:before="60"/>
      <w:outlineLvl w:val="5"/>
    </w:pPr>
    <w:rPr>
      <w:color w:val="918585"/>
      <w:sz w:val="20"/>
    </w:rPr>
  </w:style>
  <w:style w:type="paragraph" w:styleId="Heading7">
    <w:name w:val="heading 7"/>
    <w:basedOn w:val="Normal"/>
    <w:next w:val="Normal"/>
    <w:link w:val="Heading7Char"/>
    <w:qFormat/>
    <w:rsid w:val="00F40EDF"/>
    <w:pPr>
      <w:ind w:left="720"/>
      <w:outlineLvl w:val="6"/>
    </w:pPr>
    <w:rPr>
      <w:i/>
    </w:rPr>
  </w:style>
  <w:style w:type="paragraph" w:styleId="Heading8">
    <w:name w:val="heading 8"/>
    <w:basedOn w:val="Normal"/>
    <w:next w:val="Normal"/>
    <w:link w:val="Heading8Char"/>
    <w:qFormat/>
    <w:rsid w:val="00F40EDF"/>
    <w:pPr>
      <w:ind w:left="720"/>
      <w:outlineLvl w:val="7"/>
    </w:pPr>
    <w:rPr>
      <w:i/>
    </w:rPr>
  </w:style>
  <w:style w:type="paragraph" w:styleId="Heading9">
    <w:name w:val="heading 9"/>
    <w:basedOn w:val="Normal"/>
    <w:next w:val="Normal"/>
    <w:link w:val="Heading9Char"/>
    <w:qFormat/>
    <w:rsid w:val="00F40EDF"/>
    <w:pPr>
      <w:ind w:left="720"/>
      <w:outlineLvl w:val="8"/>
    </w:pPr>
    <w:rPr>
      <w:i/>
    </w:rPr>
  </w:style>
  <w:style w:type="character" w:default="1" w:styleId="DefaultParagraphFont">
    <w:name w:val="Default Paragraph Font"/>
    <w:uiPriority w:val="1"/>
    <w:unhideWhenUsed/>
    <w:rsid w:val="00F40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0EDF"/>
  </w:style>
  <w:style w:type="character" w:customStyle="1" w:styleId="Heading1Char">
    <w:name w:val="Heading 1 Char"/>
    <w:basedOn w:val="DefaultParagraphFont"/>
    <w:link w:val="Heading1"/>
    <w:rsid w:val="00F40EDF"/>
    <w:rPr>
      <w:rFonts w:ascii="Times New Roman" w:eastAsia="Times New Roman" w:hAnsi="Times New Roman" w:cs="Times New Roman"/>
      <w:b/>
      <w:sz w:val="32"/>
      <w:szCs w:val="20"/>
      <w:lang w:eastAsia="en-US"/>
    </w:rPr>
  </w:style>
  <w:style w:type="paragraph" w:styleId="BodyText">
    <w:name w:val="Body Text"/>
    <w:basedOn w:val="Normal"/>
    <w:link w:val="BodyTextChar"/>
    <w:rsid w:val="00F40E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0EDF"/>
    <w:rPr>
      <w:rFonts w:ascii="Times New Roman" w:eastAsia="Times New Roman" w:hAnsi="Times New Roman" w:cs="Times New Roman"/>
      <w:sz w:val="24"/>
      <w:lang w:val="en-US" w:eastAsia="en-US"/>
    </w:rPr>
  </w:style>
  <w:style w:type="paragraph" w:styleId="Footer">
    <w:name w:val="footer"/>
    <w:basedOn w:val="Normal"/>
    <w:link w:val="FooterChar"/>
    <w:rsid w:val="00F40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0EDF"/>
    <w:rPr>
      <w:rFonts w:ascii="Times New Roman" w:eastAsia="Times New Roman" w:hAnsi="Times New Roman" w:cs="Times New Roman"/>
      <w:sz w:val="16"/>
      <w:lang w:val="en-US" w:eastAsia="en-US"/>
    </w:rPr>
  </w:style>
  <w:style w:type="paragraph" w:styleId="List">
    <w:name w:val="List"/>
    <w:basedOn w:val="BodyText"/>
    <w:next w:val="BodyText"/>
    <w:rsid w:val="00F40EDF"/>
    <w:pPr>
      <w:tabs>
        <w:tab w:val="left" w:pos="340"/>
      </w:tabs>
      <w:spacing w:before="60" w:after="60"/>
      <w:ind w:left="340" w:hanging="340"/>
    </w:pPr>
  </w:style>
  <w:style w:type="paragraph" w:styleId="ListBullet">
    <w:name w:val="List Bullet"/>
    <w:basedOn w:val="List"/>
    <w:rsid w:val="00F40EDF"/>
    <w:pPr>
      <w:numPr>
        <w:numId w:val="12"/>
      </w:numPr>
      <w:tabs>
        <w:tab w:val="clear" w:pos="340"/>
      </w:tabs>
      <w:spacing w:before="40" w:after="40"/>
    </w:pPr>
  </w:style>
  <w:style w:type="character" w:customStyle="1" w:styleId="SpecialBold">
    <w:name w:val="Special Bold"/>
    <w:basedOn w:val="DefaultParagraphFont"/>
    <w:rsid w:val="00F40EDF"/>
    <w:rPr>
      <w:b/>
      <w:spacing w:val="0"/>
    </w:rPr>
  </w:style>
  <w:style w:type="paragraph" w:styleId="Header">
    <w:name w:val="header"/>
    <w:basedOn w:val="Normal"/>
    <w:link w:val="HeaderChar"/>
    <w:rsid w:val="00F40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0E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0EDF"/>
    <w:pPr>
      <w:spacing w:before="240" w:after="120"/>
      <w:outlineLvl w:val="0"/>
    </w:pPr>
    <w:rPr>
      <w:rFonts w:ascii="Times New Roman" w:hAnsi="Times New Roman"/>
      <w:b/>
      <w:sz w:val="28"/>
    </w:rPr>
  </w:style>
  <w:style w:type="paragraph" w:customStyle="1" w:styleId="AllowPageBreak">
    <w:name w:val="AllowPageBreak"/>
    <w:rsid w:val="00F40E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0EDF"/>
    <w:pPr>
      <w:tabs>
        <w:tab w:val="left" w:pos="680"/>
      </w:tabs>
      <w:spacing w:before="60" w:after="60"/>
      <w:ind w:left="680" w:hanging="340"/>
    </w:pPr>
  </w:style>
  <w:style w:type="character" w:customStyle="1" w:styleId="Heading2Char">
    <w:name w:val="Heading 2 Char"/>
    <w:basedOn w:val="DefaultParagraphFont"/>
    <w:link w:val="Heading2"/>
    <w:rsid w:val="00F40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0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0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0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0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0E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0E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0EDF"/>
    <w:rPr>
      <w:rFonts w:ascii="Courier New" w:eastAsia="Times New Roman" w:hAnsi="Courier New" w:cs="Times New Roman"/>
      <w:i/>
      <w:szCs w:val="20"/>
      <w:lang w:val="en-US" w:eastAsia="en-US"/>
    </w:rPr>
  </w:style>
  <w:style w:type="paragraph" w:customStyle="1" w:styleId="HeadingBase">
    <w:name w:val="Heading Base"/>
    <w:rsid w:val="00F40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0EDF"/>
    <w:pPr>
      <w:tabs>
        <w:tab w:val="right" w:leader="dot" w:pos="9072"/>
      </w:tabs>
      <w:ind w:left="567"/>
    </w:pPr>
    <w:rPr>
      <w:szCs w:val="22"/>
    </w:rPr>
  </w:style>
  <w:style w:type="paragraph" w:customStyle="1" w:styleId="TOCBase">
    <w:name w:val="TOC Base"/>
    <w:rsid w:val="00F40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0EDF"/>
    <w:pPr>
      <w:tabs>
        <w:tab w:val="right" w:leader="dot" w:pos="9072"/>
      </w:tabs>
      <w:spacing w:before="40" w:after="40"/>
      <w:ind w:left="284"/>
    </w:pPr>
    <w:rPr>
      <w:rFonts w:ascii="Times New Roman" w:hAnsi="Times New Roman"/>
    </w:rPr>
  </w:style>
  <w:style w:type="paragraph" w:styleId="TOC1">
    <w:name w:val="toc 1"/>
    <w:basedOn w:val="TOCBase"/>
    <w:next w:val="Normal"/>
    <w:rsid w:val="00F40E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0EDF"/>
    <w:pPr>
      <w:spacing w:before="5040"/>
      <w:jc w:val="center"/>
    </w:pPr>
    <w:rPr>
      <w:sz w:val="48"/>
      <w:szCs w:val="72"/>
      <w:lang w:val="en-US"/>
    </w:rPr>
  </w:style>
  <w:style w:type="character" w:customStyle="1" w:styleId="TitleChar">
    <w:name w:val="Title Char"/>
    <w:basedOn w:val="DefaultParagraphFont"/>
    <w:link w:val="Title"/>
    <w:rsid w:val="00F40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0EDF"/>
    <w:pPr>
      <w:tabs>
        <w:tab w:val="left" w:pos="3600"/>
        <w:tab w:val="left" w:pos="3958"/>
      </w:tabs>
    </w:pPr>
  </w:style>
  <w:style w:type="paragraph" w:customStyle="1" w:styleId="Note">
    <w:name w:val="Note"/>
    <w:basedOn w:val="BodyText"/>
    <w:rsid w:val="00F40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0EDF"/>
    <w:pPr>
      <w:framePr w:wrap="auto" w:hAnchor="text" w:y="6049"/>
    </w:pPr>
    <w:rPr>
      <w:color w:val="000000"/>
      <w:sz w:val="40"/>
    </w:rPr>
  </w:style>
  <w:style w:type="paragraph" w:customStyle="1" w:styleId="TOCTitle">
    <w:name w:val="TOCTitle"/>
    <w:basedOn w:val="Heading1"/>
    <w:rsid w:val="00F40EDF"/>
    <w:pPr>
      <w:spacing w:after="240"/>
      <w:jc w:val="center"/>
      <w:outlineLvl w:val="9"/>
    </w:pPr>
    <w:rPr>
      <w:caps/>
    </w:rPr>
  </w:style>
  <w:style w:type="paragraph" w:customStyle="1" w:styleId="Version">
    <w:name w:val="Version"/>
    <w:rsid w:val="00F40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0EDF"/>
    <w:pPr>
      <w:numPr>
        <w:numId w:val="13"/>
      </w:numPr>
      <w:tabs>
        <w:tab w:val="clear" w:pos="680"/>
      </w:tabs>
    </w:pPr>
  </w:style>
  <w:style w:type="paragraph" w:styleId="Index1">
    <w:name w:val="index 1"/>
    <w:basedOn w:val="Normal"/>
    <w:next w:val="Normal"/>
    <w:semiHidden/>
    <w:rsid w:val="00F40EDF"/>
    <w:pPr>
      <w:keepNext w:val="0"/>
      <w:tabs>
        <w:tab w:val="right" w:pos="4176"/>
      </w:tabs>
      <w:ind w:left="198" w:hanging="198"/>
    </w:pPr>
    <w:rPr>
      <w:rFonts w:ascii="Garamond" w:hAnsi="Garamond"/>
    </w:rPr>
  </w:style>
  <w:style w:type="paragraph" w:styleId="IndexHeading">
    <w:name w:val="index heading"/>
    <w:basedOn w:val="Normal"/>
    <w:next w:val="Index1"/>
    <w:semiHidden/>
    <w:rsid w:val="00F40EDF"/>
    <w:pPr>
      <w:spacing w:before="120" w:after="120"/>
    </w:pPr>
    <w:rPr>
      <w:rFonts w:ascii="Arial" w:hAnsi="Arial"/>
      <w:b/>
      <w:color w:val="918585"/>
      <w:sz w:val="24"/>
    </w:rPr>
  </w:style>
  <w:style w:type="paragraph" w:customStyle="1" w:styleId="Chapter">
    <w:name w:val="Chapter"/>
    <w:basedOn w:val="Normal"/>
    <w:rsid w:val="00F40EDF"/>
    <w:pPr>
      <w:spacing w:before="240"/>
    </w:pPr>
    <w:rPr>
      <w:rFonts w:ascii="Times New Roman" w:hAnsi="Times New Roman"/>
      <w:smallCaps/>
      <w:spacing w:val="80"/>
      <w:sz w:val="28"/>
    </w:rPr>
  </w:style>
  <w:style w:type="paragraph" w:customStyle="1" w:styleId="InChapter">
    <w:name w:val="InChapter"/>
    <w:basedOn w:val="Heading3"/>
    <w:rsid w:val="00F40EDF"/>
    <w:pPr>
      <w:spacing w:after="240"/>
      <w:outlineLvl w:val="9"/>
    </w:pPr>
    <w:rPr>
      <w:noProof/>
    </w:rPr>
  </w:style>
  <w:style w:type="paragraph" w:styleId="Index2">
    <w:name w:val="index 2"/>
    <w:basedOn w:val="Normal"/>
    <w:next w:val="Normal"/>
    <w:semiHidden/>
    <w:rsid w:val="00F40EDF"/>
    <w:pPr>
      <w:tabs>
        <w:tab w:val="right" w:pos="4176"/>
      </w:tabs>
      <w:ind w:left="568" w:hanging="284"/>
    </w:pPr>
    <w:rPr>
      <w:rFonts w:ascii="Garamond" w:hAnsi="Garamond"/>
    </w:rPr>
  </w:style>
  <w:style w:type="paragraph" w:customStyle="1" w:styleId="Byline">
    <w:name w:val="Byline"/>
    <w:rsid w:val="00F40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0EDF"/>
    <w:pPr>
      <w:tabs>
        <w:tab w:val="clear" w:pos="3600"/>
        <w:tab w:val="clear" w:pos="3958"/>
      </w:tabs>
      <w:jc w:val="right"/>
    </w:pPr>
  </w:style>
  <w:style w:type="character" w:styleId="Emphasis">
    <w:name w:val="Emphasis"/>
    <w:basedOn w:val="DefaultParagraphFont"/>
    <w:qFormat/>
    <w:rsid w:val="00F40EDF"/>
    <w:rPr>
      <w:i/>
    </w:rPr>
  </w:style>
  <w:style w:type="paragraph" w:styleId="Caption">
    <w:name w:val="caption"/>
    <w:basedOn w:val="BodyText"/>
    <w:next w:val="Normal"/>
    <w:qFormat/>
    <w:rsid w:val="00F40EDF"/>
    <w:pPr>
      <w:framePr w:w="2268" w:hSpace="181" w:vSpace="181" w:wrap="around" w:vAnchor="text" w:hAnchor="page" w:x="1135" w:y="285" w:anchorLock="1"/>
    </w:pPr>
    <w:rPr>
      <w:i/>
    </w:rPr>
  </w:style>
  <w:style w:type="paragraph" w:customStyle="1" w:styleId="MiniTOCTitle">
    <w:name w:val="MiniTOCTitle"/>
    <w:basedOn w:val="Heading4"/>
    <w:rsid w:val="00F40EDF"/>
    <w:pPr>
      <w:spacing w:before="240"/>
      <w:outlineLvl w:val="9"/>
    </w:pPr>
    <w:rPr>
      <w:noProof/>
      <w:sz w:val="24"/>
    </w:rPr>
  </w:style>
  <w:style w:type="paragraph" w:customStyle="1" w:styleId="MiniTOCItem">
    <w:name w:val="MiniTOCItem"/>
    <w:basedOn w:val="ListBullet"/>
    <w:rsid w:val="00F40EDF"/>
    <w:pPr>
      <w:numPr>
        <w:numId w:val="0"/>
      </w:numPr>
      <w:tabs>
        <w:tab w:val="right" w:leader="dot" w:pos="6521"/>
      </w:tabs>
      <w:spacing w:before="0" w:after="0"/>
    </w:pPr>
  </w:style>
  <w:style w:type="paragraph" w:customStyle="1" w:styleId="TOFTitle">
    <w:name w:val="TOFTitle"/>
    <w:basedOn w:val="TOCTitle"/>
    <w:rsid w:val="00F40EDF"/>
  </w:style>
  <w:style w:type="paragraph" w:styleId="TableofFigures">
    <w:name w:val="table of figures"/>
    <w:basedOn w:val="Normal"/>
    <w:next w:val="Normal"/>
    <w:semiHidden/>
    <w:rsid w:val="00F40EDF"/>
    <w:pPr>
      <w:tabs>
        <w:tab w:val="right" w:leader="dot" w:pos="9072"/>
      </w:tabs>
      <w:ind w:left="970" w:hanging="403"/>
    </w:pPr>
    <w:rPr>
      <w:rFonts w:ascii="Times New Roman" w:hAnsi="Times New Roman"/>
      <w:b/>
    </w:rPr>
  </w:style>
  <w:style w:type="paragraph" w:styleId="ListNumber">
    <w:name w:val="List Number"/>
    <w:basedOn w:val="List"/>
    <w:rsid w:val="00F40EDF"/>
    <w:pPr>
      <w:numPr>
        <w:numId w:val="10"/>
      </w:numPr>
    </w:pPr>
  </w:style>
  <w:style w:type="character" w:customStyle="1" w:styleId="WingdingSymbols">
    <w:name w:val="Wingding Symbols"/>
    <w:rsid w:val="00F40EDF"/>
    <w:rPr>
      <w:rFonts w:ascii="Wingdings" w:hAnsi="Wingdings"/>
    </w:rPr>
  </w:style>
  <w:style w:type="paragraph" w:customStyle="1" w:styleId="TableHeading">
    <w:name w:val="Table Heading"/>
    <w:basedOn w:val="HeadingBase"/>
    <w:rsid w:val="00F40EDF"/>
    <w:pPr>
      <w:keepLines/>
      <w:pBdr>
        <w:bottom w:val="single" w:sz="6" w:space="1" w:color="918585"/>
      </w:pBdr>
      <w:spacing w:before="240"/>
    </w:pPr>
  </w:style>
  <w:style w:type="character" w:customStyle="1" w:styleId="HotSpot">
    <w:name w:val="HotSpot"/>
    <w:rsid w:val="00F40EDF"/>
    <w:rPr>
      <w:color w:val="0033CC"/>
      <w:u w:val="none"/>
    </w:rPr>
  </w:style>
  <w:style w:type="paragraph" w:customStyle="1" w:styleId="BodyTextRight">
    <w:name w:val="Body Text Right"/>
    <w:basedOn w:val="BodyText"/>
    <w:rsid w:val="00F40EDF"/>
    <w:pPr>
      <w:spacing w:before="0" w:after="0"/>
      <w:jc w:val="right"/>
    </w:pPr>
  </w:style>
  <w:style w:type="paragraph" w:styleId="Index3">
    <w:name w:val="index 3"/>
    <w:basedOn w:val="ListNumber2"/>
    <w:next w:val="Normal"/>
    <w:semiHidden/>
    <w:rsid w:val="00F40EDF"/>
    <w:pPr>
      <w:numPr>
        <w:numId w:val="0"/>
      </w:numPr>
      <w:tabs>
        <w:tab w:val="right" w:leader="dot" w:pos="4176"/>
      </w:tabs>
    </w:pPr>
  </w:style>
  <w:style w:type="paragraph" w:styleId="ListNumber2">
    <w:name w:val="List Number 2"/>
    <w:basedOn w:val="List2"/>
    <w:rsid w:val="00F40EDF"/>
    <w:pPr>
      <w:numPr>
        <w:numId w:val="9"/>
      </w:numPr>
      <w:tabs>
        <w:tab w:val="clear" w:pos="1060"/>
      </w:tabs>
    </w:pPr>
  </w:style>
  <w:style w:type="paragraph" w:customStyle="1" w:styleId="MarginNote">
    <w:name w:val="Margin Note"/>
    <w:basedOn w:val="BodyText"/>
    <w:rsid w:val="00F40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0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0E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0EDF"/>
    <w:rPr>
      <w:sz w:val="32"/>
    </w:rPr>
  </w:style>
  <w:style w:type="paragraph" w:customStyle="1" w:styleId="HeadingProcedure">
    <w:name w:val="Heading Procedure"/>
    <w:basedOn w:val="HeadingBase"/>
    <w:next w:val="Normal"/>
    <w:rsid w:val="00F40EDF"/>
    <w:pPr>
      <w:tabs>
        <w:tab w:val="left" w:pos="0"/>
      </w:tabs>
      <w:spacing w:before="120" w:after="60"/>
    </w:pPr>
    <w:rPr>
      <w:i/>
      <w:color w:val="918585"/>
      <w:sz w:val="22"/>
    </w:rPr>
  </w:style>
  <w:style w:type="paragraph" w:customStyle="1" w:styleId="TableBodyText">
    <w:name w:val="Table Body Text"/>
    <w:basedOn w:val="BodyText"/>
    <w:rsid w:val="00F40EDF"/>
    <w:pPr>
      <w:spacing w:before="60" w:after="60"/>
    </w:pPr>
  </w:style>
  <w:style w:type="paragraph" w:styleId="ListContinue">
    <w:name w:val="List Continue"/>
    <w:basedOn w:val="List"/>
    <w:rsid w:val="00F40EDF"/>
    <w:pPr>
      <w:ind w:firstLine="0"/>
    </w:pPr>
  </w:style>
  <w:style w:type="paragraph" w:customStyle="1" w:styleId="ListNote">
    <w:name w:val="List Note"/>
    <w:basedOn w:val="List"/>
    <w:rsid w:val="00F40EDF"/>
    <w:pPr>
      <w:pBdr>
        <w:top w:val="single" w:sz="6" w:space="2" w:color="918585"/>
        <w:bottom w:val="single" w:sz="6" w:space="2" w:color="918585"/>
      </w:pBdr>
      <w:tabs>
        <w:tab w:val="left" w:pos="1021"/>
      </w:tabs>
      <w:ind w:firstLine="0"/>
    </w:pPr>
  </w:style>
  <w:style w:type="paragraph" w:customStyle="1" w:styleId="Warning">
    <w:name w:val="Warning"/>
    <w:basedOn w:val="BodyText"/>
    <w:rsid w:val="00F40EDF"/>
    <w:pPr>
      <w:shd w:val="clear" w:color="auto" w:fill="D9D9D9"/>
      <w:tabs>
        <w:tab w:val="left" w:pos="992"/>
      </w:tabs>
      <w:ind w:left="119" w:right="119"/>
    </w:pPr>
    <w:rPr>
      <w:sz w:val="20"/>
    </w:rPr>
  </w:style>
  <w:style w:type="paragraph" w:customStyle="1" w:styleId="MarginIcons">
    <w:name w:val="Margin Icons"/>
    <w:basedOn w:val="BodyText"/>
    <w:rsid w:val="00F40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0EDF"/>
    <w:rPr>
      <w:rFonts w:ascii="Courier New" w:hAnsi="Courier New"/>
    </w:rPr>
  </w:style>
  <w:style w:type="paragraph" w:customStyle="1" w:styleId="NoteBullet">
    <w:name w:val="Note Bullet"/>
    <w:basedOn w:val="Note"/>
    <w:rsid w:val="00F40EDF"/>
    <w:pPr>
      <w:tabs>
        <w:tab w:val="clear" w:pos="680"/>
      </w:tabs>
      <w:spacing w:before="60" w:after="60"/>
    </w:pPr>
  </w:style>
  <w:style w:type="paragraph" w:customStyle="1" w:styleId="SubHeading2">
    <w:name w:val="SubHeading2"/>
    <w:basedOn w:val="HeadingBase"/>
    <w:rsid w:val="00F40EDF"/>
    <w:pPr>
      <w:spacing w:before="240" w:after="60"/>
    </w:pPr>
    <w:rPr>
      <w:sz w:val="20"/>
    </w:rPr>
  </w:style>
  <w:style w:type="paragraph" w:customStyle="1" w:styleId="SubHeading1">
    <w:name w:val="SubHeading1"/>
    <w:basedOn w:val="HeadingBase"/>
    <w:rsid w:val="00F40EDF"/>
    <w:pPr>
      <w:spacing w:before="240" w:after="60"/>
    </w:pPr>
    <w:rPr>
      <w:color w:val="918585"/>
      <w:sz w:val="22"/>
    </w:rPr>
  </w:style>
  <w:style w:type="paragraph" w:customStyle="1" w:styleId="SideHeading">
    <w:name w:val="Side Heading"/>
    <w:basedOn w:val="HeadingBase"/>
    <w:rsid w:val="00F40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0EDF"/>
    <w:pPr>
      <w:tabs>
        <w:tab w:val="num" w:pos="360"/>
      </w:tabs>
    </w:pPr>
  </w:style>
  <w:style w:type="paragraph" w:styleId="PlainText">
    <w:name w:val="Plain Text"/>
    <w:basedOn w:val="Normal"/>
    <w:link w:val="PlainTextChar"/>
    <w:rsid w:val="00F40EDF"/>
    <w:rPr>
      <w:sz w:val="20"/>
    </w:rPr>
  </w:style>
  <w:style w:type="character" w:customStyle="1" w:styleId="PlainTextChar">
    <w:name w:val="Plain Text Char"/>
    <w:basedOn w:val="DefaultParagraphFont"/>
    <w:link w:val="PlainText"/>
    <w:rsid w:val="00F40E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0EDF"/>
    <w:rPr>
      <w:b/>
      <w:smallCaps/>
    </w:rPr>
  </w:style>
  <w:style w:type="paragraph" w:customStyle="1" w:styleId="TableListNumber">
    <w:name w:val="Table List Number"/>
    <w:basedOn w:val="ListNumber"/>
    <w:rsid w:val="00F40EDF"/>
    <w:pPr>
      <w:numPr>
        <w:numId w:val="0"/>
      </w:numPr>
    </w:pPr>
  </w:style>
  <w:style w:type="paragraph" w:styleId="TOC4">
    <w:name w:val="toc 4"/>
    <w:basedOn w:val="TOCBase"/>
    <w:next w:val="Normal"/>
    <w:semiHidden/>
    <w:rsid w:val="00F40EDF"/>
    <w:pPr>
      <w:tabs>
        <w:tab w:val="right" w:leader="dot" w:pos="9071"/>
      </w:tabs>
      <w:ind w:left="1701"/>
    </w:pPr>
  </w:style>
  <w:style w:type="paragraph" w:customStyle="1" w:styleId="ListAlpha">
    <w:name w:val="List Alpha"/>
    <w:basedOn w:val="List"/>
    <w:rsid w:val="00F40EDF"/>
    <w:pPr>
      <w:numPr>
        <w:numId w:val="8"/>
      </w:numPr>
    </w:pPr>
  </w:style>
  <w:style w:type="paragraph" w:customStyle="1" w:styleId="ListAlpha2">
    <w:name w:val="List Alpha 2"/>
    <w:basedOn w:val="List2"/>
    <w:rsid w:val="00F40EDF"/>
    <w:pPr>
      <w:numPr>
        <w:numId w:val="7"/>
      </w:numPr>
    </w:pPr>
  </w:style>
  <w:style w:type="paragraph" w:styleId="List3">
    <w:name w:val="List 3"/>
    <w:basedOn w:val="BodyText"/>
    <w:rsid w:val="00F40EDF"/>
    <w:pPr>
      <w:tabs>
        <w:tab w:val="left" w:pos="1021"/>
      </w:tabs>
      <w:spacing w:before="60" w:after="60"/>
      <w:ind w:left="1020" w:hanging="340"/>
    </w:pPr>
  </w:style>
  <w:style w:type="paragraph" w:styleId="List4">
    <w:name w:val="List 4"/>
    <w:basedOn w:val="BodyText"/>
    <w:rsid w:val="00F40EDF"/>
    <w:pPr>
      <w:tabs>
        <w:tab w:val="left" w:pos="1361"/>
      </w:tabs>
      <w:spacing w:before="60" w:after="60"/>
      <w:ind w:left="1361" w:hanging="340"/>
    </w:pPr>
  </w:style>
  <w:style w:type="paragraph" w:styleId="List5">
    <w:name w:val="List 5"/>
    <w:basedOn w:val="BodyText"/>
    <w:rsid w:val="00F40EDF"/>
    <w:pPr>
      <w:tabs>
        <w:tab w:val="left" w:pos="1701"/>
      </w:tabs>
      <w:spacing w:before="60" w:after="60"/>
      <w:ind w:left="1701" w:hanging="340"/>
    </w:pPr>
  </w:style>
  <w:style w:type="paragraph" w:styleId="ListBullet3">
    <w:name w:val="List Bullet 3"/>
    <w:basedOn w:val="List3"/>
    <w:rsid w:val="00F40EDF"/>
    <w:pPr>
      <w:numPr>
        <w:numId w:val="14"/>
      </w:numPr>
      <w:tabs>
        <w:tab w:val="clear" w:pos="1021"/>
      </w:tabs>
      <w:ind w:left="1037" w:hanging="357"/>
    </w:pPr>
  </w:style>
  <w:style w:type="paragraph" w:styleId="ListBullet4">
    <w:name w:val="List Bullet 4"/>
    <w:basedOn w:val="List4"/>
    <w:rsid w:val="00F40EDF"/>
    <w:pPr>
      <w:numPr>
        <w:numId w:val="2"/>
      </w:numPr>
    </w:pPr>
  </w:style>
  <w:style w:type="paragraph" w:styleId="ListBullet5">
    <w:name w:val="List Bullet 5"/>
    <w:basedOn w:val="List5"/>
    <w:rsid w:val="00F40EDF"/>
    <w:pPr>
      <w:numPr>
        <w:numId w:val="3"/>
      </w:numPr>
    </w:pPr>
  </w:style>
  <w:style w:type="paragraph" w:styleId="ListContinue2">
    <w:name w:val="List Continue 2"/>
    <w:basedOn w:val="List2"/>
    <w:rsid w:val="00F40EDF"/>
    <w:pPr>
      <w:ind w:firstLine="0"/>
    </w:pPr>
  </w:style>
  <w:style w:type="paragraph" w:styleId="ListContinue3">
    <w:name w:val="List Continue 3"/>
    <w:basedOn w:val="List3"/>
    <w:rsid w:val="00F40EDF"/>
    <w:pPr>
      <w:ind w:left="1021" w:firstLine="0"/>
    </w:pPr>
  </w:style>
  <w:style w:type="paragraph" w:styleId="ListContinue4">
    <w:name w:val="List Continue 4"/>
    <w:basedOn w:val="List4"/>
    <w:rsid w:val="00F40EDF"/>
    <w:pPr>
      <w:ind w:firstLine="0"/>
    </w:pPr>
  </w:style>
  <w:style w:type="paragraph" w:styleId="ListContinue5">
    <w:name w:val="List Continue 5"/>
    <w:basedOn w:val="List5"/>
    <w:rsid w:val="00F40EDF"/>
    <w:pPr>
      <w:ind w:firstLine="0"/>
    </w:pPr>
  </w:style>
  <w:style w:type="paragraph" w:styleId="ListNumber3">
    <w:name w:val="List Number 3"/>
    <w:basedOn w:val="List3"/>
    <w:rsid w:val="00F40EDF"/>
    <w:pPr>
      <w:numPr>
        <w:numId w:val="4"/>
      </w:numPr>
    </w:pPr>
  </w:style>
  <w:style w:type="paragraph" w:styleId="ListNumber4">
    <w:name w:val="List Number 4"/>
    <w:basedOn w:val="List4"/>
    <w:rsid w:val="00F40EDF"/>
    <w:pPr>
      <w:numPr>
        <w:numId w:val="5"/>
      </w:numPr>
    </w:pPr>
  </w:style>
  <w:style w:type="paragraph" w:styleId="ListNumber5">
    <w:name w:val="List Number 5"/>
    <w:basedOn w:val="List5"/>
    <w:rsid w:val="00F40EDF"/>
    <w:pPr>
      <w:numPr>
        <w:numId w:val="6"/>
      </w:numPr>
    </w:pPr>
  </w:style>
  <w:style w:type="paragraph" w:styleId="BlockText">
    <w:name w:val="Block Text"/>
    <w:basedOn w:val="Normal"/>
    <w:rsid w:val="00F40EDF"/>
    <w:pPr>
      <w:spacing w:after="120"/>
      <w:ind w:left="1440" w:right="1440"/>
    </w:pPr>
  </w:style>
  <w:style w:type="character" w:customStyle="1" w:styleId="Subscript">
    <w:name w:val="Subscript"/>
    <w:basedOn w:val="DefaultParagraphFont"/>
    <w:rsid w:val="00F40EDF"/>
    <w:rPr>
      <w:sz w:val="16"/>
      <w:vertAlign w:val="subscript"/>
    </w:rPr>
  </w:style>
  <w:style w:type="character" w:customStyle="1" w:styleId="Superscript">
    <w:name w:val="Superscript"/>
    <w:basedOn w:val="DefaultParagraphFont"/>
    <w:rsid w:val="00F40EDF"/>
    <w:rPr>
      <w:sz w:val="16"/>
      <w:vertAlign w:val="superscript"/>
    </w:rPr>
  </w:style>
  <w:style w:type="character" w:customStyle="1" w:styleId="Symbols">
    <w:name w:val="Symbols"/>
    <w:basedOn w:val="DefaultParagraphFont"/>
    <w:rsid w:val="00F40EDF"/>
    <w:rPr>
      <w:rFonts w:ascii="Symbol" w:hAnsi="Symbol"/>
    </w:rPr>
  </w:style>
  <w:style w:type="character" w:customStyle="1" w:styleId="MenuOptions">
    <w:name w:val="Menu Options"/>
    <w:basedOn w:val="DefaultParagraphFont"/>
    <w:rsid w:val="00F40EDF"/>
    <w:rPr>
      <w:rFonts w:ascii="Arial Narrow" w:hAnsi="Arial Narrow"/>
      <w:smallCaps/>
    </w:rPr>
  </w:style>
  <w:style w:type="character" w:customStyle="1" w:styleId="Buttons">
    <w:name w:val="Buttons"/>
    <w:basedOn w:val="DefaultParagraphFont"/>
    <w:rsid w:val="00F40EDF"/>
    <w:rPr>
      <w:b/>
    </w:rPr>
  </w:style>
  <w:style w:type="character" w:customStyle="1" w:styleId="Underlined">
    <w:name w:val="Underlined"/>
    <w:basedOn w:val="DefaultParagraphFont"/>
    <w:rsid w:val="00F40EDF"/>
    <w:rPr>
      <w:u w:val="single"/>
    </w:rPr>
  </w:style>
  <w:style w:type="paragraph" w:customStyle="1" w:styleId="TableBodyTextRight">
    <w:name w:val="Table Body Text Right"/>
    <w:basedOn w:val="TableBodyText"/>
    <w:rsid w:val="00F40EDF"/>
    <w:pPr>
      <w:widowControl w:val="0"/>
      <w:autoSpaceDE w:val="0"/>
      <w:autoSpaceDN w:val="0"/>
      <w:adjustRightInd w:val="0"/>
      <w:jc w:val="right"/>
    </w:pPr>
    <w:rPr>
      <w:rFonts w:cs="Arial"/>
      <w:szCs w:val="18"/>
    </w:rPr>
  </w:style>
  <w:style w:type="paragraph" w:customStyle="1" w:styleId="CopyrightText">
    <w:name w:val="Copyright Text"/>
    <w:basedOn w:val="BodyText"/>
    <w:rsid w:val="00F40EDF"/>
    <w:rPr>
      <w:sz w:val="18"/>
    </w:rPr>
  </w:style>
  <w:style w:type="paragraph" w:customStyle="1" w:styleId="BodySmallRight">
    <w:name w:val="Body Small Right"/>
    <w:basedOn w:val="BodyTextRight"/>
    <w:rsid w:val="00F40EDF"/>
    <w:rPr>
      <w:sz w:val="18"/>
      <w:szCs w:val="18"/>
    </w:rPr>
  </w:style>
  <w:style w:type="paragraph" w:customStyle="1" w:styleId="MarginEdition">
    <w:name w:val="Margin Edition"/>
    <w:basedOn w:val="MarginNote"/>
    <w:rsid w:val="00F40EDF"/>
    <w:pPr>
      <w:spacing w:before="0" w:after="0"/>
    </w:pPr>
    <w:rPr>
      <w:rFonts w:ascii="Times New Roman" w:hAnsi="Times New Roman"/>
      <w:color w:val="999999"/>
    </w:rPr>
  </w:style>
  <w:style w:type="paragraph" w:customStyle="1" w:styleId="Spacer">
    <w:name w:val="Spacer"/>
    <w:basedOn w:val="Normal"/>
    <w:rsid w:val="00F40EDF"/>
    <w:rPr>
      <w:sz w:val="2"/>
      <w:szCs w:val="2"/>
    </w:rPr>
  </w:style>
  <w:style w:type="character" w:customStyle="1" w:styleId="Small">
    <w:name w:val="Small"/>
    <w:basedOn w:val="DefaultParagraphFont"/>
    <w:rsid w:val="00F40EDF"/>
    <w:rPr>
      <w:sz w:val="16"/>
    </w:rPr>
  </w:style>
  <w:style w:type="paragraph" w:customStyle="1" w:styleId="WideTable">
    <w:name w:val="Wide Table"/>
    <w:basedOn w:val="Normal"/>
    <w:rsid w:val="00F40EDF"/>
    <w:pPr>
      <w:ind w:left="-1418"/>
    </w:pPr>
    <w:rPr>
      <w:sz w:val="2"/>
      <w:szCs w:val="2"/>
    </w:rPr>
  </w:style>
  <w:style w:type="character" w:styleId="PageNumber">
    <w:name w:val="page number"/>
    <w:basedOn w:val="DefaultParagraphFont"/>
    <w:rsid w:val="00F40EDF"/>
  </w:style>
  <w:style w:type="paragraph" w:styleId="Quote">
    <w:name w:val="Quote"/>
    <w:basedOn w:val="Heading1"/>
    <w:link w:val="QuoteChar"/>
    <w:qFormat/>
    <w:rsid w:val="00F40EDF"/>
    <w:rPr>
      <w:b w:val="0"/>
      <w:sz w:val="72"/>
      <w:szCs w:val="72"/>
      <w:lang w:val="en-NZ"/>
    </w:rPr>
  </w:style>
  <w:style w:type="character" w:customStyle="1" w:styleId="QuoteChar">
    <w:name w:val="Quote Char"/>
    <w:basedOn w:val="DefaultParagraphFont"/>
    <w:link w:val="Quote"/>
    <w:rsid w:val="00F40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0EDF"/>
    <w:pPr>
      <w:pageBreakBefore/>
    </w:pPr>
  </w:style>
  <w:style w:type="paragraph" w:customStyle="1" w:styleId="Border">
    <w:name w:val="Border"/>
    <w:basedOn w:val="Normal"/>
    <w:qFormat/>
    <w:rsid w:val="00F40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0EDF"/>
    <w:rPr>
      <w:b/>
      <w:bCs/>
      <w:i/>
      <w:iCs/>
      <w:color w:val="auto"/>
    </w:rPr>
  </w:style>
  <w:style w:type="paragraph" w:styleId="IntenseQuote">
    <w:name w:val="Intense Quote"/>
    <w:basedOn w:val="Normal"/>
    <w:next w:val="Normal"/>
    <w:link w:val="IntenseQuoteChar"/>
    <w:uiPriority w:val="30"/>
    <w:qFormat/>
    <w:rsid w:val="00F40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0E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0EDF"/>
    <w:rPr>
      <w:smallCaps/>
      <w:color w:val="auto"/>
      <w:u w:val="single"/>
    </w:rPr>
  </w:style>
  <w:style w:type="character" w:styleId="IntenseReference">
    <w:name w:val="Intense Reference"/>
    <w:basedOn w:val="DefaultParagraphFont"/>
    <w:uiPriority w:val="32"/>
    <w:qFormat/>
    <w:rsid w:val="00F40EDF"/>
    <w:rPr>
      <w:b/>
      <w:bCs/>
      <w:smallCaps/>
      <w:color w:val="auto"/>
      <w:spacing w:val="5"/>
      <w:u w:val="single"/>
    </w:rPr>
  </w:style>
  <w:style w:type="paragraph" w:customStyle="1" w:styleId="2ColumnHeading">
    <w:name w:val="2Column Heading"/>
    <w:basedOn w:val="BodyText"/>
    <w:qFormat/>
    <w:rsid w:val="00F40EDF"/>
    <w:pPr>
      <w:spacing w:after="60"/>
      <w:ind w:left="-2268"/>
    </w:pPr>
    <w:rPr>
      <w:b/>
    </w:rPr>
  </w:style>
  <w:style w:type="paragraph" w:customStyle="1" w:styleId="Heading1TOC">
    <w:name w:val="Heading1 TOC"/>
    <w:basedOn w:val="Normal"/>
    <w:qFormat/>
    <w:rsid w:val="00F40EDF"/>
    <w:pPr>
      <w:spacing w:before="240" w:after="120"/>
    </w:pPr>
    <w:rPr>
      <w:rFonts w:ascii="Times New Roman" w:hAnsi="Times New Roman"/>
      <w:b/>
      <w:sz w:val="32"/>
    </w:rPr>
  </w:style>
  <w:style w:type="paragraph" w:customStyle="1" w:styleId="Heading2TOC">
    <w:name w:val="Heading2 TOC"/>
    <w:basedOn w:val="Normal"/>
    <w:qFormat/>
    <w:rsid w:val="00F40EDF"/>
    <w:pPr>
      <w:spacing w:before="240" w:after="60"/>
    </w:pPr>
    <w:rPr>
      <w:rFonts w:ascii="Times New Roman" w:hAnsi="Times New Roman"/>
      <w:b/>
      <w:sz w:val="28"/>
    </w:rPr>
  </w:style>
  <w:style w:type="character" w:customStyle="1" w:styleId="Underline">
    <w:name w:val="Underline"/>
    <w:basedOn w:val="DefaultParagraphFont"/>
    <w:qFormat/>
    <w:rsid w:val="00F40EDF"/>
    <w:rPr>
      <w:u w:val="single"/>
    </w:rPr>
  </w:style>
  <w:style w:type="character" w:customStyle="1" w:styleId="BoldandItalics">
    <w:name w:val="Bold and Italics"/>
    <w:qFormat/>
    <w:rsid w:val="00F40EDF"/>
    <w:rPr>
      <w:b/>
      <w:i/>
      <w:u w:val="none"/>
    </w:rPr>
  </w:style>
  <w:style w:type="paragraph" w:styleId="BalloonText">
    <w:name w:val="Balloon Text"/>
    <w:basedOn w:val="Normal"/>
    <w:link w:val="BalloonTextChar"/>
    <w:rsid w:val="00F40EDF"/>
    <w:rPr>
      <w:rFonts w:ascii="Tahoma" w:hAnsi="Tahoma" w:cs="Tahoma"/>
      <w:sz w:val="16"/>
      <w:szCs w:val="16"/>
    </w:rPr>
  </w:style>
  <w:style w:type="character" w:customStyle="1" w:styleId="BalloonTextChar">
    <w:name w:val="Balloon Text Char"/>
    <w:basedOn w:val="DefaultParagraphFont"/>
    <w:link w:val="BalloonText"/>
    <w:rsid w:val="00F40E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0E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0E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1165</Words>
  <Characters>7494</Characters>
  <Application>Microsoft Office Word</Application>
  <DocSecurity>0</DocSecurity>
  <Lines>293</Lines>
  <Paragraphs>164</Paragraphs>
  <ScaleCrop>false</ScaleCrop>
  <Company>Author-it Software Corporation Ltd.</Company>
  <LinksUpToDate>false</LinksUpToDate>
  <CharactersWithSpaces>8575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MEM21006A Service quartz watches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