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293" w:rsidP="00307293">
      <w:pPr>
        <w:pStyle w:val="Title"/>
      </w:pPr>
      <w:r>
        <w:fldChar w:fldCharType="begin"/>
      </w:r>
      <w:r>
        <w:instrText xml:space="preserve"> TITLE   \* MERGEFORMAT </w:instrText>
      </w:r>
      <w:r>
        <w:fldChar w:fldCharType="separate"/>
      </w:r>
      <w:r>
        <w:t>MEM21001A Replace watch batteries, capacitors and bands</w:t>
      </w:r>
      <w:r>
        <w:fldChar w:fldCharType="end"/>
      </w:r>
    </w:p>
    <w:p w:rsidR="00307293" w:rsidP="00307293">
      <w:pPr>
        <w:pStyle w:val="Version"/>
        <w:sectPr w:rsidSect="00032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236E" w:rsidP="0003236E">
      <w:pPr>
        <w:pStyle w:val="SuperHeading"/>
      </w:pPr>
      <w:r w:rsidRPr="0003236E">
        <w:t>MEM21001A Replace watch batteries, capacitors and bands</w:t>
      </w:r>
    </w:p>
    <w:p w:rsidR="00000000" w:rsidRPr="0003236E" w:rsidP="0003236E">
      <w:pPr>
        <w:pStyle w:val="Heading1"/>
      </w:pPr>
      <w:bookmarkStart w:id="1" w:name="O_272343"/>
      <w:bookmarkEnd w:id="1"/>
      <w:r w:rsidRPr="0003236E">
        <w:t>Modification History</w:t>
      </w:r>
    </w:p>
    <w:p w:rsidR="00000000" w:rsidRPr="0003236E" w:rsidP="0003236E">
      <w:pPr>
        <w:pStyle w:val="BodyText"/>
      </w:pPr>
      <w:r w:rsidRPr="0003236E">
        <w:t>Not Applicable</w:t>
      </w:r>
    </w:p>
    <w:p w:rsidR="00000000" w:rsidRPr="0003236E" w:rsidP="0003236E">
      <w:pPr>
        <w:pStyle w:val="AllowPageBreak"/>
      </w:pPr>
    </w:p>
    <w:p w:rsidR="00000000" w:rsidRPr="0003236E" w:rsidP="0003236E">
      <w:pPr>
        <w:pStyle w:val="Heading1"/>
      </w:pPr>
      <w:bookmarkStart w:id="2" w:name="O_212839"/>
      <w:bookmarkEnd w:id="2"/>
      <w:r w:rsidRPr="0003236E">
        <w:t>Unit Descriptor</w:t>
      </w:r>
    </w:p>
    <w:tbl>
      <w:tblPr>
        <w:tblW w:w="0" w:type="auto"/>
        <w:tblLayout w:type="fixed"/>
        <w:tblCellMar>
          <w:left w:w="62" w:type="dxa"/>
          <w:right w:w="62" w:type="dxa"/>
        </w:tblCellMar>
        <w:tblLook w:val="0000"/>
      </w:tblPr>
      <w:tblGrid>
        <w:gridCol w:w="2667"/>
        <w:gridCol w:w="5855"/>
      </w:tblGrid>
      <w:tr w:rsidTr="0030729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This unit of competetency covers identifying with customers the battery or capacitor replacemen</w:t>
            </w:r>
            <w:r w:rsidRPr="0003236E">
              <w:t>t need and/or the repair or replacement of bands. This unit also includes conducting any required water-resistance testing.</w:t>
            </w:r>
          </w:p>
        </w:tc>
      </w:tr>
    </w:tbl>
    <w:p w:rsidR="00307293" w:rsidP="0003236E">
      <w:pPr>
        <w:pStyle w:val="BodyText"/>
      </w:pPr>
    </w:p>
    <w:p w:rsidR="00307293" w:rsidP="0003236E">
      <w:pPr>
        <w:pStyle w:val="BodyText"/>
      </w:pPr>
    </w:p>
    <w:p w:rsidR="00000000" w:rsidRPr="0003236E" w:rsidP="0003236E">
      <w:pPr>
        <w:pStyle w:val="Heading1"/>
      </w:pPr>
      <w:bookmarkStart w:id="3" w:name="O_212843"/>
      <w:bookmarkEnd w:id="3"/>
      <w:r w:rsidRPr="0003236E">
        <w:t>Application of the Unit</w:t>
      </w:r>
    </w:p>
    <w:tbl>
      <w:tblPr>
        <w:tblW w:w="0" w:type="auto"/>
        <w:tblLayout w:type="fixed"/>
        <w:tblCellMar>
          <w:left w:w="62" w:type="dxa"/>
          <w:right w:w="62" w:type="dxa"/>
        </w:tblCellMar>
        <w:tblLook w:val="0000"/>
      </w:tblPr>
      <w:tblGrid>
        <w:gridCol w:w="2747"/>
        <w:gridCol w:w="5775"/>
      </w:tblGrid>
      <w:tr w:rsidTr="0030729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This unit of competency applies to the selection and replacement of electronic watch power sources and bands whilst operating in a watch service and repair workshop or jewellery store offering watch service and repair with access to the appropriate equipme</w:t>
            </w:r>
            <w:r w:rsidRPr="0003236E">
              <w:t>nt. Applications may also be found in kiosks offering jewellery, key cutting, watch service and repair services.</w:t>
            </w:r>
          </w:p>
          <w:p w:rsidR="00000000" w:rsidRPr="0003236E" w:rsidP="0003236E">
            <w:pPr>
              <w:pStyle w:val="BodyText"/>
            </w:pPr>
            <w:r w:rsidRPr="0003236E">
              <w:t>Some knowledge of watch glasses, gasket and other component removal procedures is required. However, this unit does not cover specific replacem</w:t>
            </w:r>
            <w:r w:rsidRPr="0003236E">
              <w:t xml:space="preserve">ent procedures. </w:t>
            </w:r>
          </w:p>
          <w:p w:rsidR="00000000" w:rsidRPr="0003236E" w:rsidP="0003236E">
            <w:pPr>
              <w:pStyle w:val="BodyText"/>
            </w:pPr>
            <w:r w:rsidRPr="0003236E">
              <w:t>Testing functions relate only to the measurement of voltage, consumption and resistance, and checking for case integrity. For example, when power cells are replaced, it is necessary to establish circuit performance by electrical testing an</w:t>
            </w:r>
            <w:r w:rsidRPr="0003236E">
              <w:t>d case integrity by water-resistance testing.</w:t>
            </w:r>
          </w:p>
          <w:p w:rsidR="00000000" w:rsidRPr="0003236E" w:rsidP="0003236E">
            <w:pPr>
              <w:pStyle w:val="BodyText"/>
            </w:pPr>
            <w:r w:rsidRPr="0003236E">
              <w:t xml:space="preserve">To perform additional servicing of watch cases </w:t>
            </w:r>
            <w:r w:rsidRPr="0003236E">
              <w:rPr>
                <w:rStyle w:val="Emphasis"/>
              </w:rPr>
              <w:t>MEM21003A Perform watch case servicing</w:t>
            </w:r>
            <w:r w:rsidRPr="0003236E">
              <w:t xml:space="preserve">, </w:t>
            </w:r>
            <w:r w:rsidRPr="0003236E">
              <w:rPr>
                <w:rStyle w:val="Emphasis"/>
              </w:rPr>
              <w:t>repair and refurbishment</w:t>
            </w:r>
            <w:r w:rsidRPr="0003236E">
              <w:t xml:space="preserve"> should be selected. </w:t>
            </w:r>
          </w:p>
          <w:p w:rsidR="00000000" w:rsidRPr="0003236E" w:rsidP="0003236E">
            <w:pPr>
              <w:pStyle w:val="BodyText"/>
            </w:pPr>
          </w:p>
          <w:p w:rsidR="00000000" w:rsidRPr="0003236E" w:rsidP="0003236E">
            <w:pPr>
              <w:pStyle w:val="BodyText"/>
            </w:pPr>
            <w:r w:rsidRPr="0003236E">
              <w:t>Band:  A</w:t>
            </w:r>
          </w:p>
          <w:p w:rsidR="00000000" w:rsidRPr="0003236E" w:rsidP="0003236E">
            <w:pPr>
              <w:pStyle w:val="BodyText"/>
            </w:pPr>
            <w:r w:rsidRPr="0003236E">
              <w:t>Unit weight:  2 points</w:t>
            </w:r>
          </w:p>
        </w:tc>
      </w:tr>
    </w:tbl>
    <w:p w:rsidR="00307293" w:rsidP="0003236E">
      <w:pPr>
        <w:pStyle w:val="BodyText"/>
      </w:pPr>
    </w:p>
    <w:p w:rsidR="00307293" w:rsidP="0003236E">
      <w:pPr>
        <w:pStyle w:val="BodyText"/>
      </w:pPr>
    </w:p>
    <w:p w:rsidR="00000000" w:rsidRPr="0003236E" w:rsidP="0003236E">
      <w:pPr>
        <w:pStyle w:val="Heading1"/>
      </w:pPr>
      <w:bookmarkStart w:id="4" w:name="O_280603"/>
      <w:bookmarkEnd w:id="4"/>
      <w:r w:rsidRPr="0003236E">
        <w:t>Licensing/Regulatory Information</w:t>
      </w:r>
    </w:p>
    <w:p w:rsidR="00000000" w:rsidRPr="0003236E" w:rsidP="0003236E">
      <w:pPr>
        <w:pStyle w:val="BodyText"/>
      </w:pPr>
      <w:r w:rsidRPr="0003236E">
        <w:t>Not Applicable</w:t>
      </w:r>
    </w:p>
    <w:p w:rsidR="00000000" w:rsidRPr="0003236E" w:rsidP="0003236E">
      <w:pPr>
        <w:pStyle w:val="AllowPageBreak"/>
      </w:pPr>
    </w:p>
    <w:p w:rsidR="00000000" w:rsidRPr="0003236E" w:rsidP="0003236E">
      <w:pPr>
        <w:pStyle w:val="Heading1"/>
      </w:pPr>
      <w:bookmarkStart w:id="5" w:name="O_212841"/>
      <w:bookmarkEnd w:id="5"/>
      <w:r w:rsidRPr="0003236E">
        <w:t>Pre-Requisites</w:t>
      </w:r>
    </w:p>
    <w:tbl>
      <w:tblPr>
        <w:tblW w:w="0" w:type="auto"/>
        <w:tblLayout w:type="fixed"/>
        <w:tblCellMar>
          <w:left w:w="62" w:type="dxa"/>
          <w:right w:w="62" w:type="dxa"/>
        </w:tblCellMar>
        <w:tblLook w:val="0000"/>
      </w:tblPr>
      <w:tblGrid>
        <w:gridCol w:w="2775"/>
        <w:gridCol w:w="1295"/>
        <w:gridCol w:w="4452"/>
      </w:tblGrid>
      <w:tr w:rsidTr="003072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p>
        </w:tc>
      </w:tr>
      <w:tr w:rsidTr="003072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p>
        </w:tc>
      </w:tr>
      <w:tr w:rsidTr="003072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p>
        </w:tc>
      </w:tr>
    </w:tbl>
    <w:p w:rsidR="00307293" w:rsidP="0003236E">
      <w:pPr>
        <w:pStyle w:val="BodyText"/>
      </w:pPr>
    </w:p>
    <w:p w:rsidR="00307293" w:rsidP="0003236E">
      <w:pPr>
        <w:pStyle w:val="BodyText"/>
      </w:pPr>
    </w:p>
    <w:p w:rsidR="00000000" w:rsidRPr="0003236E" w:rsidP="0003236E">
      <w:pPr>
        <w:pStyle w:val="Heading1"/>
      </w:pPr>
      <w:bookmarkStart w:id="6" w:name="O_212840"/>
      <w:bookmarkEnd w:id="6"/>
      <w:r w:rsidRPr="0003236E">
        <w:t>Employability Skills Information</w:t>
      </w:r>
    </w:p>
    <w:tbl>
      <w:tblPr>
        <w:tblW w:w="0" w:type="auto"/>
        <w:tblLayout w:type="fixed"/>
        <w:tblCellMar>
          <w:left w:w="62" w:type="dxa"/>
          <w:right w:w="62" w:type="dxa"/>
        </w:tblCellMar>
        <w:tblLook w:val="0000"/>
      </w:tblPr>
      <w:tblGrid>
        <w:gridCol w:w="2802"/>
        <w:gridCol w:w="5720"/>
      </w:tblGrid>
      <w:tr w:rsidTr="003072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This unit contains employability skills.</w:t>
            </w:r>
          </w:p>
        </w:tc>
      </w:tr>
    </w:tbl>
    <w:p w:rsidR="00307293" w:rsidP="0003236E">
      <w:pPr>
        <w:pStyle w:val="BodyText"/>
      </w:pPr>
    </w:p>
    <w:p w:rsidR="00307293" w:rsidP="0003236E">
      <w:pPr>
        <w:pStyle w:val="BodyText"/>
      </w:pPr>
    </w:p>
    <w:p w:rsidR="00000000" w:rsidRPr="0003236E" w:rsidP="0003236E">
      <w:pPr>
        <w:pStyle w:val="Heading1"/>
      </w:pPr>
      <w:bookmarkStart w:id="7" w:name="O_290389"/>
      <w:bookmarkEnd w:id="7"/>
      <w:r w:rsidRPr="0003236E">
        <w:t xml:space="preserve">Elements </w:t>
      </w:r>
      <w:r w:rsidRPr="0003236E">
        <w:t>and Performance Criteria Pre-Content</w:t>
      </w:r>
    </w:p>
    <w:tbl>
      <w:tblPr>
        <w:tblW w:w="0" w:type="auto"/>
        <w:tblLayout w:type="fixed"/>
        <w:tblCellMar>
          <w:left w:w="62" w:type="dxa"/>
          <w:right w:w="62" w:type="dxa"/>
        </w:tblCellMar>
        <w:tblLook w:val="0000"/>
      </w:tblPr>
      <w:tblGrid>
        <w:gridCol w:w="2567"/>
        <w:gridCol w:w="5955"/>
      </w:tblGrid>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 xml:space="preserve">Performance criteria describe the performance needed to demonstrate achievement of the element. Where bold italicised text is used, further </w:t>
            </w:r>
            <w:r w:rsidRPr="0003236E">
              <w:t>information is detailed in the required skills and knowledge section and the range statement. Assessment of performance is to be consistent with the evidence guide.</w:t>
            </w:r>
          </w:p>
        </w:tc>
      </w:tr>
    </w:tbl>
    <w:p w:rsidR="00000000" w:rsidRPr="0003236E" w:rsidP="0003236E">
      <w:pPr>
        <w:pStyle w:val="BodyText"/>
      </w:pPr>
    </w:p>
    <w:p w:rsidR="00000000" w:rsidRPr="0003236E" w:rsidP="0003236E">
      <w:pPr>
        <w:pStyle w:val="AllowPageBreak"/>
      </w:pPr>
    </w:p>
    <w:p w:rsidR="00000000" w:rsidRPr="0003236E" w:rsidP="0003236E">
      <w:pPr>
        <w:pStyle w:val="Heading1"/>
      </w:pPr>
      <w:bookmarkStart w:id="8" w:name="O_237056"/>
      <w:bookmarkEnd w:id="8"/>
      <w:r w:rsidRPr="0003236E">
        <w:t>Elements and Performance Criteria</w:t>
      </w:r>
    </w:p>
    <w:tbl>
      <w:tblPr>
        <w:tblW w:w="0" w:type="auto"/>
        <w:tblLayout w:type="fixed"/>
        <w:tblCellMar>
          <w:left w:w="62" w:type="dxa"/>
          <w:right w:w="62" w:type="dxa"/>
        </w:tblCellMar>
        <w:tblLook w:val="0000"/>
      </w:tblPr>
      <w:tblGrid>
        <w:gridCol w:w="2567"/>
        <w:gridCol w:w="5955"/>
      </w:tblGrid>
      <w:tr w:rsidTr="0030729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PERFORMANCE CRITERIA</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1.</w:t>
            </w:r>
            <w:r w:rsidRPr="0003236E">
              <w:tab/>
              <w:t>Estab</w:t>
            </w:r>
            <w:r w:rsidRPr="0003236E">
              <w:t>lish servicing requirements and liaise with customer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1.1.</w:t>
            </w:r>
            <w:r w:rsidRPr="0003236E">
              <w:tab/>
              <w:t>Inspect watch condition and type and discuss performance concerns with customer</w:t>
            </w:r>
          </w:p>
          <w:p w:rsidR="00000000" w:rsidRPr="0003236E" w:rsidP="0003236E">
            <w:pPr>
              <w:pStyle w:val="List2"/>
            </w:pPr>
            <w:r w:rsidRPr="0003236E">
              <w:t>1.2.</w:t>
            </w:r>
            <w:r w:rsidRPr="0003236E">
              <w:tab/>
              <w:t xml:space="preserve">Verify and agree on servicing requirements with customer </w:t>
            </w:r>
          </w:p>
          <w:p w:rsidR="00000000" w:rsidRPr="0003236E" w:rsidP="0003236E">
            <w:pPr>
              <w:pStyle w:val="List2"/>
            </w:pPr>
            <w:r w:rsidRPr="0003236E">
              <w:t>1.3.</w:t>
            </w:r>
            <w:r w:rsidRPr="0003236E">
              <w:tab/>
            </w:r>
            <w:r w:rsidRPr="0003236E">
              <w:t>Carry out pre-repair tests to verify water-resistance</w:t>
            </w:r>
          </w:p>
          <w:p w:rsidR="00000000" w:rsidRPr="0003236E" w:rsidP="0003236E">
            <w:pPr>
              <w:pStyle w:val="List2"/>
            </w:pPr>
            <w:r w:rsidRPr="0003236E">
              <w:t>1.4.</w:t>
            </w:r>
            <w:r w:rsidRPr="0003236E">
              <w:tab/>
              <w:t>Prepare watch for handover</w:t>
            </w:r>
          </w:p>
          <w:p w:rsidR="00000000" w:rsidP="0003236E">
            <w:pPr>
              <w:pStyle w:val="List2"/>
              <w:rPr>
                <w:lang w:val="en-NZ"/>
              </w:rPr>
            </w:pPr>
            <w:r w:rsidRPr="0003236E">
              <w:t>1.5.</w:t>
            </w:r>
            <w:r w:rsidRPr="0003236E">
              <w:tab/>
              <w:t>Record and document repair process</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2.</w:t>
            </w:r>
            <w:r w:rsidRPr="0003236E">
              <w:tab/>
              <w:t xml:space="preserve">Open and close watch cases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2.1.</w:t>
            </w:r>
            <w:r w:rsidRPr="0003236E">
              <w:tab/>
              <w:t>Select and use workshop tools and equipment appropriately</w:t>
            </w:r>
          </w:p>
          <w:p w:rsidR="00000000" w:rsidRPr="0003236E" w:rsidP="0003236E">
            <w:pPr>
              <w:pStyle w:val="List2"/>
            </w:pPr>
            <w:r w:rsidRPr="0003236E">
              <w:t>2.2.</w:t>
            </w:r>
            <w:r w:rsidRPr="0003236E">
              <w:tab/>
              <w:t>Identify watch and band constr</w:t>
            </w:r>
            <w:r w:rsidRPr="0003236E">
              <w:t>uction and components</w:t>
            </w:r>
          </w:p>
          <w:p w:rsidR="00000000" w:rsidRPr="0003236E" w:rsidP="0003236E">
            <w:pPr>
              <w:pStyle w:val="List2"/>
            </w:pPr>
            <w:r w:rsidRPr="0003236E">
              <w:t>2.3.</w:t>
            </w:r>
            <w:r w:rsidRPr="0003236E">
              <w:tab/>
              <w:t>Open and close watch cases correctly</w:t>
            </w:r>
          </w:p>
          <w:p w:rsidR="00000000" w:rsidRPr="0003236E" w:rsidP="0003236E">
            <w:pPr>
              <w:pStyle w:val="List2"/>
            </w:pPr>
            <w:r w:rsidRPr="0003236E">
              <w:t>2.4.</w:t>
            </w:r>
            <w:r w:rsidRPr="0003236E">
              <w:tab/>
              <w:t xml:space="preserve">Inspect parts and report and record results </w:t>
            </w:r>
          </w:p>
          <w:p w:rsidR="00000000" w:rsidRPr="0003236E" w:rsidP="0003236E">
            <w:pPr>
              <w:pStyle w:val="List2"/>
            </w:pPr>
            <w:r w:rsidRPr="0003236E">
              <w:t>2.5.</w:t>
            </w:r>
            <w:r w:rsidRPr="0003236E">
              <w:tab/>
              <w:t>Verify gasket condition and replace, as required</w:t>
            </w:r>
          </w:p>
          <w:p w:rsidR="00000000" w:rsidP="0003236E">
            <w:pPr>
              <w:pStyle w:val="List2"/>
              <w:rPr>
                <w:lang w:val="en-NZ"/>
              </w:rPr>
            </w:pPr>
            <w:r w:rsidRPr="0003236E">
              <w:t>2.6.</w:t>
            </w:r>
            <w:r w:rsidRPr="0003236E">
              <w:tab/>
              <w:t>Clean cases and bands, as required, during and after repair</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3.</w:t>
            </w:r>
            <w:r w:rsidRPr="0003236E">
              <w:tab/>
              <w:t xml:space="preserve">Select and replace </w:t>
            </w:r>
            <w:r w:rsidRPr="0003236E">
              <w:t>power sources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3.1.</w:t>
            </w:r>
            <w:r w:rsidRPr="0003236E">
              <w:tab/>
              <w:t>Remove power sources using appropriate tools and equipment</w:t>
            </w:r>
          </w:p>
          <w:p w:rsidR="00000000" w:rsidRPr="0003236E" w:rsidP="0003236E">
            <w:pPr>
              <w:pStyle w:val="List2"/>
            </w:pPr>
            <w:r w:rsidRPr="0003236E">
              <w:t>3.2.</w:t>
            </w:r>
            <w:r w:rsidRPr="0003236E">
              <w:tab/>
              <w:t>Inspect watch for battery leakage damage and clean or refer for further service, as appropriate</w:t>
            </w:r>
          </w:p>
          <w:p w:rsidR="00000000" w:rsidRPr="0003236E" w:rsidP="0003236E">
            <w:pPr>
              <w:pStyle w:val="List2"/>
            </w:pPr>
            <w:r w:rsidRPr="0003236E">
              <w:t>3.3.</w:t>
            </w:r>
            <w:r w:rsidRPr="0003236E">
              <w:tab/>
              <w:t xml:space="preserve">Assess physical condition of existing cell and its operation under load </w:t>
            </w:r>
          </w:p>
          <w:p w:rsidR="00000000" w:rsidRPr="0003236E" w:rsidP="0003236E">
            <w:pPr>
              <w:pStyle w:val="List2"/>
            </w:pPr>
            <w:r w:rsidRPr="0003236E">
              <w:t>3.4.</w:t>
            </w:r>
            <w:r w:rsidRPr="0003236E">
              <w:tab/>
              <w:t>Select, replace and secure appropriate replacement power sources</w:t>
            </w:r>
          </w:p>
          <w:p w:rsidR="00000000" w:rsidRPr="0003236E" w:rsidP="0003236E">
            <w:pPr>
              <w:pStyle w:val="List2"/>
            </w:pPr>
            <w:r w:rsidRPr="0003236E">
              <w:t>3.5.</w:t>
            </w:r>
            <w:r w:rsidRPr="0003236E">
              <w:tab/>
              <w:t xml:space="preserve">Perform integrated circuit resetting or all clear operations as required </w:t>
            </w:r>
          </w:p>
          <w:p w:rsidR="00000000" w:rsidP="0003236E">
            <w:pPr>
              <w:pStyle w:val="List2"/>
              <w:rPr>
                <w:lang w:val="en-NZ"/>
              </w:rPr>
            </w:pPr>
            <w:r w:rsidRPr="0003236E">
              <w:t>3.6.</w:t>
            </w:r>
            <w:r w:rsidRPr="0003236E">
              <w:tab/>
              <w:t xml:space="preserve">Handle, store and dispose of power sources correctly and in accordance with environmental guidelines </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4.</w:t>
            </w:r>
            <w:r w:rsidRPr="0003236E">
              <w:tab/>
              <w:t>Perform electrical testing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4.1.</w:t>
            </w:r>
            <w:r w:rsidRPr="0003236E">
              <w:tab/>
              <w:t>Set up and use multimeters correctly</w:t>
            </w:r>
          </w:p>
          <w:p w:rsidR="00000000" w:rsidRPr="0003236E" w:rsidP="0003236E">
            <w:pPr>
              <w:pStyle w:val="List2"/>
            </w:pPr>
            <w:r w:rsidRPr="0003236E">
              <w:t>4.2.</w:t>
            </w:r>
            <w:r w:rsidRPr="0003236E">
              <w:tab/>
              <w:t>Test cell terminal voltage under load using correct methods and equipment</w:t>
            </w:r>
          </w:p>
          <w:p w:rsidR="00000000" w:rsidRPr="0003236E" w:rsidP="0003236E">
            <w:pPr>
              <w:pStyle w:val="List2"/>
            </w:pPr>
            <w:r w:rsidRPr="0003236E">
              <w:t>4.3.</w:t>
            </w:r>
            <w:r w:rsidRPr="0003236E">
              <w:tab/>
              <w:t>Test watch circuitry for current consumption using correct methods and equipment</w:t>
            </w:r>
          </w:p>
          <w:p w:rsidR="00000000" w:rsidP="0003236E">
            <w:pPr>
              <w:pStyle w:val="List2"/>
              <w:rPr>
                <w:lang w:val="en-NZ"/>
              </w:rPr>
            </w:pPr>
            <w:r w:rsidRPr="0003236E">
              <w:t>4.4.</w:t>
            </w:r>
            <w:r w:rsidRPr="0003236E">
              <w:tab/>
            </w:r>
            <w:r w:rsidRPr="0003236E">
              <w:t>Confirm results against manufacturer specifications</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5.</w:t>
            </w:r>
            <w:r w:rsidRPr="0003236E">
              <w:tab/>
              <w:t>Select and replace bands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5.1.</w:t>
            </w:r>
            <w:r w:rsidRPr="0003236E">
              <w:tab/>
              <w:t>Identify band attachment and removal method</w:t>
            </w:r>
          </w:p>
          <w:p w:rsidR="00000000" w:rsidRPr="0003236E" w:rsidP="0003236E">
            <w:pPr>
              <w:pStyle w:val="List2"/>
            </w:pPr>
            <w:r w:rsidRPr="0003236E">
              <w:t>5.2.</w:t>
            </w:r>
            <w:r w:rsidRPr="0003236E">
              <w:tab/>
              <w:t>Remove and replace bands and components, as necessary, using appropriate methods, tools and equipment</w:t>
            </w:r>
          </w:p>
          <w:p w:rsidR="00000000" w:rsidP="0003236E">
            <w:pPr>
              <w:pStyle w:val="List2"/>
              <w:rPr>
                <w:lang w:val="en-NZ"/>
              </w:rPr>
            </w:pPr>
            <w:r w:rsidRPr="0003236E">
              <w:t>5.3.</w:t>
            </w:r>
            <w:r w:rsidRPr="0003236E">
              <w:tab/>
              <w:t>Determine dime</w:t>
            </w:r>
            <w:r w:rsidRPr="0003236E">
              <w:t>nsions and type of replacement bands/ components required</w:t>
            </w:r>
          </w:p>
        </w:tc>
      </w:tr>
      <w:tr w:rsidTr="0030729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List"/>
              <w:rPr>
                <w:lang w:val="en-NZ"/>
              </w:rPr>
            </w:pPr>
            <w:r w:rsidRPr="0003236E">
              <w:t>6.</w:t>
            </w:r>
            <w:r w:rsidRPr="0003236E">
              <w:tab/>
              <w:t>Conduct water-resistance testing</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2"/>
            </w:pPr>
            <w:r w:rsidRPr="0003236E">
              <w:t>6.1.</w:t>
            </w:r>
            <w:r w:rsidRPr="0003236E">
              <w:tab/>
              <w:t xml:space="preserve">Identify watches requiring water-resistance and/or pressure testing </w:t>
            </w:r>
          </w:p>
          <w:p w:rsidR="00000000" w:rsidRPr="0003236E" w:rsidP="0003236E">
            <w:pPr>
              <w:pStyle w:val="List2"/>
            </w:pPr>
            <w:r w:rsidRPr="0003236E">
              <w:t>6.2.</w:t>
            </w:r>
            <w:r w:rsidRPr="0003236E">
              <w:tab/>
              <w:t>Select appropriate water-resistance testing methods and equipment according to wat</w:t>
            </w:r>
            <w:r w:rsidRPr="0003236E">
              <w:t>ch type</w:t>
            </w:r>
          </w:p>
          <w:p w:rsidR="00000000" w:rsidRPr="0003236E" w:rsidP="0003236E">
            <w:pPr>
              <w:pStyle w:val="List2"/>
            </w:pPr>
            <w:r w:rsidRPr="0003236E">
              <w:t>6.3.</w:t>
            </w:r>
            <w:r w:rsidRPr="0003236E">
              <w:tab/>
              <w:t>Set up and use equipment to verify results</w:t>
            </w:r>
          </w:p>
        </w:tc>
      </w:tr>
    </w:tbl>
    <w:p w:rsidR="00307293" w:rsidP="0003236E">
      <w:pPr>
        <w:pStyle w:val="BodyText"/>
      </w:pPr>
    </w:p>
    <w:p w:rsidR="00307293" w:rsidP="0003236E">
      <w:pPr>
        <w:pStyle w:val="BodyText"/>
      </w:pPr>
    </w:p>
    <w:p w:rsidR="00000000" w:rsidRPr="0003236E" w:rsidP="0003236E">
      <w:pPr>
        <w:pStyle w:val="Heading1"/>
      </w:pPr>
      <w:bookmarkStart w:id="9" w:name="O_261006"/>
      <w:bookmarkEnd w:id="9"/>
      <w:r w:rsidRPr="0003236E">
        <w:t>Required Skills and Knowledge</w:t>
      </w:r>
    </w:p>
    <w:tbl>
      <w:tblPr>
        <w:tblW w:w="0" w:type="auto"/>
        <w:tblLayout w:type="fixed"/>
        <w:tblCellMar>
          <w:left w:w="62" w:type="dxa"/>
          <w:right w:w="62" w:type="dxa"/>
        </w:tblCellMar>
        <w:tblLook w:val="0000"/>
      </w:tblPr>
      <w:tblGrid>
        <w:gridCol w:w="8522"/>
      </w:tblGrid>
      <w:tr w:rsidTr="003072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REQUIRED SKILLS AND KNOWLEDGE</w:t>
            </w:r>
          </w:p>
        </w:tc>
      </w:tr>
      <w:tr w:rsidTr="003072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t>This section describes the skills and knowledge required for this unit.</w:t>
            </w:r>
          </w:p>
        </w:tc>
      </w:tr>
      <w:tr w:rsidTr="0030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Required skills</w:t>
            </w:r>
          </w:p>
        </w:tc>
      </w:tr>
      <w:tr w:rsidTr="0030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Required skills include:</w:t>
            </w:r>
          </w:p>
          <w:p w:rsidR="00000000" w:rsidRPr="0003236E" w:rsidP="0003236E">
            <w:pPr>
              <w:pStyle w:val="ListBullet"/>
            </w:pPr>
            <w:r w:rsidRPr="0003236E">
              <w:t>identifying, handling and storing power cells, batteries and capacitors</w:t>
            </w:r>
          </w:p>
          <w:p w:rsidR="00000000" w:rsidRPr="0003236E" w:rsidP="0003236E">
            <w:pPr>
              <w:pStyle w:val="ListBullet"/>
            </w:pPr>
            <w:r w:rsidRPr="0003236E">
              <w:t>handling basic watch repairers' tools (e.g. tweezers, screwdrivers and eyeglasses)</w:t>
            </w:r>
          </w:p>
          <w:p w:rsidR="00000000" w:rsidRPr="0003236E" w:rsidP="0003236E">
            <w:pPr>
              <w:pStyle w:val="ListBullet"/>
            </w:pPr>
            <w:r w:rsidRPr="0003236E">
              <w:t>confirming correct selection of replacement cells by size, capacity and fun</w:t>
            </w:r>
            <w:r w:rsidRPr="0003236E">
              <w:t>ction</w:t>
            </w:r>
          </w:p>
          <w:p w:rsidR="00000000" w:rsidRPr="0003236E" w:rsidP="0003236E">
            <w:pPr>
              <w:pStyle w:val="ListBullet"/>
            </w:pPr>
            <w:r w:rsidRPr="0003236E">
              <w:t>using measuring tools (e.g. vernier callipers and band width gauges)</w:t>
            </w:r>
          </w:p>
          <w:p w:rsidR="00000000" w:rsidRPr="0003236E" w:rsidP="0003236E">
            <w:pPr>
              <w:pStyle w:val="ListBullet"/>
            </w:pPr>
            <w:r w:rsidRPr="0003236E">
              <w:t>setting up and using multimeters and interpreting readings</w:t>
            </w:r>
          </w:p>
          <w:p w:rsidR="00000000" w:rsidRPr="0003236E" w:rsidP="0003236E">
            <w:pPr>
              <w:pStyle w:val="ListBullet"/>
            </w:pPr>
            <w:r w:rsidRPr="0003236E">
              <w:t>conducting water-resistance testing</w:t>
            </w:r>
          </w:p>
          <w:p w:rsidR="00000000" w:rsidP="0003236E">
            <w:pPr>
              <w:pStyle w:val="ListBullet"/>
              <w:rPr>
                <w:lang w:val="en-NZ"/>
              </w:rPr>
            </w:pPr>
            <w:r w:rsidRPr="0003236E">
              <w:t>communicating with customers</w:t>
            </w:r>
          </w:p>
        </w:tc>
      </w:tr>
      <w:tr w:rsidTr="0030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Required knowledge</w:t>
            </w:r>
          </w:p>
        </w:tc>
      </w:tr>
      <w:tr w:rsidTr="00307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Required knowledge includes:</w:t>
            </w:r>
          </w:p>
          <w:p w:rsidR="00000000" w:rsidRPr="0003236E" w:rsidP="0003236E">
            <w:pPr>
              <w:pStyle w:val="ListBullet"/>
            </w:pPr>
            <w:r w:rsidRPr="0003236E">
              <w:t>watch construction:</w:t>
            </w:r>
          </w:p>
          <w:p w:rsidR="00000000" w:rsidRPr="0003236E" w:rsidP="0003236E">
            <w:pPr>
              <w:pStyle w:val="ListBullet2"/>
            </w:pPr>
            <w:r w:rsidRPr="0003236E">
              <w:t>mechanical, electronic, digital, analog, duo, kinetic and auto quartz</w:t>
            </w:r>
          </w:p>
          <w:p w:rsidR="00000000" w:rsidRPr="0003236E" w:rsidP="0003236E">
            <w:pPr>
              <w:pStyle w:val="ListBullet2"/>
            </w:pPr>
            <w:r w:rsidRPr="0003236E">
              <w:t>function/features/design (e.g. basic operating principle for electronic watches)</w:t>
            </w:r>
          </w:p>
          <w:p w:rsidR="00000000" w:rsidRPr="0003236E" w:rsidP="0003236E">
            <w:pPr>
              <w:pStyle w:val="ListBullet"/>
            </w:pPr>
            <w:r w:rsidRPr="0003236E">
              <w:t>band construction, materials and components:</w:t>
            </w:r>
          </w:p>
          <w:p w:rsidR="00000000" w:rsidRPr="0003236E" w:rsidP="0003236E">
            <w:pPr>
              <w:pStyle w:val="ListBullet2"/>
            </w:pPr>
            <w:r w:rsidRPr="0003236E">
              <w:t>clasps, styles, materials and attachment methods</w:t>
            </w:r>
          </w:p>
          <w:p w:rsidR="00000000" w:rsidRPr="0003236E" w:rsidP="0003236E">
            <w:pPr>
              <w:pStyle w:val="ListBullet2"/>
            </w:pPr>
            <w:r w:rsidRPr="0003236E">
              <w:t>links, end pieces, clasps, buckles, chains, pins and spring bars</w:t>
            </w:r>
          </w:p>
          <w:p w:rsidR="00000000" w:rsidRPr="0003236E" w:rsidP="0003236E">
            <w:pPr>
              <w:pStyle w:val="ListBullet"/>
            </w:pPr>
            <w:r w:rsidRPr="0003236E">
              <w:t>operating principles of power cells, batteries, capacitors and voltages (1.55 V - 3 V)</w:t>
            </w:r>
          </w:p>
          <w:p w:rsidR="00000000" w:rsidRPr="0003236E" w:rsidP="0003236E">
            <w:pPr>
              <w:pStyle w:val="ListBullet"/>
            </w:pPr>
            <w:r w:rsidRPr="0003236E">
              <w:t xml:space="preserve">how to confirm battery capacity </w:t>
            </w:r>
          </w:p>
          <w:p w:rsidR="00000000" w:rsidRPr="0003236E" w:rsidP="0003236E">
            <w:pPr>
              <w:pStyle w:val="ListBullet"/>
            </w:pPr>
            <w:r w:rsidRPr="0003236E">
              <w:t>handling, storage and</w:t>
            </w:r>
            <w:r w:rsidRPr="0003236E">
              <w:t xml:space="preserve"> disposal procedures for watch power sources</w:t>
            </w:r>
          </w:p>
          <w:p w:rsidR="00000000" w:rsidRPr="0003236E" w:rsidP="0003236E">
            <w:pPr>
              <w:pStyle w:val="ListBullet"/>
            </w:pPr>
            <w:r w:rsidRPr="0003236E">
              <w:t>environmental guidelines and regulations relevant to the disposal of watch power sources</w:t>
            </w:r>
          </w:p>
          <w:p w:rsidR="00000000" w:rsidRPr="0003236E" w:rsidP="0003236E">
            <w:pPr>
              <w:pStyle w:val="ListBullet"/>
            </w:pPr>
            <w:r w:rsidRPr="0003236E">
              <w:t>multimeter types and how to set up, use and record values</w:t>
            </w:r>
          </w:p>
          <w:p w:rsidR="00000000" w:rsidRPr="0003236E" w:rsidP="0003236E">
            <w:pPr>
              <w:pStyle w:val="ListBullet"/>
            </w:pPr>
            <w:r w:rsidRPr="0003236E">
              <w:t>Australian standards for water-resistant watches</w:t>
            </w:r>
          </w:p>
          <w:p w:rsidR="00000000" w:rsidRPr="0003236E" w:rsidP="0003236E">
            <w:pPr>
              <w:pStyle w:val="ListBullet"/>
            </w:pPr>
            <w:r w:rsidRPr="0003236E">
              <w:t>methods of wate</w:t>
            </w:r>
            <w:r w:rsidRPr="0003236E">
              <w:t>r-resistance testing for watches and advantages and disadvantages of each method</w:t>
            </w:r>
          </w:p>
          <w:p w:rsidR="00000000" w:rsidRPr="0003236E" w:rsidP="0003236E">
            <w:pPr>
              <w:pStyle w:val="ListBullet"/>
            </w:pPr>
            <w:r w:rsidRPr="0003236E">
              <w:t>occupational health and safety (OHS) regulations and procedures</w:t>
            </w:r>
          </w:p>
        </w:tc>
      </w:tr>
    </w:tbl>
    <w:p w:rsidR="00307293" w:rsidP="0003236E">
      <w:pPr>
        <w:pStyle w:val="BodyText"/>
      </w:pPr>
    </w:p>
    <w:p w:rsidR="00307293" w:rsidP="0003236E">
      <w:pPr>
        <w:pStyle w:val="BodyText"/>
      </w:pPr>
    </w:p>
    <w:p w:rsidR="00000000" w:rsidRPr="0003236E" w:rsidP="0003236E">
      <w:pPr>
        <w:pStyle w:val="AllowPageBreak"/>
      </w:pPr>
    </w:p>
    <w:p w:rsidR="00000000" w:rsidRPr="0003236E" w:rsidP="0003236E">
      <w:pPr>
        <w:pStyle w:val="Heading1"/>
      </w:pPr>
      <w:bookmarkStart w:id="10" w:name="O_245040"/>
      <w:bookmarkEnd w:id="10"/>
      <w:r w:rsidRPr="0003236E">
        <w:t>Evidence Guide</w:t>
      </w:r>
    </w:p>
    <w:tbl>
      <w:tblPr>
        <w:tblW w:w="9570" w:type="dxa"/>
        <w:tblLayout w:type="fixed"/>
        <w:tblCellMar>
          <w:left w:w="62" w:type="dxa"/>
          <w:right w:w="62" w:type="dxa"/>
        </w:tblCellMar>
        <w:tblLook w:val="0000"/>
      </w:tblPr>
      <w:tblGrid>
        <w:gridCol w:w="3908"/>
        <w:gridCol w:w="5662"/>
      </w:tblGrid>
      <w:tr w:rsidTr="003072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EVIDENCE GUIDE</w:t>
            </w:r>
          </w:p>
        </w:tc>
      </w:tr>
      <w:tr w:rsidTr="003072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t>The evidence guide provides advice on assessment and must be read in conjunction with the performance criteria, required skills and knowledge, range statement and the Assessment Guidelines for the Training Package.</w:t>
            </w:r>
          </w:p>
        </w:tc>
      </w:tr>
      <w:tr w:rsidTr="0030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t>A person who dem</w:t>
            </w:r>
            <w:r w:rsidRPr="0003236E">
              <w:t>onstrates competency in this unit must be able to replace quartz or electronic watch power sources and bands to industry standards, manufacturer specifications and in accordance with safety regulations and procedures.</w:t>
            </w:r>
          </w:p>
        </w:tc>
      </w:tr>
      <w:tr w:rsidTr="0030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Critical aspects for assessment and e</w:t>
            </w:r>
            <w:r w:rsidRPr="0003236E">
              <w:rPr>
                <w:rStyle w:val="SpecialBold"/>
              </w:rPr>
              <w:t>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Assessors must be satisfied that the candidate can competently and consistently:</w:t>
            </w:r>
          </w:p>
          <w:p w:rsidR="00000000" w:rsidRPr="0003236E" w:rsidP="0003236E">
            <w:pPr>
              <w:pStyle w:val="ListBullet"/>
            </w:pPr>
            <w:r w:rsidRPr="0003236E">
              <w:t>open and close watches without causing damage to watch or movement</w:t>
            </w:r>
          </w:p>
          <w:p w:rsidR="00000000" w:rsidRPr="0003236E" w:rsidP="0003236E">
            <w:pPr>
              <w:pStyle w:val="ListBullet"/>
            </w:pPr>
            <w:r w:rsidRPr="0003236E">
              <w:t>confirm watch movement's performance</w:t>
            </w:r>
          </w:p>
          <w:p w:rsidR="00000000" w:rsidRPr="0003236E" w:rsidP="0003236E">
            <w:pPr>
              <w:pStyle w:val="ListBullet"/>
            </w:pPr>
            <w:r w:rsidRPr="0003236E">
              <w:t>select correct replacement power sources for watch type and functions</w:t>
            </w:r>
          </w:p>
          <w:p w:rsidR="00000000" w:rsidP="0003236E">
            <w:pPr>
              <w:pStyle w:val="ListBullet"/>
              <w:rPr>
                <w:lang w:val="en-NZ"/>
              </w:rPr>
            </w:pPr>
            <w:r w:rsidRPr="0003236E">
              <w:t>confirm watch case condition and water-resistance.</w:t>
            </w:r>
          </w:p>
        </w:tc>
      </w:tr>
      <w:tr w:rsidTr="0030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Bullet"/>
            </w:pPr>
            <w:r w:rsidRPr="0003236E">
              <w:t>Assessment may occur on the job or in an appropriately simulated environment. Access</w:t>
            </w:r>
            <w:r w:rsidRPr="0003236E">
              <w:t xml:space="preserve"> is required to real or appropriately simulated situations, including work areas, materials and equipment, and information on workplace practices and OHS practices.</w:t>
            </w:r>
          </w:p>
          <w:p w:rsidR="00000000" w:rsidRPr="0003236E" w:rsidP="0003236E">
            <w:pPr>
              <w:pStyle w:val="ListBullet"/>
            </w:pPr>
            <w:r w:rsidRPr="0003236E">
              <w:t>Where applicable, reasonable adjustment must be made to work environments and training situ</w:t>
            </w:r>
            <w:r w:rsidRPr="0003236E">
              <w:t>ations to accommodate ethnicity, age, gender, demographics and disability.</w:t>
            </w:r>
          </w:p>
          <w:p w:rsidR="00000000" w:rsidP="0003236E">
            <w:pPr>
              <w:pStyle w:val="ListBullet"/>
              <w:rPr>
                <w:lang w:val="en-NZ"/>
              </w:rPr>
            </w:pPr>
            <w:r w:rsidRPr="0003236E">
              <w:t>Access must be provided to appropriate learning and/or assessment support when required. Where applicable, physical resources should include equipment modified for people with disab</w:t>
            </w:r>
            <w:r w:rsidRPr="0003236E">
              <w:t>ilities.</w:t>
            </w:r>
          </w:p>
        </w:tc>
      </w:tr>
      <w:tr w:rsidTr="0030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ListBullet"/>
            </w:pPr>
            <w:r w:rsidRPr="0003236E">
              <w:t>Assessment must satisfy the endorsed Assessment Guidelines of the MEM05 Metal and Engineering Training Package.</w:t>
            </w:r>
          </w:p>
          <w:p w:rsidR="00000000" w:rsidRPr="0003236E" w:rsidP="0003236E">
            <w:pPr>
              <w:pStyle w:val="ListBullet"/>
            </w:pPr>
            <w:r w:rsidRPr="0003236E">
              <w:t>Assessment methods must confirm consistency and accuracy of performance (over time and in a range of workplace r</w:t>
            </w:r>
            <w:r w:rsidRPr="0003236E">
              <w:t>elevant contexts) together with application of underpinning knowledge.</w:t>
            </w:r>
          </w:p>
          <w:p w:rsidR="00000000" w:rsidRPr="0003236E" w:rsidP="0003236E">
            <w:pPr>
              <w:pStyle w:val="ListBullet"/>
            </w:pPr>
            <w:r w:rsidRPr="0003236E">
              <w:t>Assessment methods must be by direct observation of tasks and include questioning on underpinning knowledge to ensure its correct interpretation and application.</w:t>
            </w:r>
          </w:p>
          <w:p w:rsidR="00000000" w:rsidRPr="0003236E" w:rsidP="0003236E">
            <w:pPr>
              <w:pStyle w:val="ListBullet"/>
            </w:pPr>
            <w:r w:rsidRPr="0003236E">
              <w:t>Assessment may be appli</w:t>
            </w:r>
            <w:r w:rsidRPr="0003236E">
              <w:t>ed under project-related conditions (real or simulated) and require evidence of process.</w:t>
            </w:r>
          </w:p>
          <w:p w:rsidR="00000000" w:rsidRPr="0003236E" w:rsidP="0003236E">
            <w:pPr>
              <w:pStyle w:val="ListBullet"/>
            </w:pPr>
            <w:r w:rsidRPr="0003236E">
              <w:t>Assessment must confirm a reasonable inference that competency is not only able to be satisfied under the particular circumstance, but is able to be transferred to oth</w:t>
            </w:r>
            <w:r w:rsidRPr="0003236E">
              <w:t>er circumstances.</w:t>
            </w:r>
          </w:p>
          <w:p w:rsidR="00000000" w:rsidP="0003236E">
            <w:pPr>
              <w:pStyle w:val="ListBullet"/>
              <w:rPr>
                <w:lang w:val="en-NZ"/>
              </w:rPr>
            </w:pPr>
            <w:r w:rsidRPr="0003236E">
              <w:t>Assessment may be in conjunction with assessment of other units of competency where required.</w:t>
            </w:r>
          </w:p>
        </w:tc>
      </w:tr>
      <w:tr w:rsidTr="003072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Assessment processes and techniques must be culturally appropriate and appropriate to the language and literacy capacity of the candidate and the work being performed.</w:t>
            </w:r>
          </w:p>
        </w:tc>
      </w:tr>
    </w:tbl>
    <w:p w:rsidR="00307293" w:rsidP="0003236E">
      <w:pPr>
        <w:pStyle w:val="BodyText"/>
      </w:pPr>
    </w:p>
    <w:p w:rsidR="00307293" w:rsidP="0003236E">
      <w:pPr>
        <w:pStyle w:val="BodyText"/>
      </w:pPr>
    </w:p>
    <w:p w:rsidR="00000000" w:rsidRPr="0003236E" w:rsidP="0003236E">
      <w:pPr>
        <w:pStyle w:val="Heading1"/>
      </w:pPr>
      <w:bookmarkStart w:id="11" w:name="O_253023"/>
      <w:bookmarkEnd w:id="11"/>
      <w:r w:rsidRPr="0003236E">
        <w:t>Range Statement</w:t>
      </w:r>
    </w:p>
    <w:tbl>
      <w:tblPr>
        <w:tblW w:w="0" w:type="auto"/>
        <w:tblLayout w:type="fixed"/>
        <w:tblCellMar>
          <w:left w:w="62" w:type="dxa"/>
          <w:right w:w="62" w:type="dxa"/>
        </w:tblCellMar>
        <w:tblLook w:val="0000"/>
      </w:tblPr>
      <w:tblGrid>
        <w:gridCol w:w="3505"/>
        <w:gridCol w:w="5017"/>
      </w:tblGrid>
      <w:tr w:rsidTr="003072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RANGE STATEMENT</w:t>
            </w:r>
          </w:p>
        </w:tc>
      </w:tr>
      <w:tr w:rsidTr="003072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t>The range statement relates to the unit of competency as a whole. It allows for different work environments and situations that may affect performance. Bold italicised wording, if used in the performance criteria, is detailed below. Essential operating con</w:t>
            </w:r>
            <w:r w:rsidRPr="0003236E">
              <w:t>ditions that may be present with training and assessment (depending on the work situation, needs of the candidate, accessibility of the item, and local industry and regional contexts) may also be included.</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Preparing watch for handover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Preparing watch for</w:t>
            </w:r>
            <w:r w:rsidRPr="0003236E">
              <w:t xml:space="preserve"> handover may include:</w:t>
            </w:r>
          </w:p>
          <w:p w:rsidR="00000000" w:rsidRPr="0003236E" w:rsidP="0003236E">
            <w:pPr>
              <w:pStyle w:val="ListBullet"/>
            </w:pPr>
            <w:r w:rsidRPr="0003236E">
              <w:t>confirm watch keeping on time</w:t>
            </w:r>
          </w:p>
          <w:p w:rsidR="00000000" w:rsidRPr="0003236E" w:rsidP="0003236E">
            <w:pPr>
              <w:pStyle w:val="ListBullet"/>
            </w:pPr>
            <w:r w:rsidRPr="0003236E">
              <w:t>function checking (e.g. calendar, light, chronograph and alarm)</w:t>
            </w:r>
          </w:p>
          <w:p w:rsidR="00000000" w:rsidP="0003236E">
            <w:pPr>
              <w:pStyle w:val="ListBullet"/>
              <w:rPr>
                <w:lang w:val="en-NZ"/>
              </w:rPr>
            </w:pPr>
            <w:r w:rsidRPr="0003236E">
              <w:t>display setting (e.g. time, calendar and other multi-functions)</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Electronic watch</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Electronic watch includes watches with:</w:t>
            </w:r>
          </w:p>
          <w:p w:rsidR="00000000" w:rsidRPr="0003236E" w:rsidP="0003236E">
            <w:pPr>
              <w:pStyle w:val="ListBullet"/>
            </w:pPr>
            <w:r w:rsidRPr="0003236E">
              <w:t>quartz crystal</w:t>
            </w:r>
          </w:p>
          <w:p w:rsidR="00000000" w:rsidRPr="0003236E" w:rsidP="0003236E">
            <w:pPr>
              <w:pStyle w:val="ListBullet"/>
            </w:pPr>
            <w:r w:rsidRPr="0003236E">
              <w:t>kinetic mechanism</w:t>
            </w:r>
          </w:p>
          <w:p w:rsidR="00000000" w:rsidRPr="0003236E" w:rsidP="0003236E">
            <w:pPr>
              <w:pStyle w:val="ListBullet"/>
            </w:pPr>
            <w:r w:rsidRPr="0003236E">
              <w:t xml:space="preserve">tunic fork </w:t>
            </w:r>
          </w:p>
          <w:p w:rsidR="00000000" w:rsidP="0003236E">
            <w:pPr>
              <w:pStyle w:val="ListBullet"/>
              <w:rPr>
                <w:lang w:val="en-NZ"/>
              </w:rPr>
            </w:pPr>
            <w:r w:rsidRPr="0003236E">
              <w:t>electronic balance</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Record and document repair</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Record and document repair may include:</w:t>
            </w:r>
          </w:p>
          <w:p w:rsidR="00000000" w:rsidRPr="0003236E" w:rsidP="0003236E">
            <w:pPr>
              <w:pStyle w:val="ListBullet"/>
            </w:pPr>
            <w:r w:rsidRPr="0003236E">
              <w:t>date and extent of repairs completed</w:t>
            </w:r>
          </w:p>
          <w:p w:rsidR="00000000" w:rsidRPr="0003236E" w:rsidP="0003236E">
            <w:pPr>
              <w:pStyle w:val="ListBullet"/>
            </w:pPr>
            <w:r w:rsidRPr="0003236E">
              <w:t>cost of components replaced or used</w:t>
            </w:r>
          </w:p>
          <w:p w:rsidR="00000000" w:rsidRPr="0003236E" w:rsidP="0003236E">
            <w:pPr>
              <w:pStyle w:val="ListBullet"/>
            </w:pPr>
            <w:r w:rsidRPr="0003236E">
              <w:t>time spent on procedure</w:t>
            </w:r>
          </w:p>
          <w:p w:rsidR="00000000" w:rsidRPr="0003236E" w:rsidP="0003236E">
            <w:pPr>
              <w:pStyle w:val="ListBullet"/>
            </w:pPr>
            <w:r w:rsidRPr="0003236E">
              <w:t>marking the date of fitting for replaceme</w:t>
            </w:r>
            <w:r w:rsidRPr="0003236E">
              <w:t>nt cell/code</w:t>
            </w:r>
          </w:p>
          <w:p w:rsidR="00000000" w:rsidRPr="0003236E" w:rsidP="0003236E">
            <w:pPr>
              <w:pStyle w:val="ListBullet"/>
            </w:pPr>
            <w:r w:rsidRPr="0003236E">
              <w:t>electrical testing results (e.g. current consumption/ running time calculated)</w:t>
            </w:r>
          </w:p>
          <w:p w:rsidR="00000000" w:rsidP="0003236E">
            <w:pPr>
              <w:pStyle w:val="ListBullet"/>
              <w:rPr>
                <w:lang w:val="en-NZ"/>
              </w:rPr>
            </w:pPr>
            <w:r w:rsidRPr="0003236E">
              <w:t>water-resistance test results</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Workshop tools and equipment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Workshop tools and equipment may include:</w:t>
            </w:r>
          </w:p>
          <w:p w:rsidR="00000000" w:rsidRPr="0003236E" w:rsidP="0003236E">
            <w:pPr>
              <w:pStyle w:val="ListBullet"/>
            </w:pPr>
            <w:r w:rsidRPr="0003236E">
              <w:t>hand tools appropriate to watch case construction and repair of watches</w:t>
            </w:r>
          </w:p>
          <w:p w:rsidR="00000000" w:rsidRPr="0003236E" w:rsidP="0003236E">
            <w:pPr>
              <w:pStyle w:val="ListBullet"/>
            </w:pPr>
            <w:r w:rsidRPr="0003236E">
              <w:t>personal protective equipment</w:t>
            </w:r>
          </w:p>
          <w:p w:rsidR="00000000" w:rsidP="0003236E">
            <w:pPr>
              <w:pStyle w:val="ListBullet"/>
              <w:rPr>
                <w:lang w:val="en-NZ"/>
              </w:rPr>
            </w:pPr>
            <w:r w:rsidRPr="0003236E">
              <w:t>non-conductive tweezers, case opening and closing tools, glass and case press, plastic sheet protection, cleaning brushes and rodico</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Watch and band const</w:t>
            </w:r>
            <w:r w:rsidRPr="0003236E">
              <w:rPr>
                <w:rStyle w:val="SpecialBold"/>
              </w:rPr>
              <w:t>ruction and components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Watch and band construction and components may include:</w:t>
            </w:r>
          </w:p>
          <w:p w:rsidR="00000000" w:rsidRPr="0003236E" w:rsidP="0003236E">
            <w:pPr>
              <w:pStyle w:val="ListBullet"/>
            </w:pPr>
            <w:r w:rsidRPr="0003236E">
              <w:t>mechanical, electronic, digital, analog, duo, kinetic and auto quartz</w:t>
            </w:r>
          </w:p>
          <w:p w:rsidR="00000000" w:rsidP="0003236E">
            <w:pPr>
              <w:pStyle w:val="ListBullet"/>
              <w:rPr>
                <w:lang w:val="en-NZ"/>
              </w:rPr>
            </w:pPr>
            <w:r w:rsidRPr="0003236E">
              <w:t>bracelets, bands, clasps, styles, straps and material construction</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Power sources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Power sources may includ</w:t>
            </w:r>
            <w:r w:rsidRPr="0003236E">
              <w:t>e:</w:t>
            </w:r>
          </w:p>
          <w:p w:rsidR="00000000" w:rsidRPr="0003236E" w:rsidP="0003236E">
            <w:pPr>
              <w:pStyle w:val="ListBullet"/>
            </w:pPr>
            <w:r w:rsidRPr="0003236E">
              <w:t>primary and secondary cells</w:t>
            </w:r>
          </w:p>
          <w:p w:rsidR="00000000" w:rsidRPr="0003236E" w:rsidP="0003236E">
            <w:pPr>
              <w:pStyle w:val="ListBullet"/>
            </w:pPr>
            <w:r w:rsidRPr="0003236E">
              <w:t>silver oxide cells, including high, low and multi-drain types</w:t>
            </w:r>
          </w:p>
          <w:p w:rsidR="00000000" w:rsidRPr="0003236E" w:rsidP="0003236E">
            <w:pPr>
              <w:pStyle w:val="ListBullet"/>
            </w:pPr>
            <w:r w:rsidRPr="0003236E">
              <w:t>capacitors</w:t>
            </w:r>
          </w:p>
          <w:p w:rsidR="00000000" w:rsidP="0003236E">
            <w:pPr>
              <w:pStyle w:val="ListBullet"/>
              <w:rPr>
                <w:lang w:val="en-NZ"/>
              </w:rPr>
            </w:pPr>
            <w:r w:rsidRPr="0003236E">
              <w:t>lithium</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Band attachment and removal</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Band attachment and removal may include:</w:t>
            </w:r>
          </w:p>
          <w:p w:rsidR="00000000" w:rsidP="0003236E">
            <w:pPr>
              <w:pStyle w:val="ListBullet"/>
              <w:rPr>
                <w:lang w:val="en-NZ"/>
              </w:rPr>
            </w:pPr>
            <w:r w:rsidRPr="0003236E">
              <w:t>springlug, tapered pin, cotter pin and screwed</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Multimeters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Multimeters may include:</w:t>
            </w:r>
          </w:p>
          <w:p w:rsidR="00000000" w:rsidRPr="0003236E" w:rsidP="0003236E">
            <w:pPr>
              <w:pStyle w:val="ListBullet"/>
            </w:pPr>
            <w:r w:rsidRPr="0003236E">
              <w:t xml:space="preserve">analog </w:t>
            </w:r>
          </w:p>
          <w:p w:rsidR="00000000" w:rsidRPr="0003236E" w:rsidP="0003236E">
            <w:pPr>
              <w:pStyle w:val="ListBullet"/>
            </w:pPr>
            <w:r w:rsidRPr="0003236E">
              <w:t xml:space="preserve">digital </w:t>
            </w:r>
          </w:p>
          <w:p w:rsidR="00000000" w:rsidRPr="0003236E" w:rsidP="0003236E">
            <w:pPr>
              <w:pStyle w:val="ListBullet"/>
            </w:pPr>
            <w:r w:rsidRPr="0003236E">
              <w:t>external power supplies</w:t>
            </w:r>
          </w:p>
          <w:p w:rsidR="00000000" w:rsidRPr="0003236E" w:rsidP="0003236E">
            <w:pPr>
              <w:pStyle w:val="ListBullet"/>
            </w:pPr>
            <w:r w:rsidRPr="0003236E">
              <w:t>ampere</w:t>
            </w:r>
          </w:p>
          <w:p w:rsidR="00000000" w:rsidRPr="0003236E" w:rsidP="0003236E">
            <w:pPr>
              <w:pStyle w:val="ListBullet"/>
            </w:pPr>
            <w:r w:rsidRPr="0003236E">
              <w:t>volts</w:t>
            </w:r>
          </w:p>
          <w:p w:rsidR="00000000" w:rsidP="0003236E">
            <w:pPr>
              <w:pStyle w:val="ListBullet"/>
              <w:rPr>
                <w:lang w:val="en-NZ"/>
              </w:rPr>
            </w:pPr>
            <w:r w:rsidRPr="0003236E">
              <w:t>Ohms</w:t>
            </w:r>
          </w:p>
        </w:tc>
      </w:tr>
      <w:tr w:rsidTr="0030729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Water-resistance testing methods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Water-resistance testing methods may include:</w:t>
            </w:r>
          </w:p>
          <w:p w:rsidR="00000000" w:rsidRPr="0003236E" w:rsidP="0003236E">
            <w:pPr>
              <w:pStyle w:val="ListBullet"/>
            </w:pPr>
            <w:r w:rsidRPr="0003236E">
              <w:t>Australian standard for watches and water-resistant/divers watches</w:t>
            </w:r>
          </w:p>
          <w:p w:rsidR="00000000" w:rsidRPr="0003236E" w:rsidP="0003236E">
            <w:pPr>
              <w:pStyle w:val="ListBullet"/>
            </w:pPr>
            <w:r w:rsidRPr="0003236E">
              <w:t xml:space="preserve">vacuum or over pressure </w:t>
            </w:r>
          </w:p>
          <w:p w:rsidR="00000000" w:rsidRPr="0003236E" w:rsidP="0003236E">
            <w:pPr>
              <w:pStyle w:val="ListBullet"/>
            </w:pPr>
            <w:r w:rsidRPr="0003236E">
              <w:t xml:space="preserve">air leak </w:t>
            </w:r>
          </w:p>
          <w:p w:rsidR="00000000" w:rsidRPr="0003236E" w:rsidP="0003236E">
            <w:pPr>
              <w:pStyle w:val="ListBullet"/>
            </w:pPr>
            <w:r w:rsidRPr="0003236E">
              <w:t>water immersion</w:t>
            </w:r>
          </w:p>
          <w:p w:rsidR="00000000" w:rsidRPr="0003236E" w:rsidP="0003236E">
            <w:pPr>
              <w:pStyle w:val="ListBullet"/>
            </w:pPr>
            <w:r w:rsidRPr="0003236E">
              <w:t>condensation test</w:t>
            </w:r>
          </w:p>
        </w:tc>
      </w:tr>
    </w:tbl>
    <w:p w:rsidR="00307293" w:rsidP="0003236E">
      <w:pPr>
        <w:pStyle w:val="BodyText"/>
      </w:pPr>
    </w:p>
    <w:p w:rsidR="00307293" w:rsidP="0003236E">
      <w:pPr>
        <w:pStyle w:val="BodyText"/>
      </w:pPr>
    </w:p>
    <w:p w:rsidR="00000000" w:rsidRPr="0003236E" w:rsidP="0003236E">
      <w:pPr>
        <w:pStyle w:val="Heading1"/>
      </w:pPr>
      <w:bookmarkStart w:id="12" w:name="O_212845"/>
      <w:bookmarkEnd w:id="12"/>
      <w:r w:rsidRPr="0003236E">
        <w:t>Unit Sector(s)</w:t>
      </w:r>
    </w:p>
    <w:tbl>
      <w:tblPr>
        <w:tblW w:w="0" w:type="auto"/>
        <w:tblLayout w:type="fixed"/>
        <w:tblCellMar>
          <w:left w:w="62" w:type="dxa"/>
          <w:right w:w="62" w:type="dxa"/>
        </w:tblCellMar>
        <w:tblLook w:val="0000"/>
      </w:tblPr>
      <w:tblGrid>
        <w:gridCol w:w="2614"/>
        <w:gridCol w:w="5908"/>
      </w:tblGrid>
      <w:tr w:rsidTr="0030729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r w:rsidRPr="0003236E">
              <w:t xml:space="preserve">Horology </w:t>
            </w:r>
          </w:p>
        </w:tc>
      </w:tr>
    </w:tbl>
    <w:p w:rsidR="00307293" w:rsidP="0003236E">
      <w:pPr>
        <w:pStyle w:val="BodyText"/>
      </w:pPr>
    </w:p>
    <w:p w:rsidR="00307293" w:rsidP="0003236E">
      <w:pPr>
        <w:pStyle w:val="BodyText"/>
      </w:pPr>
    </w:p>
    <w:p w:rsidR="00000000" w:rsidRPr="0003236E" w:rsidP="0003236E">
      <w:pPr>
        <w:pStyle w:val="Heading1"/>
      </w:pPr>
      <w:bookmarkStart w:id="13" w:name="O_212842"/>
      <w:bookmarkEnd w:id="13"/>
      <w:r w:rsidRPr="0003236E">
        <w:t>Co-requisite units</w:t>
      </w:r>
    </w:p>
    <w:tbl>
      <w:tblPr>
        <w:tblW w:w="0" w:type="auto"/>
        <w:tblLayout w:type="fixed"/>
        <w:tblCellMar>
          <w:left w:w="62" w:type="dxa"/>
          <w:right w:w="62" w:type="dxa"/>
        </w:tblCellMar>
        <w:tblLook w:val="0000"/>
      </w:tblPr>
      <w:tblGrid>
        <w:gridCol w:w="2641"/>
        <w:gridCol w:w="1322"/>
        <w:gridCol w:w="4559"/>
      </w:tblGrid>
      <w:tr w:rsidTr="003072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7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p>
        </w:tc>
      </w:tr>
      <w:tr w:rsidTr="003072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p>
        </w:tc>
      </w:tr>
    </w:tbl>
    <w:p w:rsidR="00307293" w:rsidP="0003236E">
      <w:pPr>
        <w:pStyle w:val="BodyText"/>
      </w:pPr>
    </w:p>
    <w:p w:rsidR="00307293" w:rsidP="0003236E">
      <w:pPr>
        <w:pStyle w:val="BodyText"/>
      </w:pPr>
    </w:p>
    <w:p w:rsidR="00000000" w:rsidRPr="0003236E" w:rsidP="0003236E">
      <w:pPr>
        <w:pStyle w:val="Heading1"/>
      </w:pPr>
      <w:bookmarkStart w:id="14" w:name="O_212844"/>
      <w:bookmarkEnd w:id="14"/>
      <w:r w:rsidRPr="0003236E">
        <w:t>Competency field</w:t>
      </w:r>
    </w:p>
    <w:tbl>
      <w:tblPr>
        <w:tblW w:w="0" w:type="auto"/>
        <w:tblLayout w:type="fixed"/>
        <w:tblCellMar>
          <w:left w:w="62" w:type="dxa"/>
          <w:right w:w="62" w:type="dxa"/>
        </w:tblCellMar>
        <w:tblLook w:val="0000"/>
      </w:tblPr>
      <w:tblGrid>
        <w:gridCol w:w="2784"/>
        <w:gridCol w:w="5738"/>
      </w:tblGrid>
      <w:tr w:rsidTr="003072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236E">
            <w:pPr>
              <w:pStyle w:val="BodyText"/>
              <w:rPr>
                <w:lang w:val="en-NZ"/>
              </w:rPr>
            </w:pPr>
            <w:r w:rsidRPr="000323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236E" w:rsidP="0003236E">
            <w:pPr>
              <w:pStyle w:val="BodyText"/>
            </w:pPr>
          </w:p>
        </w:tc>
      </w:tr>
    </w:tbl>
    <w:p w:rsidR="00307293" w:rsidP="0003236E">
      <w:pPr>
        <w:pStyle w:val="BodyText"/>
      </w:pPr>
    </w:p>
    <w:p w:rsidR="00307293" w:rsidP="0003236E">
      <w:pPr>
        <w:pStyle w:val="BodyText"/>
      </w:pPr>
    </w:p>
    <w:p w:rsidR="00000000" w:rsidRPr="0003236E" w:rsidP="0003236E"/>
    <w:sectPr w:rsidSect="00032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93" w:rsidP="00307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93" w:rsidP="00032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7293" w:rsidP="000323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7293" w:rsidP="000323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93" w:rsidP="003072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93" w:rsidP="0003236E">
    <w:pPr>
      <w:pStyle w:val="Header"/>
      <w:framePr w:wrap="around"/>
    </w:pPr>
    <w:r>
      <w:fldChar w:fldCharType="begin"/>
    </w:r>
    <w:r>
      <w:instrText xml:space="preserve"> TITLE   \* MERGEFORMAT </w:instrText>
    </w:r>
    <w:r>
      <w:fldChar w:fldCharType="separate"/>
    </w:r>
    <w:r>
      <w:t>MEM21001A Replace watch batteries, capacitors and bands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293" w:rsidP="000323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02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04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0D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3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236E"/>
    <w:pPr>
      <w:spacing w:before="360" w:after="60"/>
      <w:outlineLvl w:val="0"/>
    </w:pPr>
    <w:rPr>
      <w:sz w:val="32"/>
    </w:rPr>
  </w:style>
  <w:style w:type="paragraph" w:styleId="Heading2">
    <w:name w:val="heading 2"/>
    <w:basedOn w:val="HeadingBase"/>
    <w:next w:val="BodyText"/>
    <w:link w:val="Heading2Char"/>
    <w:qFormat/>
    <w:rsid w:val="0003236E"/>
    <w:pPr>
      <w:keepLines/>
      <w:spacing w:before="240" w:after="120"/>
      <w:outlineLvl w:val="1"/>
    </w:pPr>
    <w:rPr>
      <w:sz w:val="28"/>
      <w:szCs w:val="40"/>
    </w:rPr>
  </w:style>
  <w:style w:type="paragraph" w:styleId="Heading3">
    <w:name w:val="heading 3"/>
    <w:basedOn w:val="HeadingBase"/>
    <w:next w:val="BodyText"/>
    <w:link w:val="Heading3Char"/>
    <w:qFormat/>
    <w:rsid w:val="0003236E"/>
    <w:pPr>
      <w:spacing w:before="180" w:after="120"/>
      <w:outlineLvl w:val="2"/>
    </w:pPr>
    <w:rPr>
      <w:spacing w:val="-10"/>
      <w:kern w:val="32"/>
    </w:rPr>
  </w:style>
  <w:style w:type="paragraph" w:styleId="Heading4">
    <w:name w:val="heading 4"/>
    <w:basedOn w:val="HeadingBase"/>
    <w:next w:val="BodyText"/>
    <w:link w:val="Heading4Char"/>
    <w:qFormat/>
    <w:rsid w:val="0003236E"/>
    <w:pPr>
      <w:spacing w:before="160" w:after="120"/>
      <w:outlineLvl w:val="3"/>
    </w:pPr>
    <w:rPr>
      <w:sz w:val="22"/>
    </w:rPr>
  </w:style>
  <w:style w:type="paragraph" w:styleId="Heading5">
    <w:name w:val="heading 5"/>
    <w:basedOn w:val="HeadingBase"/>
    <w:next w:val="Normal"/>
    <w:link w:val="Heading5Char"/>
    <w:qFormat/>
    <w:rsid w:val="0003236E"/>
    <w:pPr>
      <w:spacing w:before="80"/>
      <w:outlineLvl w:val="4"/>
    </w:pPr>
    <w:rPr>
      <w:color w:val="918585"/>
      <w:sz w:val="20"/>
    </w:rPr>
  </w:style>
  <w:style w:type="paragraph" w:styleId="Heading6">
    <w:name w:val="heading 6"/>
    <w:basedOn w:val="HeadingBase"/>
    <w:next w:val="Normal"/>
    <w:link w:val="Heading6Char"/>
    <w:qFormat/>
    <w:rsid w:val="0003236E"/>
    <w:pPr>
      <w:spacing w:before="60"/>
      <w:outlineLvl w:val="5"/>
    </w:pPr>
    <w:rPr>
      <w:color w:val="918585"/>
      <w:sz w:val="20"/>
    </w:rPr>
  </w:style>
  <w:style w:type="paragraph" w:styleId="Heading7">
    <w:name w:val="heading 7"/>
    <w:basedOn w:val="Normal"/>
    <w:next w:val="Normal"/>
    <w:link w:val="Heading7Char"/>
    <w:qFormat/>
    <w:rsid w:val="0003236E"/>
    <w:pPr>
      <w:ind w:left="720"/>
      <w:outlineLvl w:val="6"/>
    </w:pPr>
    <w:rPr>
      <w:i/>
    </w:rPr>
  </w:style>
  <w:style w:type="paragraph" w:styleId="Heading8">
    <w:name w:val="heading 8"/>
    <w:basedOn w:val="Normal"/>
    <w:next w:val="Normal"/>
    <w:link w:val="Heading8Char"/>
    <w:qFormat/>
    <w:rsid w:val="0003236E"/>
    <w:pPr>
      <w:ind w:left="720"/>
      <w:outlineLvl w:val="7"/>
    </w:pPr>
    <w:rPr>
      <w:i/>
    </w:rPr>
  </w:style>
  <w:style w:type="paragraph" w:styleId="Heading9">
    <w:name w:val="heading 9"/>
    <w:basedOn w:val="Normal"/>
    <w:next w:val="Normal"/>
    <w:link w:val="Heading9Char"/>
    <w:qFormat/>
    <w:rsid w:val="0003236E"/>
    <w:pPr>
      <w:ind w:left="720"/>
      <w:outlineLvl w:val="8"/>
    </w:pPr>
    <w:rPr>
      <w:i/>
    </w:rPr>
  </w:style>
  <w:style w:type="character" w:default="1" w:styleId="DefaultParagraphFont">
    <w:name w:val="Default Paragraph Font"/>
    <w:uiPriority w:val="1"/>
    <w:unhideWhenUsed/>
    <w:rsid w:val="00032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36E"/>
  </w:style>
  <w:style w:type="character" w:customStyle="1" w:styleId="Heading1Char">
    <w:name w:val="Heading 1 Char"/>
    <w:basedOn w:val="DefaultParagraphFont"/>
    <w:link w:val="Heading1"/>
    <w:rsid w:val="0003236E"/>
    <w:rPr>
      <w:rFonts w:ascii="Times New Roman" w:eastAsia="Times New Roman" w:hAnsi="Times New Roman" w:cs="Times New Roman"/>
      <w:b/>
      <w:sz w:val="32"/>
      <w:szCs w:val="20"/>
      <w:lang w:eastAsia="en-US"/>
    </w:rPr>
  </w:style>
  <w:style w:type="paragraph" w:styleId="BodyText">
    <w:name w:val="Body Text"/>
    <w:basedOn w:val="Normal"/>
    <w:link w:val="BodyTextChar"/>
    <w:rsid w:val="000323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236E"/>
    <w:rPr>
      <w:rFonts w:ascii="Times New Roman" w:eastAsia="Times New Roman" w:hAnsi="Times New Roman" w:cs="Times New Roman"/>
      <w:sz w:val="24"/>
      <w:lang w:val="en-US" w:eastAsia="en-US"/>
    </w:rPr>
  </w:style>
  <w:style w:type="paragraph" w:styleId="Footer">
    <w:name w:val="footer"/>
    <w:basedOn w:val="Normal"/>
    <w:link w:val="FooterChar"/>
    <w:rsid w:val="00032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36E"/>
    <w:rPr>
      <w:rFonts w:ascii="Times New Roman" w:eastAsia="Times New Roman" w:hAnsi="Times New Roman" w:cs="Times New Roman"/>
      <w:sz w:val="16"/>
      <w:lang w:val="en-US" w:eastAsia="en-US"/>
    </w:rPr>
  </w:style>
  <w:style w:type="paragraph" w:styleId="List">
    <w:name w:val="List"/>
    <w:basedOn w:val="BodyText"/>
    <w:next w:val="BodyText"/>
    <w:rsid w:val="0003236E"/>
    <w:pPr>
      <w:tabs>
        <w:tab w:val="left" w:pos="340"/>
      </w:tabs>
      <w:spacing w:before="60" w:after="60"/>
      <w:ind w:left="340" w:hanging="340"/>
    </w:pPr>
  </w:style>
  <w:style w:type="paragraph" w:styleId="ListBullet">
    <w:name w:val="List Bullet"/>
    <w:basedOn w:val="List"/>
    <w:rsid w:val="0003236E"/>
    <w:pPr>
      <w:numPr>
        <w:numId w:val="13"/>
      </w:numPr>
      <w:tabs>
        <w:tab w:val="clear" w:pos="340"/>
      </w:tabs>
      <w:spacing w:before="40" w:after="40"/>
    </w:pPr>
  </w:style>
  <w:style w:type="character" w:customStyle="1" w:styleId="SpecialBold">
    <w:name w:val="Special Bold"/>
    <w:basedOn w:val="DefaultParagraphFont"/>
    <w:rsid w:val="0003236E"/>
    <w:rPr>
      <w:b/>
      <w:spacing w:val="0"/>
    </w:rPr>
  </w:style>
  <w:style w:type="paragraph" w:styleId="ListBullet2">
    <w:name w:val="List Bullet 2"/>
    <w:basedOn w:val="List2"/>
    <w:rsid w:val="0003236E"/>
    <w:pPr>
      <w:numPr>
        <w:numId w:val="14"/>
      </w:numPr>
      <w:tabs>
        <w:tab w:val="clear" w:pos="680"/>
      </w:tabs>
    </w:pPr>
  </w:style>
  <w:style w:type="paragraph" w:styleId="Header">
    <w:name w:val="header"/>
    <w:basedOn w:val="Normal"/>
    <w:link w:val="HeaderChar"/>
    <w:rsid w:val="00032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3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3236E"/>
    <w:rPr>
      <w:i/>
    </w:rPr>
  </w:style>
  <w:style w:type="paragraph" w:customStyle="1" w:styleId="SuperHeading">
    <w:name w:val="SuperHeading"/>
    <w:basedOn w:val="Normal"/>
    <w:rsid w:val="0003236E"/>
    <w:pPr>
      <w:spacing w:before="240" w:after="120"/>
      <w:outlineLvl w:val="0"/>
    </w:pPr>
    <w:rPr>
      <w:rFonts w:ascii="Times New Roman" w:hAnsi="Times New Roman"/>
      <w:b/>
      <w:sz w:val="28"/>
    </w:rPr>
  </w:style>
  <w:style w:type="paragraph" w:customStyle="1" w:styleId="AllowPageBreak">
    <w:name w:val="AllowPageBreak"/>
    <w:rsid w:val="000323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236E"/>
    <w:pPr>
      <w:tabs>
        <w:tab w:val="left" w:pos="680"/>
      </w:tabs>
      <w:spacing w:before="60" w:after="60"/>
      <w:ind w:left="680" w:hanging="340"/>
    </w:pPr>
  </w:style>
  <w:style w:type="character" w:customStyle="1" w:styleId="Heading2Char">
    <w:name w:val="Heading 2 Char"/>
    <w:basedOn w:val="DefaultParagraphFont"/>
    <w:link w:val="Heading2"/>
    <w:rsid w:val="00032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3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23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236E"/>
    <w:rPr>
      <w:rFonts w:ascii="Courier New" w:eastAsia="Times New Roman" w:hAnsi="Courier New" w:cs="Times New Roman"/>
      <w:i/>
      <w:szCs w:val="20"/>
      <w:lang w:val="en-US" w:eastAsia="en-US"/>
    </w:rPr>
  </w:style>
  <w:style w:type="paragraph" w:customStyle="1" w:styleId="HeadingBase">
    <w:name w:val="Heading Base"/>
    <w:rsid w:val="00032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36E"/>
    <w:pPr>
      <w:tabs>
        <w:tab w:val="right" w:leader="dot" w:pos="9072"/>
      </w:tabs>
      <w:ind w:left="567"/>
    </w:pPr>
    <w:rPr>
      <w:szCs w:val="22"/>
    </w:rPr>
  </w:style>
  <w:style w:type="paragraph" w:customStyle="1" w:styleId="TOCBase">
    <w:name w:val="TOC Base"/>
    <w:rsid w:val="00032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36E"/>
    <w:pPr>
      <w:tabs>
        <w:tab w:val="right" w:leader="dot" w:pos="9072"/>
      </w:tabs>
      <w:spacing w:before="40" w:after="40"/>
      <w:ind w:left="284"/>
    </w:pPr>
    <w:rPr>
      <w:rFonts w:ascii="Times New Roman" w:hAnsi="Times New Roman"/>
    </w:rPr>
  </w:style>
  <w:style w:type="paragraph" w:styleId="TOC1">
    <w:name w:val="toc 1"/>
    <w:basedOn w:val="TOCBase"/>
    <w:next w:val="Normal"/>
    <w:rsid w:val="000323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236E"/>
    <w:pPr>
      <w:spacing w:before="5040"/>
      <w:jc w:val="center"/>
    </w:pPr>
    <w:rPr>
      <w:sz w:val="48"/>
      <w:szCs w:val="72"/>
      <w:lang w:val="en-US"/>
    </w:rPr>
  </w:style>
  <w:style w:type="character" w:customStyle="1" w:styleId="TitleChar">
    <w:name w:val="Title Char"/>
    <w:basedOn w:val="DefaultParagraphFont"/>
    <w:link w:val="Title"/>
    <w:rsid w:val="00032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36E"/>
    <w:pPr>
      <w:tabs>
        <w:tab w:val="left" w:pos="3600"/>
        <w:tab w:val="left" w:pos="3958"/>
      </w:tabs>
    </w:pPr>
  </w:style>
  <w:style w:type="paragraph" w:customStyle="1" w:styleId="Note">
    <w:name w:val="Note"/>
    <w:basedOn w:val="BodyText"/>
    <w:rsid w:val="00032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36E"/>
    <w:pPr>
      <w:framePr w:wrap="auto" w:hAnchor="text" w:y="6049"/>
    </w:pPr>
    <w:rPr>
      <w:color w:val="000000"/>
      <w:sz w:val="40"/>
    </w:rPr>
  </w:style>
  <w:style w:type="paragraph" w:customStyle="1" w:styleId="TOCTitle">
    <w:name w:val="TOCTitle"/>
    <w:basedOn w:val="Heading1"/>
    <w:rsid w:val="0003236E"/>
    <w:pPr>
      <w:spacing w:after="240"/>
      <w:jc w:val="center"/>
      <w:outlineLvl w:val="9"/>
    </w:pPr>
    <w:rPr>
      <w:caps/>
    </w:rPr>
  </w:style>
  <w:style w:type="paragraph" w:customStyle="1" w:styleId="Version">
    <w:name w:val="Version"/>
    <w:rsid w:val="00032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36E"/>
    <w:pPr>
      <w:keepNext w:val="0"/>
      <w:tabs>
        <w:tab w:val="right" w:pos="4176"/>
      </w:tabs>
      <w:ind w:left="198" w:hanging="198"/>
    </w:pPr>
    <w:rPr>
      <w:rFonts w:ascii="Garamond" w:hAnsi="Garamond"/>
    </w:rPr>
  </w:style>
  <w:style w:type="paragraph" w:styleId="IndexHeading">
    <w:name w:val="index heading"/>
    <w:basedOn w:val="Normal"/>
    <w:next w:val="Index1"/>
    <w:semiHidden/>
    <w:rsid w:val="0003236E"/>
    <w:pPr>
      <w:spacing w:before="120" w:after="120"/>
    </w:pPr>
    <w:rPr>
      <w:rFonts w:ascii="Arial" w:hAnsi="Arial"/>
      <w:b/>
      <w:color w:val="918585"/>
      <w:sz w:val="24"/>
    </w:rPr>
  </w:style>
  <w:style w:type="paragraph" w:customStyle="1" w:styleId="Chapter">
    <w:name w:val="Chapter"/>
    <w:basedOn w:val="Normal"/>
    <w:rsid w:val="0003236E"/>
    <w:pPr>
      <w:spacing w:before="240"/>
    </w:pPr>
    <w:rPr>
      <w:rFonts w:ascii="Times New Roman" w:hAnsi="Times New Roman"/>
      <w:smallCaps/>
      <w:spacing w:val="80"/>
      <w:sz w:val="28"/>
    </w:rPr>
  </w:style>
  <w:style w:type="paragraph" w:customStyle="1" w:styleId="InChapter">
    <w:name w:val="InChapter"/>
    <w:basedOn w:val="Heading3"/>
    <w:rsid w:val="0003236E"/>
    <w:pPr>
      <w:spacing w:after="240"/>
      <w:outlineLvl w:val="9"/>
    </w:pPr>
    <w:rPr>
      <w:noProof/>
    </w:rPr>
  </w:style>
  <w:style w:type="paragraph" w:styleId="Index2">
    <w:name w:val="index 2"/>
    <w:basedOn w:val="Normal"/>
    <w:next w:val="Normal"/>
    <w:semiHidden/>
    <w:rsid w:val="0003236E"/>
    <w:pPr>
      <w:tabs>
        <w:tab w:val="right" w:pos="4176"/>
      </w:tabs>
      <w:ind w:left="568" w:hanging="284"/>
    </w:pPr>
    <w:rPr>
      <w:rFonts w:ascii="Garamond" w:hAnsi="Garamond"/>
    </w:rPr>
  </w:style>
  <w:style w:type="paragraph" w:customStyle="1" w:styleId="Byline">
    <w:name w:val="Byline"/>
    <w:rsid w:val="00032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36E"/>
    <w:pPr>
      <w:tabs>
        <w:tab w:val="clear" w:pos="3600"/>
        <w:tab w:val="clear" w:pos="3958"/>
      </w:tabs>
      <w:jc w:val="right"/>
    </w:pPr>
  </w:style>
  <w:style w:type="paragraph" w:styleId="Caption">
    <w:name w:val="caption"/>
    <w:basedOn w:val="BodyText"/>
    <w:next w:val="Normal"/>
    <w:qFormat/>
    <w:rsid w:val="0003236E"/>
    <w:pPr>
      <w:framePr w:w="2268" w:hSpace="181" w:vSpace="181" w:wrap="around" w:vAnchor="text" w:hAnchor="page" w:x="1135" w:y="285" w:anchorLock="1"/>
    </w:pPr>
    <w:rPr>
      <w:i/>
    </w:rPr>
  </w:style>
  <w:style w:type="paragraph" w:customStyle="1" w:styleId="MiniTOCTitle">
    <w:name w:val="MiniTOCTitle"/>
    <w:basedOn w:val="Heading4"/>
    <w:rsid w:val="0003236E"/>
    <w:pPr>
      <w:spacing w:before="240"/>
      <w:outlineLvl w:val="9"/>
    </w:pPr>
    <w:rPr>
      <w:noProof/>
      <w:sz w:val="24"/>
    </w:rPr>
  </w:style>
  <w:style w:type="paragraph" w:customStyle="1" w:styleId="MiniTOCItem">
    <w:name w:val="MiniTOCItem"/>
    <w:basedOn w:val="ListBullet"/>
    <w:rsid w:val="0003236E"/>
    <w:pPr>
      <w:numPr>
        <w:numId w:val="0"/>
      </w:numPr>
      <w:tabs>
        <w:tab w:val="right" w:leader="dot" w:pos="6521"/>
      </w:tabs>
      <w:spacing w:before="0" w:after="0"/>
    </w:pPr>
  </w:style>
  <w:style w:type="paragraph" w:customStyle="1" w:styleId="TOFTitle">
    <w:name w:val="TOFTitle"/>
    <w:basedOn w:val="TOCTitle"/>
    <w:rsid w:val="0003236E"/>
  </w:style>
  <w:style w:type="paragraph" w:styleId="TableofFigures">
    <w:name w:val="table of figures"/>
    <w:basedOn w:val="Normal"/>
    <w:next w:val="Normal"/>
    <w:semiHidden/>
    <w:rsid w:val="0003236E"/>
    <w:pPr>
      <w:tabs>
        <w:tab w:val="right" w:leader="dot" w:pos="9072"/>
      </w:tabs>
      <w:ind w:left="970" w:hanging="403"/>
    </w:pPr>
    <w:rPr>
      <w:rFonts w:ascii="Times New Roman" w:hAnsi="Times New Roman"/>
      <w:b/>
    </w:rPr>
  </w:style>
  <w:style w:type="paragraph" w:styleId="ListNumber">
    <w:name w:val="List Number"/>
    <w:basedOn w:val="List"/>
    <w:rsid w:val="0003236E"/>
    <w:pPr>
      <w:numPr>
        <w:numId w:val="11"/>
      </w:numPr>
    </w:pPr>
  </w:style>
  <w:style w:type="character" w:customStyle="1" w:styleId="WingdingSymbols">
    <w:name w:val="Wingding Symbols"/>
    <w:rsid w:val="0003236E"/>
    <w:rPr>
      <w:rFonts w:ascii="Wingdings" w:hAnsi="Wingdings"/>
    </w:rPr>
  </w:style>
  <w:style w:type="paragraph" w:customStyle="1" w:styleId="TableHeading">
    <w:name w:val="Table Heading"/>
    <w:basedOn w:val="HeadingBase"/>
    <w:rsid w:val="0003236E"/>
    <w:pPr>
      <w:keepLines/>
      <w:pBdr>
        <w:bottom w:val="single" w:sz="6" w:space="1" w:color="918585"/>
      </w:pBdr>
      <w:spacing w:before="240"/>
    </w:pPr>
  </w:style>
  <w:style w:type="character" w:customStyle="1" w:styleId="HotSpot">
    <w:name w:val="HotSpot"/>
    <w:rsid w:val="0003236E"/>
    <w:rPr>
      <w:color w:val="0033CC"/>
      <w:u w:val="none"/>
    </w:rPr>
  </w:style>
  <w:style w:type="paragraph" w:customStyle="1" w:styleId="BodyTextRight">
    <w:name w:val="Body Text Right"/>
    <w:basedOn w:val="BodyText"/>
    <w:rsid w:val="0003236E"/>
    <w:pPr>
      <w:spacing w:before="0" w:after="0"/>
      <w:jc w:val="right"/>
    </w:pPr>
  </w:style>
  <w:style w:type="paragraph" w:styleId="Index3">
    <w:name w:val="index 3"/>
    <w:basedOn w:val="ListNumber2"/>
    <w:next w:val="Normal"/>
    <w:semiHidden/>
    <w:rsid w:val="0003236E"/>
    <w:pPr>
      <w:numPr>
        <w:numId w:val="0"/>
      </w:numPr>
      <w:tabs>
        <w:tab w:val="right" w:leader="dot" w:pos="4176"/>
      </w:tabs>
    </w:pPr>
  </w:style>
  <w:style w:type="paragraph" w:styleId="ListNumber2">
    <w:name w:val="List Number 2"/>
    <w:basedOn w:val="List2"/>
    <w:rsid w:val="0003236E"/>
    <w:pPr>
      <w:numPr>
        <w:numId w:val="10"/>
      </w:numPr>
      <w:tabs>
        <w:tab w:val="clear" w:pos="1060"/>
      </w:tabs>
    </w:pPr>
  </w:style>
  <w:style w:type="paragraph" w:customStyle="1" w:styleId="MarginNote">
    <w:name w:val="Margin Note"/>
    <w:basedOn w:val="BodyText"/>
    <w:rsid w:val="00032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3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236E"/>
    <w:rPr>
      <w:sz w:val="32"/>
    </w:rPr>
  </w:style>
  <w:style w:type="paragraph" w:customStyle="1" w:styleId="HeadingProcedure">
    <w:name w:val="Heading Procedure"/>
    <w:basedOn w:val="HeadingBase"/>
    <w:next w:val="Normal"/>
    <w:rsid w:val="0003236E"/>
    <w:pPr>
      <w:tabs>
        <w:tab w:val="left" w:pos="0"/>
      </w:tabs>
      <w:spacing w:before="120" w:after="60"/>
    </w:pPr>
    <w:rPr>
      <w:i/>
      <w:color w:val="918585"/>
      <w:sz w:val="22"/>
    </w:rPr>
  </w:style>
  <w:style w:type="paragraph" w:customStyle="1" w:styleId="TableBodyText">
    <w:name w:val="Table Body Text"/>
    <w:basedOn w:val="BodyText"/>
    <w:rsid w:val="0003236E"/>
    <w:pPr>
      <w:spacing w:before="60" w:after="60"/>
    </w:pPr>
  </w:style>
  <w:style w:type="paragraph" w:styleId="ListContinue">
    <w:name w:val="List Continue"/>
    <w:basedOn w:val="List"/>
    <w:rsid w:val="0003236E"/>
    <w:pPr>
      <w:ind w:firstLine="0"/>
    </w:pPr>
  </w:style>
  <w:style w:type="paragraph" w:customStyle="1" w:styleId="ListNote">
    <w:name w:val="List Note"/>
    <w:basedOn w:val="List"/>
    <w:rsid w:val="0003236E"/>
    <w:pPr>
      <w:pBdr>
        <w:top w:val="single" w:sz="6" w:space="2" w:color="918585"/>
        <w:bottom w:val="single" w:sz="6" w:space="2" w:color="918585"/>
      </w:pBdr>
      <w:tabs>
        <w:tab w:val="left" w:pos="1021"/>
      </w:tabs>
      <w:ind w:firstLine="0"/>
    </w:pPr>
  </w:style>
  <w:style w:type="paragraph" w:customStyle="1" w:styleId="Warning">
    <w:name w:val="Warning"/>
    <w:basedOn w:val="BodyText"/>
    <w:rsid w:val="0003236E"/>
    <w:pPr>
      <w:shd w:val="clear" w:color="auto" w:fill="D9D9D9"/>
      <w:tabs>
        <w:tab w:val="left" w:pos="992"/>
      </w:tabs>
      <w:ind w:left="119" w:right="119"/>
    </w:pPr>
    <w:rPr>
      <w:sz w:val="20"/>
    </w:rPr>
  </w:style>
  <w:style w:type="paragraph" w:customStyle="1" w:styleId="MarginIcons">
    <w:name w:val="Margin Icons"/>
    <w:basedOn w:val="BodyText"/>
    <w:rsid w:val="00032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36E"/>
    <w:rPr>
      <w:rFonts w:ascii="Courier New" w:hAnsi="Courier New"/>
    </w:rPr>
  </w:style>
  <w:style w:type="paragraph" w:customStyle="1" w:styleId="NoteBullet">
    <w:name w:val="Note Bullet"/>
    <w:basedOn w:val="Note"/>
    <w:rsid w:val="0003236E"/>
    <w:pPr>
      <w:tabs>
        <w:tab w:val="clear" w:pos="680"/>
      </w:tabs>
      <w:spacing w:before="60" w:after="60"/>
    </w:pPr>
  </w:style>
  <w:style w:type="paragraph" w:customStyle="1" w:styleId="SubHeading2">
    <w:name w:val="SubHeading2"/>
    <w:basedOn w:val="HeadingBase"/>
    <w:rsid w:val="0003236E"/>
    <w:pPr>
      <w:spacing w:before="240" w:after="60"/>
    </w:pPr>
    <w:rPr>
      <w:sz w:val="20"/>
    </w:rPr>
  </w:style>
  <w:style w:type="paragraph" w:customStyle="1" w:styleId="SubHeading1">
    <w:name w:val="SubHeading1"/>
    <w:basedOn w:val="HeadingBase"/>
    <w:rsid w:val="0003236E"/>
    <w:pPr>
      <w:spacing w:before="240" w:after="60"/>
    </w:pPr>
    <w:rPr>
      <w:color w:val="918585"/>
      <w:sz w:val="22"/>
    </w:rPr>
  </w:style>
  <w:style w:type="paragraph" w:customStyle="1" w:styleId="SideHeading">
    <w:name w:val="Side Heading"/>
    <w:basedOn w:val="HeadingBase"/>
    <w:rsid w:val="00032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36E"/>
    <w:pPr>
      <w:numPr>
        <w:numId w:val="12"/>
      </w:numPr>
    </w:pPr>
  </w:style>
  <w:style w:type="paragraph" w:styleId="PlainText">
    <w:name w:val="Plain Text"/>
    <w:basedOn w:val="Normal"/>
    <w:link w:val="PlainTextChar"/>
    <w:rsid w:val="0003236E"/>
    <w:rPr>
      <w:sz w:val="20"/>
    </w:rPr>
  </w:style>
  <w:style w:type="character" w:customStyle="1" w:styleId="PlainTextChar">
    <w:name w:val="Plain Text Char"/>
    <w:basedOn w:val="DefaultParagraphFont"/>
    <w:link w:val="PlainText"/>
    <w:rsid w:val="000323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236E"/>
    <w:rPr>
      <w:b/>
      <w:smallCaps/>
    </w:rPr>
  </w:style>
  <w:style w:type="paragraph" w:customStyle="1" w:styleId="TableListNumber">
    <w:name w:val="Table List Number"/>
    <w:basedOn w:val="ListNumber"/>
    <w:rsid w:val="0003236E"/>
    <w:pPr>
      <w:numPr>
        <w:numId w:val="0"/>
      </w:numPr>
    </w:pPr>
  </w:style>
  <w:style w:type="paragraph" w:styleId="TOC4">
    <w:name w:val="toc 4"/>
    <w:basedOn w:val="TOCBase"/>
    <w:next w:val="Normal"/>
    <w:semiHidden/>
    <w:rsid w:val="0003236E"/>
    <w:pPr>
      <w:tabs>
        <w:tab w:val="right" w:leader="dot" w:pos="9071"/>
      </w:tabs>
      <w:ind w:left="1701"/>
    </w:pPr>
  </w:style>
  <w:style w:type="paragraph" w:customStyle="1" w:styleId="ListAlpha">
    <w:name w:val="List Alpha"/>
    <w:basedOn w:val="List"/>
    <w:rsid w:val="0003236E"/>
    <w:pPr>
      <w:numPr>
        <w:numId w:val="9"/>
      </w:numPr>
    </w:pPr>
  </w:style>
  <w:style w:type="paragraph" w:customStyle="1" w:styleId="ListAlpha2">
    <w:name w:val="List Alpha 2"/>
    <w:basedOn w:val="List2"/>
    <w:rsid w:val="0003236E"/>
    <w:pPr>
      <w:numPr>
        <w:numId w:val="8"/>
      </w:numPr>
    </w:pPr>
  </w:style>
  <w:style w:type="paragraph" w:styleId="List3">
    <w:name w:val="List 3"/>
    <w:basedOn w:val="BodyText"/>
    <w:rsid w:val="0003236E"/>
    <w:pPr>
      <w:tabs>
        <w:tab w:val="left" w:pos="1021"/>
      </w:tabs>
      <w:spacing w:before="60" w:after="60"/>
      <w:ind w:left="1020" w:hanging="340"/>
    </w:pPr>
  </w:style>
  <w:style w:type="paragraph" w:styleId="List4">
    <w:name w:val="List 4"/>
    <w:basedOn w:val="BodyText"/>
    <w:rsid w:val="0003236E"/>
    <w:pPr>
      <w:tabs>
        <w:tab w:val="left" w:pos="1361"/>
      </w:tabs>
      <w:spacing w:before="60" w:after="60"/>
      <w:ind w:left="1361" w:hanging="340"/>
    </w:pPr>
  </w:style>
  <w:style w:type="paragraph" w:styleId="List5">
    <w:name w:val="List 5"/>
    <w:basedOn w:val="BodyText"/>
    <w:rsid w:val="0003236E"/>
    <w:pPr>
      <w:tabs>
        <w:tab w:val="left" w:pos="1701"/>
      </w:tabs>
      <w:spacing w:before="60" w:after="60"/>
      <w:ind w:left="1701" w:hanging="340"/>
    </w:pPr>
  </w:style>
  <w:style w:type="paragraph" w:styleId="ListBullet3">
    <w:name w:val="List Bullet 3"/>
    <w:basedOn w:val="List3"/>
    <w:rsid w:val="0003236E"/>
    <w:pPr>
      <w:numPr>
        <w:numId w:val="15"/>
      </w:numPr>
      <w:tabs>
        <w:tab w:val="clear" w:pos="1021"/>
      </w:tabs>
      <w:ind w:left="1037" w:hanging="357"/>
    </w:pPr>
  </w:style>
  <w:style w:type="paragraph" w:styleId="ListBullet4">
    <w:name w:val="List Bullet 4"/>
    <w:basedOn w:val="List4"/>
    <w:rsid w:val="0003236E"/>
    <w:pPr>
      <w:numPr>
        <w:numId w:val="3"/>
      </w:numPr>
    </w:pPr>
  </w:style>
  <w:style w:type="paragraph" w:styleId="ListBullet5">
    <w:name w:val="List Bullet 5"/>
    <w:basedOn w:val="List5"/>
    <w:rsid w:val="0003236E"/>
    <w:pPr>
      <w:numPr>
        <w:numId w:val="4"/>
      </w:numPr>
    </w:pPr>
  </w:style>
  <w:style w:type="paragraph" w:styleId="ListContinue2">
    <w:name w:val="List Continue 2"/>
    <w:basedOn w:val="List2"/>
    <w:rsid w:val="0003236E"/>
    <w:pPr>
      <w:ind w:firstLine="0"/>
    </w:pPr>
  </w:style>
  <w:style w:type="paragraph" w:styleId="ListContinue3">
    <w:name w:val="List Continue 3"/>
    <w:basedOn w:val="List3"/>
    <w:rsid w:val="0003236E"/>
    <w:pPr>
      <w:ind w:left="1021" w:firstLine="0"/>
    </w:pPr>
  </w:style>
  <w:style w:type="paragraph" w:styleId="ListContinue4">
    <w:name w:val="List Continue 4"/>
    <w:basedOn w:val="List4"/>
    <w:rsid w:val="0003236E"/>
    <w:pPr>
      <w:ind w:firstLine="0"/>
    </w:pPr>
  </w:style>
  <w:style w:type="paragraph" w:styleId="ListContinue5">
    <w:name w:val="List Continue 5"/>
    <w:basedOn w:val="List5"/>
    <w:rsid w:val="0003236E"/>
    <w:pPr>
      <w:ind w:firstLine="0"/>
    </w:pPr>
  </w:style>
  <w:style w:type="paragraph" w:styleId="ListNumber3">
    <w:name w:val="List Number 3"/>
    <w:basedOn w:val="List3"/>
    <w:rsid w:val="0003236E"/>
    <w:pPr>
      <w:numPr>
        <w:numId w:val="5"/>
      </w:numPr>
    </w:pPr>
  </w:style>
  <w:style w:type="paragraph" w:styleId="ListNumber4">
    <w:name w:val="List Number 4"/>
    <w:basedOn w:val="List4"/>
    <w:rsid w:val="0003236E"/>
    <w:pPr>
      <w:numPr>
        <w:numId w:val="6"/>
      </w:numPr>
    </w:pPr>
  </w:style>
  <w:style w:type="paragraph" w:styleId="ListNumber5">
    <w:name w:val="List Number 5"/>
    <w:basedOn w:val="List5"/>
    <w:rsid w:val="0003236E"/>
    <w:pPr>
      <w:numPr>
        <w:numId w:val="7"/>
      </w:numPr>
    </w:pPr>
  </w:style>
  <w:style w:type="paragraph" w:styleId="BlockText">
    <w:name w:val="Block Text"/>
    <w:basedOn w:val="Normal"/>
    <w:rsid w:val="0003236E"/>
    <w:pPr>
      <w:spacing w:after="120"/>
      <w:ind w:left="1440" w:right="1440"/>
    </w:pPr>
  </w:style>
  <w:style w:type="character" w:customStyle="1" w:styleId="Subscript">
    <w:name w:val="Subscript"/>
    <w:basedOn w:val="DefaultParagraphFont"/>
    <w:rsid w:val="0003236E"/>
    <w:rPr>
      <w:sz w:val="16"/>
      <w:vertAlign w:val="subscript"/>
    </w:rPr>
  </w:style>
  <w:style w:type="character" w:customStyle="1" w:styleId="Superscript">
    <w:name w:val="Superscript"/>
    <w:basedOn w:val="DefaultParagraphFont"/>
    <w:rsid w:val="0003236E"/>
    <w:rPr>
      <w:sz w:val="16"/>
      <w:vertAlign w:val="superscript"/>
    </w:rPr>
  </w:style>
  <w:style w:type="character" w:customStyle="1" w:styleId="Symbols">
    <w:name w:val="Symbols"/>
    <w:basedOn w:val="DefaultParagraphFont"/>
    <w:rsid w:val="0003236E"/>
    <w:rPr>
      <w:rFonts w:ascii="Symbol" w:hAnsi="Symbol"/>
    </w:rPr>
  </w:style>
  <w:style w:type="character" w:customStyle="1" w:styleId="MenuOptions">
    <w:name w:val="Menu Options"/>
    <w:basedOn w:val="DefaultParagraphFont"/>
    <w:rsid w:val="0003236E"/>
    <w:rPr>
      <w:rFonts w:ascii="Arial Narrow" w:hAnsi="Arial Narrow"/>
      <w:smallCaps/>
    </w:rPr>
  </w:style>
  <w:style w:type="character" w:customStyle="1" w:styleId="Buttons">
    <w:name w:val="Buttons"/>
    <w:basedOn w:val="DefaultParagraphFont"/>
    <w:rsid w:val="0003236E"/>
    <w:rPr>
      <w:b/>
    </w:rPr>
  </w:style>
  <w:style w:type="character" w:customStyle="1" w:styleId="Underlined">
    <w:name w:val="Underlined"/>
    <w:basedOn w:val="DefaultParagraphFont"/>
    <w:rsid w:val="0003236E"/>
    <w:rPr>
      <w:u w:val="single"/>
    </w:rPr>
  </w:style>
  <w:style w:type="paragraph" w:customStyle="1" w:styleId="TableBodyTextRight">
    <w:name w:val="Table Body Text Right"/>
    <w:basedOn w:val="TableBodyText"/>
    <w:rsid w:val="0003236E"/>
    <w:pPr>
      <w:widowControl w:val="0"/>
      <w:autoSpaceDE w:val="0"/>
      <w:autoSpaceDN w:val="0"/>
      <w:adjustRightInd w:val="0"/>
      <w:jc w:val="right"/>
    </w:pPr>
    <w:rPr>
      <w:rFonts w:cs="Arial"/>
      <w:szCs w:val="18"/>
    </w:rPr>
  </w:style>
  <w:style w:type="paragraph" w:customStyle="1" w:styleId="CopyrightText">
    <w:name w:val="Copyright Text"/>
    <w:basedOn w:val="BodyText"/>
    <w:rsid w:val="0003236E"/>
    <w:rPr>
      <w:sz w:val="18"/>
    </w:rPr>
  </w:style>
  <w:style w:type="paragraph" w:customStyle="1" w:styleId="BodySmallRight">
    <w:name w:val="Body Small Right"/>
    <w:basedOn w:val="BodyTextRight"/>
    <w:rsid w:val="0003236E"/>
    <w:rPr>
      <w:sz w:val="18"/>
      <w:szCs w:val="18"/>
    </w:rPr>
  </w:style>
  <w:style w:type="paragraph" w:customStyle="1" w:styleId="MarginEdition">
    <w:name w:val="Margin Edition"/>
    <w:basedOn w:val="MarginNote"/>
    <w:rsid w:val="0003236E"/>
    <w:pPr>
      <w:spacing w:before="0" w:after="0"/>
    </w:pPr>
    <w:rPr>
      <w:rFonts w:ascii="Times New Roman" w:hAnsi="Times New Roman"/>
      <w:color w:val="999999"/>
    </w:rPr>
  </w:style>
  <w:style w:type="paragraph" w:customStyle="1" w:styleId="Spacer">
    <w:name w:val="Spacer"/>
    <w:basedOn w:val="Normal"/>
    <w:rsid w:val="0003236E"/>
    <w:rPr>
      <w:sz w:val="2"/>
      <w:szCs w:val="2"/>
    </w:rPr>
  </w:style>
  <w:style w:type="character" w:customStyle="1" w:styleId="Small">
    <w:name w:val="Small"/>
    <w:basedOn w:val="DefaultParagraphFont"/>
    <w:rsid w:val="0003236E"/>
    <w:rPr>
      <w:sz w:val="16"/>
    </w:rPr>
  </w:style>
  <w:style w:type="paragraph" w:customStyle="1" w:styleId="WideTable">
    <w:name w:val="Wide Table"/>
    <w:basedOn w:val="Normal"/>
    <w:rsid w:val="0003236E"/>
    <w:pPr>
      <w:ind w:left="-1418"/>
    </w:pPr>
    <w:rPr>
      <w:sz w:val="2"/>
      <w:szCs w:val="2"/>
    </w:rPr>
  </w:style>
  <w:style w:type="character" w:styleId="PageNumber">
    <w:name w:val="page number"/>
    <w:basedOn w:val="DefaultParagraphFont"/>
    <w:rsid w:val="0003236E"/>
  </w:style>
  <w:style w:type="paragraph" w:styleId="Quote">
    <w:name w:val="Quote"/>
    <w:basedOn w:val="Heading1"/>
    <w:link w:val="QuoteChar"/>
    <w:qFormat/>
    <w:rsid w:val="0003236E"/>
    <w:rPr>
      <w:b w:val="0"/>
      <w:sz w:val="72"/>
      <w:szCs w:val="72"/>
      <w:lang w:val="en-NZ"/>
    </w:rPr>
  </w:style>
  <w:style w:type="character" w:customStyle="1" w:styleId="QuoteChar">
    <w:name w:val="Quote Char"/>
    <w:basedOn w:val="DefaultParagraphFont"/>
    <w:link w:val="Quote"/>
    <w:rsid w:val="00032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36E"/>
    <w:pPr>
      <w:pageBreakBefore/>
    </w:pPr>
  </w:style>
  <w:style w:type="paragraph" w:customStyle="1" w:styleId="Border">
    <w:name w:val="Border"/>
    <w:basedOn w:val="Normal"/>
    <w:qFormat/>
    <w:rsid w:val="00032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36E"/>
    <w:rPr>
      <w:b/>
      <w:bCs/>
      <w:i/>
      <w:iCs/>
      <w:color w:val="auto"/>
    </w:rPr>
  </w:style>
  <w:style w:type="paragraph" w:styleId="IntenseQuote">
    <w:name w:val="Intense Quote"/>
    <w:basedOn w:val="Normal"/>
    <w:next w:val="Normal"/>
    <w:link w:val="IntenseQuoteChar"/>
    <w:uiPriority w:val="30"/>
    <w:qFormat/>
    <w:rsid w:val="00032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3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236E"/>
    <w:rPr>
      <w:smallCaps/>
      <w:color w:val="auto"/>
      <w:u w:val="single"/>
    </w:rPr>
  </w:style>
  <w:style w:type="character" w:styleId="IntenseReference">
    <w:name w:val="Intense Reference"/>
    <w:basedOn w:val="DefaultParagraphFont"/>
    <w:uiPriority w:val="32"/>
    <w:qFormat/>
    <w:rsid w:val="0003236E"/>
    <w:rPr>
      <w:b/>
      <w:bCs/>
      <w:smallCaps/>
      <w:color w:val="auto"/>
      <w:spacing w:val="5"/>
      <w:u w:val="single"/>
    </w:rPr>
  </w:style>
  <w:style w:type="paragraph" w:customStyle="1" w:styleId="2ColumnHeading">
    <w:name w:val="2Column Heading"/>
    <w:basedOn w:val="BodyText"/>
    <w:qFormat/>
    <w:rsid w:val="0003236E"/>
    <w:pPr>
      <w:spacing w:after="60"/>
      <w:ind w:left="-2268"/>
    </w:pPr>
    <w:rPr>
      <w:b/>
    </w:rPr>
  </w:style>
  <w:style w:type="paragraph" w:customStyle="1" w:styleId="Heading1TOC">
    <w:name w:val="Heading1 TOC"/>
    <w:basedOn w:val="Normal"/>
    <w:qFormat/>
    <w:rsid w:val="0003236E"/>
    <w:pPr>
      <w:spacing w:before="240" w:after="120"/>
    </w:pPr>
    <w:rPr>
      <w:rFonts w:ascii="Times New Roman" w:hAnsi="Times New Roman"/>
      <w:b/>
      <w:sz w:val="32"/>
    </w:rPr>
  </w:style>
  <w:style w:type="paragraph" w:customStyle="1" w:styleId="Heading2TOC">
    <w:name w:val="Heading2 TOC"/>
    <w:basedOn w:val="Normal"/>
    <w:qFormat/>
    <w:rsid w:val="0003236E"/>
    <w:pPr>
      <w:spacing w:before="240" w:after="60"/>
    </w:pPr>
    <w:rPr>
      <w:rFonts w:ascii="Times New Roman" w:hAnsi="Times New Roman"/>
      <w:b/>
      <w:sz w:val="28"/>
    </w:rPr>
  </w:style>
  <w:style w:type="character" w:customStyle="1" w:styleId="Underline">
    <w:name w:val="Underline"/>
    <w:basedOn w:val="DefaultParagraphFont"/>
    <w:qFormat/>
    <w:rsid w:val="0003236E"/>
    <w:rPr>
      <w:u w:val="single"/>
    </w:rPr>
  </w:style>
  <w:style w:type="character" w:customStyle="1" w:styleId="BoldandItalics">
    <w:name w:val="Bold and Italics"/>
    <w:qFormat/>
    <w:rsid w:val="0003236E"/>
    <w:rPr>
      <w:b/>
      <w:i/>
      <w:u w:val="none"/>
    </w:rPr>
  </w:style>
  <w:style w:type="paragraph" w:styleId="BalloonText">
    <w:name w:val="Balloon Text"/>
    <w:basedOn w:val="Normal"/>
    <w:link w:val="BalloonTextChar"/>
    <w:rsid w:val="0003236E"/>
    <w:rPr>
      <w:rFonts w:ascii="Tahoma" w:hAnsi="Tahoma" w:cs="Tahoma"/>
      <w:sz w:val="16"/>
      <w:szCs w:val="16"/>
    </w:rPr>
  </w:style>
  <w:style w:type="character" w:customStyle="1" w:styleId="BalloonTextChar">
    <w:name w:val="Balloon Text Char"/>
    <w:basedOn w:val="DefaultParagraphFont"/>
    <w:link w:val="BalloonText"/>
    <w:rsid w:val="000323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23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23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1472</Words>
  <Characters>9266</Characters>
  <Application>Microsoft Office Word</Application>
  <DocSecurity>0</DocSecurity>
  <Lines>334</Lines>
  <Paragraphs>176</Paragraphs>
  <ScaleCrop>false</ScaleCrop>
  <Company>Author-it Software Corporation Ltd.</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MEM21001A Replace watch batteries, capacitors and bands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