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6B8" w:rsidP="008D66B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MEM19027A Produce life drawings for presenting jewellery and object designs</w:t>
      </w:r>
      <w:r>
        <w:fldChar w:fldCharType="end"/>
      </w:r>
    </w:p>
    <w:p w:rsidR="008D66B8" w:rsidP="008D66B8">
      <w:pPr>
        <w:pStyle w:val="Version"/>
        <w:sectPr w:rsidSect="00EE4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D6C" w:rsidP="00EE4D6C">
      <w:pPr>
        <w:pStyle w:val="SuperHeading"/>
      </w:pPr>
      <w:r w:rsidRPr="00EE4D6C">
        <w:t>MEM19027A Produce life drawings for presenting jewellery and object designs</w:t>
      </w:r>
    </w:p>
    <w:p w:rsidR="00000000" w:rsidRPr="00EE4D6C" w:rsidP="00EE4D6C">
      <w:pPr>
        <w:pStyle w:val="Heading1"/>
      </w:pPr>
      <w:bookmarkStart w:id="1" w:name="O_340886"/>
      <w:bookmarkEnd w:id="1"/>
      <w:r w:rsidRPr="00EE4D6C">
        <w:t>Modification History</w:t>
      </w:r>
    </w:p>
    <w:p w:rsidR="00000000" w:rsidRPr="00EE4D6C" w:rsidP="00EE4D6C">
      <w:pPr>
        <w:pStyle w:val="BodyText"/>
      </w:pPr>
      <w:r w:rsidRPr="00EE4D6C">
        <w:t>Not applicable.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2" w:name="O_340887"/>
      <w:bookmarkEnd w:id="2"/>
      <w:r w:rsidRPr="00EE4D6C">
        <w:t>Unit Descriptor</w:t>
      </w:r>
    </w:p>
    <w:p w:rsidR="00000000" w:rsidRPr="00EE4D6C" w:rsidP="00EE4D6C">
      <w:pPr>
        <w:pStyle w:val="BodyText"/>
      </w:pPr>
      <w:r w:rsidRPr="00EE4D6C">
        <w:t>This</w:t>
      </w:r>
      <w:r w:rsidRPr="00EE4D6C">
        <w:t xml:space="preserve"> unit of competency covers the skill and knowledge required to produce drawings which present jewellery and object designs on the human figure in a manner which demonstrates design features.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3" w:name="O_340888"/>
      <w:bookmarkEnd w:id="3"/>
      <w:r w:rsidRPr="00EE4D6C">
        <w:t>Application of the Unit</w:t>
      </w:r>
    </w:p>
    <w:p w:rsidR="00000000" w:rsidRPr="00EE4D6C" w:rsidP="00EE4D6C">
      <w:pPr>
        <w:pStyle w:val="BodyText"/>
      </w:pPr>
      <w:r w:rsidRPr="00EE4D6C">
        <w:t>This unit applies to jew</w:t>
      </w:r>
      <w:r w:rsidRPr="00EE4D6C">
        <w:t>ellery and object designers who are using drawings to explore and demonstrate the relationship of jewellery and objects with the human figure. It includes application of a range of drawing techniques and media and production of hand drawn representations f</w:t>
      </w:r>
      <w:r w:rsidRPr="00EE4D6C">
        <w:t>rom a life model.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4" w:name="O_340889"/>
      <w:bookmarkEnd w:id="4"/>
      <w:r w:rsidRPr="00EE4D6C">
        <w:t>Licensing/Regulatory Information</w:t>
      </w:r>
    </w:p>
    <w:p w:rsidR="00000000" w:rsidRPr="00EE4D6C" w:rsidP="00EE4D6C">
      <w:pPr>
        <w:pStyle w:val="BodyText"/>
      </w:pPr>
      <w:r w:rsidRPr="00EE4D6C">
        <w:t>Not applicable.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5" w:name="O_340890"/>
      <w:bookmarkEnd w:id="5"/>
      <w:r w:rsidRPr="00EE4D6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6"/>
        <w:gridCol w:w="5262"/>
      </w:tblGrid>
      <w:tr w:rsidTr="00EE4D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MEM19023A</w:t>
            </w:r>
          </w:p>
        </w:tc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Apply drawing and rendering techniques to jewellery or object design</w:t>
            </w:r>
          </w:p>
        </w:tc>
      </w:tr>
    </w:tbl>
    <w:p w:rsidR="00000000" w:rsidRPr="00EE4D6C" w:rsidP="00EE4D6C">
      <w:pPr>
        <w:pStyle w:val="BodyText"/>
      </w:pP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6" w:name="O_340891"/>
      <w:bookmarkEnd w:id="6"/>
      <w:r w:rsidRPr="00EE4D6C">
        <w:t>Employability Skills Information</w:t>
      </w:r>
    </w:p>
    <w:p w:rsidR="00000000" w:rsidRPr="00EE4D6C" w:rsidP="00EE4D6C">
      <w:pPr>
        <w:pStyle w:val="BodyText"/>
      </w:pPr>
      <w:r w:rsidRPr="00EE4D6C">
        <w:t>This unit contains employability skills.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7" w:name="O_340892"/>
      <w:bookmarkEnd w:id="7"/>
      <w:r w:rsidRPr="00EE4D6C">
        <w:t>Elements and Performance Criteria Pre-Content</w:t>
      </w:r>
    </w:p>
    <w:p w:rsidR="00000000" w:rsidRPr="00EE4D6C" w:rsidP="00EE4D6C">
      <w:pPr>
        <w:pStyle w:val="BodyText"/>
      </w:pPr>
      <w:r w:rsidRPr="00EE4D6C">
        <w:t>Not applicable.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8" w:name="O_340893"/>
      <w:bookmarkEnd w:id="8"/>
      <w:r w:rsidRPr="00EE4D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14"/>
        <w:gridCol w:w="2248"/>
        <w:gridCol w:w="473"/>
        <w:gridCol w:w="6061"/>
      </w:tblGrid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Prepare for drawing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Select and prepare drawing tools for drawing and establis</w:t>
            </w:r>
            <w:r w:rsidRPr="00EE4D6C">
              <w:t>h drawing position for desired perspective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Prepare life model to achieve desired lighting, angle and position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 xml:space="preserve">Examine model to assess features, such as shape, shading, dimension and perspective 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Assess th</w:t>
            </w:r>
            <w:r w:rsidRPr="00EE4D6C">
              <w:t>e total figure in regard to totality of figure and consider gesture, flowing lines, proportion and structure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Draw the human figure from life model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 xml:space="preserve">Apply drawing techniques to draw expressive human figure 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Apply elements of design to show gesture, rhythm and movement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Apply drawing techniques to achieve structure, proportion and balance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 xml:space="preserve">Represent head, hands and feet in illustration with focus on detail 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Explore relationship of jewellery and objects with human form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Experiment with a variety of media, materials and techniques to represent jewellery and objects on the human form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Analyse the effects of different representations and their strengths and limitations in presenting jewellery and objects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Analyse the relationship of jewellery and objects to the human form and demonstrate relationship through drawings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Present je</w:t>
            </w:r>
            <w:r w:rsidRPr="00EE4D6C">
              <w:t>wellery or objects on the human form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Select media, materials and techniques for presenting specific pieces of jewellery or object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 xml:space="preserve">Complete life drawing with jewellery or object 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Present drawing and identify key features and elements demonstrated</w:t>
            </w:r>
          </w:p>
        </w:tc>
      </w:tr>
      <w:tr w:rsidTr="008D6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Seek and integrate feedback on drawing</w:t>
            </w:r>
          </w:p>
        </w:tc>
      </w:tr>
    </w:tbl>
    <w:p w:rsidR="00000000" w:rsidRPr="00EE4D6C" w:rsidP="00EE4D6C">
      <w:pPr>
        <w:pStyle w:val="BodyText"/>
      </w:pP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9" w:name="O_340894"/>
      <w:bookmarkEnd w:id="9"/>
      <w:r w:rsidRPr="00EE4D6C">
        <w:t>Required Skills and Knowledge</w:t>
      </w:r>
    </w:p>
    <w:p w:rsidR="00000000" w:rsidRPr="00EE4D6C" w:rsidP="00EE4D6C">
      <w:pPr>
        <w:pStyle w:val="BodyText"/>
      </w:pP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EE4D6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Required knowledge includes:</w:t>
            </w:r>
          </w:p>
          <w:p w:rsidR="00000000" w:rsidRPr="00EE4D6C" w:rsidP="00EE4D6C">
            <w:pPr>
              <w:pStyle w:val="ListBullet"/>
            </w:pPr>
            <w:r w:rsidRPr="00EE4D6C">
              <w:t>types and characteristics of media, materials and drawing surfaces</w:t>
            </w:r>
          </w:p>
          <w:p w:rsidR="00000000" w:rsidRPr="00EE4D6C" w:rsidP="00EE4D6C">
            <w:pPr>
              <w:pStyle w:val="ListBullet"/>
            </w:pPr>
            <w:r w:rsidRPr="00EE4D6C">
              <w:t>drawing equipment and applications, storage and maintenance</w:t>
            </w:r>
          </w:p>
          <w:p w:rsidR="00000000" w:rsidRPr="00EE4D6C" w:rsidP="00EE4D6C">
            <w:pPr>
              <w:pStyle w:val="ListBullet"/>
            </w:pPr>
            <w:r w:rsidRPr="00EE4D6C">
              <w:t>role of shape, plane and volume in drawing and rendering</w:t>
            </w:r>
          </w:p>
          <w:p w:rsidR="00000000" w:rsidRPr="00EE4D6C" w:rsidP="00EE4D6C">
            <w:pPr>
              <w:pStyle w:val="ListBullet"/>
            </w:pPr>
            <w:r w:rsidRPr="00EE4D6C">
              <w:t>elements and principles of design</w:t>
            </w:r>
          </w:p>
          <w:p w:rsidR="00000000" w:rsidRPr="00EE4D6C" w:rsidP="00EE4D6C">
            <w:pPr>
              <w:pStyle w:val="ListBullet"/>
            </w:pPr>
            <w:r w:rsidRPr="00EE4D6C">
              <w:t xml:space="preserve">features and effects of materials and </w:t>
            </w:r>
            <w:r w:rsidRPr="00EE4D6C">
              <w:t>forms used in jewellery and object designs</w:t>
            </w:r>
          </w:p>
          <w:p w:rsidR="00000000" w:rsidRPr="00EE4D6C" w:rsidP="00EE4D6C">
            <w:pPr>
              <w:pStyle w:val="ListBullet"/>
            </w:pPr>
            <w:r w:rsidRPr="00EE4D6C">
              <w:t>mathematical procedures for estimation and measurement</w:t>
            </w:r>
          </w:p>
          <w:p w:rsidR="00000000" w:rsidRPr="00EE4D6C" w:rsidP="00EE4D6C">
            <w:pPr>
              <w:pStyle w:val="ListBullet"/>
            </w:pPr>
            <w:r w:rsidRPr="00EE4D6C">
              <w:t>2D and 3D drawing techniques</w:t>
            </w:r>
          </w:p>
          <w:p w:rsidR="00000000" w:rsidRPr="00EE4D6C" w:rsidP="00EE4D6C">
            <w:pPr>
              <w:pStyle w:val="ListBullet"/>
            </w:pPr>
            <w:r w:rsidRPr="00EE4D6C">
              <w:t>occupational health and safety (OHS) requirements</w:t>
            </w:r>
          </w:p>
          <w:p w:rsidR="00000000" w:rsidRPr="00EE4D6C" w:rsidP="00EE4D6C">
            <w:pPr>
              <w:pStyle w:val="BodyText"/>
            </w:pPr>
            <w:r w:rsidRPr="00EE4D6C">
              <w:t>Required skills include:</w:t>
            </w:r>
          </w:p>
          <w:p w:rsidR="00000000" w:rsidRPr="00EE4D6C" w:rsidP="00EE4D6C">
            <w:pPr>
              <w:pStyle w:val="ListBullet"/>
            </w:pPr>
            <w:r w:rsidRPr="00EE4D6C">
              <w:t>applying a range of hand drawing techniques, such as line drawing, gesture drawing and contour drawing</w:t>
            </w:r>
          </w:p>
          <w:p w:rsidR="00000000" w:rsidRPr="00EE4D6C" w:rsidP="00EE4D6C">
            <w:pPr>
              <w:pStyle w:val="ListBullet"/>
            </w:pPr>
            <w:r w:rsidRPr="00EE4D6C">
              <w:t>interpreting and representing</w:t>
            </w:r>
          </w:p>
          <w:p w:rsidR="00000000" w:rsidRPr="00EE4D6C" w:rsidP="00EE4D6C">
            <w:pPr>
              <w:pStyle w:val="ListBullet"/>
            </w:pPr>
            <w:r w:rsidRPr="00EE4D6C">
              <w:t>exploring, selecting and manipulating of a range of media, materials and drawing styles</w:t>
            </w:r>
          </w:p>
          <w:p w:rsidR="00000000" w:rsidRPr="00EE4D6C" w:rsidP="00EE4D6C">
            <w:pPr>
              <w:pStyle w:val="ListBullet"/>
            </w:pPr>
            <w:r w:rsidRPr="00EE4D6C">
              <w:t>using shape, plane and volume in dr</w:t>
            </w:r>
            <w:r w:rsidRPr="00EE4D6C">
              <w:t>awing and rendering</w:t>
            </w:r>
          </w:p>
          <w:p w:rsidR="00000000" w:rsidRPr="00EE4D6C" w:rsidP="00EE4D6C">
            <w:pPr>
              <w:pStyle w:val="ListBullet"/>
            </w:pPr>
            <w:r w:rsidRPr="00EE4D6C">
              <w:t>creating texture in drawing (real and implied)</w:t>
            </w:r>
          </w:p>
          <w:p w:rsidR="00000000" w:rsidRPr="00EE4D6C" w:rsidP="00EE4D6C">
            <w:pPr>
              <w:pStyle w:val="ListBullet"/>
            </w:pPr>
            <w:r w:rsidRPr="00EE4D6C">
              <w:t>applying black and white and coloured rendering techniques</w:t>
            </w:r>
          </w:p>
          <w:p w:rsidR="00000000" w:rsidRPr="00EE4D6C" w:rsidP="00EE4D6C">
            <w:pPr>
              <w:pStyle w:val="ListBullet"/>
            </w:pPr>
            <w:r w:rsidRPr="00EE4D6C">
              <w:t>applying composition techniques</w:t>
            </w:r>
          </w:p>
          <w:p w:rsidR="00000000" w:rsidRPr="00EE4D6C" w:rsidP="00EE4D6C">
            <w:pPr>
              <w:pStyle w:val="ListBullet"/>
            </w:pPr>
            <w:r w:rsidRPr="00EE4D6C">
              <w:t>using rendering applications and techniques and tools for the creation of illustration effects</w:t>
            </w:r>
          </w:p>
          <w:p w:rsidR="00000000" w:rsidRPr="00EE4D6C" w:rsidP="00EE4D6C">
            <w:pPr>
              <w:pStyle w:val="ListBullet"/>
            </w:pPr>
            <w:r w:rsidRPr="00EE4D6C">
              <w:t>exp</w:t>
            </w:r>
            <w:r w:rsidRPr="00EE4D6C">
              <w:t>ressing self through intuitive and expressive drawing</w:t>
            </w:r>
          </w:p>
        </w:tc>
      </w:tr>
    </w:tbl>
    <w:p w:rsidR="008D66B8" w:rsidP="00EE4D6C">
      <w:pPr>
        <w:pStyle w:val="BodyText"/>
      </w:pPr>
    </w:p>
    <w:p w:rsidR="008D66B8" w:rsidP="00EE4D6C">
      <w:pPr>
        <w:pStyle w:val="BodyText"/>
      </w:pPr>
    </w:p>
    <w:p w:rsidR="00000000" w:rsidRPr="00EE4D6C" w:rsidP="00EE4D6C">
      <w:pPr>
        <w:pStyle w:val="Heading1"/>
      </w:pPr>
      <w:bookmarkStart w:id="10" w:name="O_340895"/>
      <w:bookmarkEnd w:id="10"/>
      <w:r w:rsidRPr="00EE4D6C">
        <w:t>Evidence Guide</w:t>
      </w:r>
    </w:p>
    <w:tbl>
      <w:tblPr>
        <w:tblW w:w="96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7"/>
        <w:gridCol w:w="6741"/>
      </w:tblGrid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Overview of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t xml:space="preserve">A person who demonstrates competency in this unit must be able to apply a range of drawing techniques to illustrate perspectives and features </w:t>
            </w:r>
            <w:r w:rsidRPr="00EE4D6C">
              <w:t>of jewellery or object designs in relationship with the human form.</w:t>
            </w:r>
          </w:p>
        </w:tc>
      </w:tr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Assessors must be satisfied that the candidate can competently and consistently:</w:t>
            </w:r>
          </w:p>
          <w:p w:rsidR="00000000" w:rsidRPr="00EE4D6C" w:rsidP="00EE4D6C">
            <w:pPr>
              <w:pStyle w:val="ListBullet"/>
            </w:pPr>
            <w:r w:rsidRPr="00EE4D6C">
              <w:t>demonstrate analytical, observational and imaginative drawing techniques to represent features of jewellery or object designs on the human figure</w:t>
            </w:r>
          </w:p>
          <w:p w:rsidR="00000000" w:rsidRPr="00EE4D6C" w:rsidP="00EE4D6C">
            <w:pPr>
              <w:pStyle w:val="ListBullet"/>
            </w:pPr>
            <w:r w:rsidRPr="00EE4D6C">
              <w:t>produce expressive figure drawings from life model</w:t>
            </w:r>
          </w:p>
          <w:p w:rsidR="00000000" w:rsidP="00EE4D6C">
            <w:pPr>
              <w:pStyle w:val="ListBullet"/>
              <w:rPr>
                <w:lang w:val="en-NZ"/>
              </w:rPr>
            </w:pPr>
            <w:r w:rsidRPr="00EE4D6C">
              <w:t xml:space="preserve">use drawing tools, materials and techniques to communicate </w:t>
            </w:r>
            <w:r w:rsidRPr="00EE4D6C">
              <w:t>relationship of jewellery and objects to the human form.</w:t>
            </w:r>
          </w:p>
        </w:tc>
      </w:tr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ListBullet"/>
            </w:pPr>
            <w:r w:rsidRPr="00EE4D6C">
              <w:t>This unit may be assessed on the job, off the job or a combination of both on and off the job.</w:t>
            </w:r>
          </w:p>
          <w:p w:rsidR="00000000" w:rsidRPr="00EE4D6C" w:rsidP="00EE4D6C">
            <w:pPr>
              <w:pStyle w:val="ListBullet"/>
            </w:pPr>
            <w:r w:rsidRPr="00EE4D6C">
              <w:t>Where applicable, reasonable adjustment must be made t</w:t>
            </w:r>
            <w:r w:rsidRPr="00EE4D6C">
              <w:t>o work environments and training situations to accommodate ethnicity, age, gender, demographics and disability.</w:t>
            </w:r>
          </w:p>
          <w:p w:rsidR="00000000" w:rsidP="00EE4D6C">
            <w:pPr>
              <w:pStyle w:val="ListBullet"/>
              <w:rPr>
                <w:lang w:val="en-NZ"/>
              </w:rPr>
            </w:pPr>
            <w:r w:rsidRPr="00EE4D6C">
              <w:t>Access must be provided to appropriate learning and/or assessment support when required. Where applicable, physical resources should include equ</w:t>
            </w:r>
            <w:r w:rsidRPr="00EE4D6C">
              <w:t>ipment modified for people with disabilities.</w:t>
            </w:r>
          </w:p>
        </w:tc>
      </w:tr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Method of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ListBullet"/>
            </w:pPr>
            <w:r w:rsidRPr="00EE4D6C">
              <w:t>Assessment must satisfy the endorsed Assessment Guidelines of the MEM05 Metal and Engineering Training Package.</w:t>
            </w:r>
          </w:p>
          <w:p w:rsidR="00000000" w:rsidRPr="00EE4D6C" w:rsidP="00EE4D6C">
            <w:pPr>
              <w:pStyle w:val="ListBullet"/>
            </w:pPr>
            <w:r w:rsidRPr="00EE4D6C">
              <w:t>Assessment methods must confirm consistency and accuracy of performance (ove</w:t>
            </w:r>
            <w:r w:rsidRPr="00EE4D6C">
              <w:t>r time and in a range of workplace relevant contexts) together with application of underpinning knowledge.</w:t>
            </w:r>
          </w:p>
          <w:p w:rsidR="00000000" w:rsidRPr="00EE4D6C" w:rsidP="00EE4D6C">
            <w:pPr>
              <w:pStyle w:val="ListBullet"/>
            </w:pPr>
            <w:r w:rsidRPr="00EE4D6C">
              <w:t xml:space="preserve">Assessment methods must be by direct observation of tasks and include questioning on underpinning knowledge to ensure its correct interpretation and </w:t>
            </w:r>
            <w:r w:rsidRPr="00EE4D6C">
              <w:t>application.</w:t>
            </w:r>
          </w:p>
          <w:p w:rsidR="00000000" w:rsidRPr="00EE4D6C" w:rsidP="00EE4D6C">
            <w:pPr>
              <w:pStyle w:val="ListBullet"/>
            </w:pPr>
            <w:r w:rsidRPr="00EE4D6C">
              <w:t>Assessment may be applied under project-related conditions (real or simulated) and require evidence of process.</w:t>
            </w:r>
          </w:p>
          <w:p w:rsidR="00000000" w:rsidRPr="00EE4D6C" w:rsidP="00EE4D6C">
            <w:pPr>
              <w:pStyle w:val="ListBullet"/>
            </w:pPr>
            <w:r w:rsidRPr="00EE4D6C">
              <w:t xml:space="preserve">Assessment must confirm a reasonable inference that competency is able not only to be satisfied under the particular circumstance, </w:t>
            </w:r>
            <w:r w:rsidRPr="00EE4D6C">
              <w:t>but is able to be transferred to other circumstances.</w:t>
            </w:r>
          </w:p>
          <w:p w:rsidR="00000000" w:rsidP="00EE4D6C">
            <w:pPr>
              <w:pStyle w:val="ListBullet"/>
              <w:rPr>
                <w:lang w:val="en-NZ"/>
              </w:rPr>
            </w:pPr>
            <w:r w:rsidRPr="00EE4D6C">
              <w:t>Assessment may be in conjunction with assessment of other units of competency where required.</w:t>
            </w:r>
          </w:p>
        </w:tc>
      </w:tr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Guidance information for assessment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EE4D6C" w:rsidP="00EE4D6C">
      <w:pPr>
        <w:pStyle w:val="BodyText"/>
      </w:pP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11" w:name="O_340896"/>
      <w:bookmarkEnd w:id="11"/>
      <w:r w:rsidRPr="00EE4D6C">
        <w:t>Range Statement</w:t>
      </w:r>
    </w:p>
    <w:tbl>
      <w:tblPr>
        <w:tblW w:w="96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63"/>
        <w:gridCol w:w="5845"/>
      </w:tblGrid>
      <w:tr w:rsidTr="00EE4D6C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D6C">
            <w:pPr>
              <w:pStyle w:val="BodyText"/>
              <w:rPr>
                <w:lang w:val="en-NZ"/>
              </w:rPr>
            </w:pPr>
            <w:r w:rsidRPr="00EE4D6C">
              <w:rPr>
                <w:rStyle w:val="SpecialBold"/>
              </w:rPr>
              <w:t>Media, materials and drawing materials</w:t>
            </w:r>
          </w:p>
        </w:tc>
        <w:tc>
          <w:tcPr>
            <w:tcW w:w="5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D6C" w:rsidP="00EE4D6C">
            <w:pPr>
              <w:pStyle w:val="BodyText"/>
            </w:pPr>
            <w:r w:rsidRPr="00EE4D6C">
              <w:t>Media, materia</w:t>
            </w:r>
            <w:r w:rsidRPr="00EE4D6C">
              <w:t>ls and drawing materials may include:</w:t>
            </w:r>
          </w:p>
          <w:p w:rsidR="00000000" w:rsidRPr="00EE4D6C" w:rsidP="00EE4D6C">
            <w:pPr>
              <w:pStyle w:val="ListBullet"/>
            </w:pPr>
            <w:r w:rsidRPr="00EE4D6C">
              <w:t>pencils</w:t>
            </w:r>
          </w:p>
          <w:p w:rsidR="00000000" w:rsidRPr="00EE4D6C" w:rsidP="00EE4D6C">
            <w:pPr>
              <w:pStyle w:val="ListBullet"/>
            </w:pPr>
            <w:r w:rsidRPr="00EE4D6C">
              <w:t>ink (brush, pen and wash)</w:t>
            </w:r>
          </w:p>
          <w:p w:rsidR="00000000" w:rsidRPr="00EE4D6C" w:rsidP="00EE4D6C">
            <w:pPr>
              <w:pStyle w:val="ListBullet"/>
            </w:pPr>
            <w:r w:rsidRPr="00EE4D6C">
              <w:t>charcoal (natural and compressed)</w:t>
            </w:r>
          </w:p>
          <w:p w:rsidR="00000000" w:rsidRPr="00EE4D6C" w:rsidP="00EE4D6C">
            <w:pPr>
              <w:pStyle w:val="ListBullet"/>
            </w:pPr>
            <w:r w:rsidRPr="00EE4D6C">
              <w:t>conte</w:t>
            </w:r>
          </w:p>
          <w:p w:rsidR="00000000" w:rsidRPr="00EE4D6C" w:rsidP="00EE4D6C">
            <w:pPr>
              <w:pStyle w:val="ListBullet"/>
            </w:pPr>
            <w:r w:rsidRPr="00EE4D6C">
              <w:t>crayons</w:t>
            </w:r>
          </w:p>
          <w:p w:rsidR="00000000" w:rsidRPr="00EE4D6C" w:rsidP="00EE4D6C">
            <w:pPr>
              <w:pStyle w:val="ListBullet"/>
            </w:pPr>
            <w:r w:rsidRPr="00EE4D6C">
              <w:t>gouache</w:t>
            </w:r>
          </w:p>
          <w:p w:rsidR="00000000" w:rsidRPr="00EE4D6C" w:rsidP="00EE4D6C">
            <w:pPr>
              <w:pStyle w:val="ListBullet"/>
            </w:pPr>
            <w:r w:rsidRPr="00EE4D6C">
              <w:t>coloured pencils</w:t>
            </w:r>
          </w:p>
          <w:p w:rsidR="00000000" w:rsidRPr="00EE4D6C" w:rsidP="00EE4D6C">
            <w:pPr>
              <w:pStyle w:val="ListBullet"/>
            </w:pPr>
            <w:r w:rsidRPr="00EE4D6C">
              <w:t>felt tip markers</w:t>
            </w:r>
          </w:p>
          <w:p w:rsidR="00000000" w:rsidRPr="00EE4D6C" w:rsidP="00EE4D6C">
            <w:pPr>
              <w:pStyle w:val="ListBullet"/>
            </w:pPr>
            <w:r w:rsidRPr="00EE4D6C">
              <w:t>paper (a range of weights, textures and colours)</w:t>
            </w:r>
          </w:p>
          <w:p w:rsidR="00000000" w:rsidRPr="00EE4D6C" w:rsidP="00EE4D6C">
            <w:pPr>
              <w:pStyle w:val="ListBullet"/>
            </w:pPr>
            <w:r w:rsidRPr="00EE4D6C">
              <w:t>collage</w:t>
            </w:r>
          </w:p>
          <w:p w:rsidR="00000000" w:rsidRPr="00EE4D6C" w:rsidP="00EE4D6C">
            <w:pPr>
              <w:pStyle w:val="ListBullet"/>
            </w:pPr>
            <w:r w:rsidRPr="00EE4D6C">
              <w:t>paints</w:t>
            </w:r>
          </w:p>
          <w:p w:rsidR="00000000" w:rsidRPr="00EE4D6C" w:rsidP="00EE4D6C">
            <w:pPr>
              <w:pStyle w:val="ListBullet"/>
            </w:pPr>
            <w:r w:rsidRPr="00EE4D6C">
              <w:t>multimedia</w:t>
            </w:r>
          </w:p>
        </w:tc>
      </w:tr>
    </w:tbl>
    <w:p w:rsidR="00000000" w:rsidRPr="00EE4D6C" w:rsidP="00EE4D6C">
      <w:pPr>
        <w:pStyle w:val="BodyText"/>
      </w:pP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12" w:name="O_340897"/>
      <w:bookmarkEnd w:id="12"/>
      <w:r w:rsidRPr="00EE4D6C">
        <w:t>Unit Sector(s)</w:t>
      </w:r>
    </w:p>
    <w:p w:rsidR="00000000" w:rsidRPr="00EE4D6C" w:rsidP="00EE4D6C">
      <w:pPr>
        <w:pStyle w:val="BodyText"/>
      </w:pPr>
      <w:r w:rsidRPr="00EE4D6C">
        <w:t>Jewellery and horological</w:t>
      </w:r>
    </w:p>
    <w:p w:rsidR="00000000" w:rsidRPr="00EE4D6C" w:rsidP="00EE4D6C">
      <w:pPr>
        <w:pStyle w:val="AllowPageBreak"/>
      </w:pPr>
    </w:p>
    <w:p w:rsidR="00000000" w:rsidRPr="00EE4D6C" w:rsidP="00EE4D6C">
      <w:pPr>
        <w:pStyle w:val="Heading1"/>
      </w:pPr>
      <w:bookmarkStart w:id="13" w:name="O_340898"/>
      <w:bookmarkEnd w:id="13"/>
      <w:r w:rsidRPr="00EE4D6C">
        <w:t>Custom Content Section</w:t>
      </w:r>
    </w:p>
    <w:p w:rsidR="00000000" w:rsidRPr="00EE4D6C" w:rsidP="00EE4D6C">
      <w:pPr>
        <w:pStyle w:val="BodyText"/>
      </w:pPr>
      <w:r w:rsidRPr="00EE4D6C">
        <w:t>Not applicable.</w:t>
      </w:r>
    </w:p>
    <w:p w:rsidR="00000000" w:rsidRPr="00EE4D6C" w:rsidP="00EE4D6C"/>
    <w:sectPr w:rsidSect="00EE4D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D66B8" w:rsidP="008D66B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B8" w:rsidP="00EE4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6B8" w:rsidP="00EE4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D66B8" w:rsidP="00EE4D6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D6C" w:rsidRPr="008D66B8" w:rsidP="008D66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6B8" w:rsidRPr="002D2AF8" w:rsidP="00EE4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MEM19027A Produce life drawings for presenting jewellery and object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8D66B8" w:rsidP="00EE4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344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D6C"/>
  </w:style>
  <w:style w:type="character" w:customStyle="1" w:styleId="Heading1Char">
    <w:name w:val="Heading 1 Char"/>
    <w:basedOn w:val="DefaultParagraphFont"/>
    <w:link w:val="Heading1"/>
    <w:rsid w:val="00EE4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D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D6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E4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D6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E4D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D6C"/>
    <w:rPr>
      <w:b/>
      <w:spacing w:val="0"/>
    </w:rPr>
  </w:style>
  <w:style w:type="paragraph" w:customStyle="1" w:styleId="SuperHeading">
    <w:name w:val="SuperHeading"/>
    <w:basedOn w:val="Normal"/>
    <w:rsid w:val="00EE4D6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E4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E4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D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D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D6C"/>
    <w:rPr>
      <w:i/>
    </w:rPr>
  </w:style>
  <w:style w:type="paragraph" w:styleId="Caption">
    <w:name w:val="caption"/>
    <w:basedOn w:val="BodyText"/>
    <w:next w:val="Normal"/>
    <w:qFormat/>
    <w:rsid w:val="00EE4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D6C"/>
  </w:style>
  <w:style w:type="paragraph" w:styleId="TableofFigures">
    <w:name w:val="table of figures"/>
    <w:basedOn w:val="Normal"/>
    <w:next w:val="Normal"/>
    <w:semiHidden/>
    <w:rsid w:val="00EE4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D6C"/>
    <w:pPr>
      <w:numPr>
        <w:numId w:val="10"/>
      </w:numPr>
    </w:pPr>
  </w:style>
  <w:style w:type="character" w:customStyle="1" w:styleId="WingdingSymbols">
    <w:name w:val="Wingding Symbols"/>
    <w:rsid w:val="00EE4D6C"/>
    <w:rPr>
      <w:rFonts w:ascii="Wingdings" w:hAnsi="Wingdings"/>
    </w:rPr>
  </w:style>
  <w:style w:type="paragraph" w:customStyle="1" w:styleId="TableHeading">
    <w:name w:val="Table Heading"/>
    <w:basedOn w:val="HeadingBase"/>
    <w:rsid w:val="00EE4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D6C"/>
    <w:rPr>
      <w:color w:val="0033CC"/>
      <w:u w:val="none"/>
    </w:rPr>
  </w:style>
  <w:style w:type="paragraph" w:customStyle="1" w:styleId="BodyTextRight">
    <w:name w:val="Body Text Right"/>
    <w:basedOn w:val="BodyText"/>
    <w:rsid w:val="00EE4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D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D6C"/>
    <w:rPr>
      <w:sz w:val="32"/>
    </w:rPr>
  </w:style>
  <w:style w:type="paragraph" w:customStyle="1" w:styleId="HeadingProcedure">
    <w:name w:val="Heading Procedure"/>
    <w:basedOn w:val="HeadingBase"/>
    <w:next w:val="Normal"/>
    <w:rsid w:val="00EE4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D6C"/>
    <w:pPr>
      <w:spacing w:before="60" w:after="60"/>
    </w:pPr>
  </w:style>
  <w:style w:type="paragraph" w:styleId="ListContinue">
    <w:name w:val="List Continue"/>
    <w:basedOn w:val="List"/>
    <w:rsid w:val="00EE4D6C"/>
    <w:pPr>
      <w:ind w:firstLine="0"/>
    </w:pPr>
  </w:style>
  <w:style w:type="paragraph" w:customStyle="1" w:styleId="ListNote">
    <w:name w:val="List Note"/>
    <w:basedOn w:val="List"/>
    <w:rsid w:val="00EE4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D6C"/>
    <w:rPr>
      <w:rFonts w:ascii="Courier New" w:hAnsi="Courier New"/>
    </w:rPr>
  </w:style>
  <w:style w:type="paragraph" w:customStyle="1" w:styleId="NoteBullet">
    <w:name w:val="Note Bullet"/>
    <w:basedOn w:val="Note"/>
    <w:rsid w:val="00EE4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D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D6C"/>
    <w:rPr>
      <w:b/>
      <w:smallCaps/>
    </w:rPr>
  </w:style>
  <w:style w:type="paragraph" w:customStyle="1" w:styleId="TableListNumber">
    <w:name w:val="Table List Number"/>
    <w:basedOn w:val="ListNumber"/>
    <w:rsid w:val="00EE4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D6C"/>
    <w:pPr>
      <w:numPr>
        <w:numId w:val="8"/>
      </w:numPr>
    </w:pPr>
  </w:style>
  <w:style w:type="paragraph" w:customStyle="1" w:styleId="ListAlpha2">
    <w:name w:val="List Alpha 2"/>
    <w:basedOn w:val="List2"/>
    <w:rsid w:val="00EE4D6C"/>
    <w:pPr>
      <w:numPr>
        <w:numId w:val="7"/>
      </w:numPr>
    </w:pPr>
  </w:style>
  <w:style w:type="paragraph" w:styleId="List2">
    <w:name w:val="List 2"/>
    <w:basedOn w:val="BodyText"/>
    <w:rsid w:val="00EE4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D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D6C"/>
    <w:pPr>
      <w:numPr>
        <w:numId w:val="2"/>
      </w:numPr>
    </w:pPr>
  </w:style>
  <w:style w:type="paragraph" w:styleId="ListBullet5">
    <w:name w:val="List Bullet 5"/>
    <w:basedOn w:val="List5"/>
    <w:rsid w:val="00EE4D6C"/>
    <w:pPr>
      <w:numPr>
        <w:numId w:val="3"/>
      </w:numPr>
    </w:pPr>
  </w:style>
  <w:style w:type="paragraph" w:styleId="ListContinue2">
    <w:name w:val="List Continue 2"/>
    <w:basedOn w:val="List2"/>
    <w:rsid w:val="00EE4D6C"/>
    <w:pPr>
      <w:ind w:firstLine="0"/>
    </w:pPr>
  </w:style>
  <w:style w:type="paragraph" w:styleId="ListContinue3">
    <w:name w:val="List Continue 3"/>
    <w:basedOn w:val="List3"/>
    <w:rsid w:val="00EE4D6C"/>
    <w:pPr>
      <w:ind w:left="1021" w:firstLine="0"/>
    </w:pPr>
  </w:style>
  <w:style w:type="paragraph" w:styleId="ListContinue4">
    <w:name w:val="List Continue 4"/>
    <w:basedOn w:val="List4"/>
    <w:rsid w:val="00EE4D6C"/>
    <w:pPr>
      <w:ind w:firstLine="0"/>
    </w:pPr>
  </w:style>
  <w:style w:type="paragraph" w:styleId="ListContinue5">
    <w:name w:val="List Continue 5"/>
    <w:basedOn w:val="List5"/>
    <w:rsid w:val="00EE4D6C"/>
    <w:pPr>
      <w:ind w:firstLine="0"/>
    </w:pPr>
  </w:style>
  <w:style w:type="paragraph" w:styleId="ListNumber3">
    <w:name w:val="List Number 3"/>
    <w:basedOn w:val="List3"/>
    <w:rsid w:val="00EE4D6C"/>
    <w:pPr>
      <w:numPr>
        <w:numId w:val="4"/>
      </w:numPr>
    </w:pPr>
  </w:style>
  <w:style w:type="paragraph" w:styleId="ListNumber4">
    <w:name w:val="List Number 4"/>
    <w:basedOn w:val="List4"/>
    <w:rsid w:val="00EE4D6C"/>
    <w:pPr>
      <w:numPr>
        <w:numId w:val="5"/>
      </w:numPr>
    </w:pPr>
  </w:style>
  <w:style w:type="paragraph" w:styleId="ListNumber5">
    <w:name w:val="List Number 5"/>
    <w:basedOn w:val="List5"/>
    <w:rsid w:val="00EE4D6C"/>
    <w:pPr>
      <w:numPr>
        <w:numId w:val="6"/>
      </w:numPr>
    </w:pPr>
  </w:style>
  <w:style w:type="paragraph" w:styleId="BlockText">
    <w:name w:val="Block Text"/>
    <w:basedOn w:val="Normal"/>
    <w:rsid w:val="00EE4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D6C"/>
    <w:rPr>
      <w:sz w:val="16"/>
      <w:vertAlign w:val="superscript"/>
    </w:rPr>
  </w:style>
  <w:style w:type="character" w:customStyle="1" w:styleId="Symbols">
    <w:name w:val="Symbols"/>
    <w:basedOn w:val="DefaultParagraphFont"/>
    <w:rsid w:val="00EE4D6C"/>
    <w:rPr>
      <w:rFonts w:ascii="Symbol" w:hAnsi="Symbol"/>
    </w:rPr>
  </w:style>
  <w:style w:type="character" w:customStyle="1" w:styleId="MenuOptions">
    <w:name w:val="Menu Options"/>
    <w:basedOn w:val="DefaultParagraphFont"/>
    <w:rsid w:val="00EE4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D6C"/>
    <w:rPr>
      <w:b/>
    </w:rPr>
  </w:style>
  <w:style w:type="character" w:customStyle="1" w:styleId="Underlined">
    <w:name w:val="Underlined"/>
    <w:basedOn w:val="DefaultParagraphFont"/>
    <w:rsid w:val="00EE4D6C"/>
    <w:rPr>
      <w:u w:val="single"/>
    </w:rPr>
  </w:style>
  <w:style w:type="paragraph" w:customStyle="1" w:styleId="TableBodyTextRight">
    <w:name w:val="Table Body Text Right"/>
    <w:basedOn w:val="TableBodyText"/>
    <w:rsid w:val="00EE4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D6C"/>
    <w:rPr>
      <w:sz w:val="18"/>
    </w:rPr>
  </w:style>
  <w:style w:type="paragraph" w:customStyle="1" w:styleId="BodySmallRight">
    <w:name w:val="Body Small Right"/>
    <w:basedOn w:val="BodyTextRight"/>
    <w:rsid w:val="00EE4D6C"/>
    <w:rPr>
      <w:sz w:val="18"/>
      <w:szCs w:val="18"/>
    </w:rPr>
  </w:style>
  <w:style w:type="paragraph" w:customStyle="1" w:styleId="MarginEdition">
    <w:name w:val="Margin Edition"/>
    <w:basedOn w:val="MarginNote"/>
    <w:rsid w:val="00EE4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D6C"/>
    <w:rPr>
      <w:sz w:val="2"/>
      <w:szCs w:val="2"/>
    </w:rPr>
  </w:style>
  <w:style w:type="character" w:customStyle="1" w:styleId="Small">
    <w:name w:val="Small"/>
    <w:basedOn w:val="DefaultParagraphFont"/>
    <w:rsid w:val="00EE4D6C"/>
    <w:rPr>
      <w:sz w:val="16"/>
    </w:rPr>
  </w:style>
  <w:style w:type="paragraph" w:customStyle="1" w:styleId="WideTable">
    <w:name w:val="Wide Table"/>
    <w:basedOn w:val="Normal"/>
    <w:rsid w:val="00EE4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D6C"/>
  </w:style>
  <w:style w:type="paragraph" w:styleId="Quote">
    <w:name w:val="Quote"/>
    <w:basedOn w:val="Heading1"/>
    <w:link w:val="QuoteChar"/>
    <w:qFormat/>
    <w:rsid w:val="00EE4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D6C"/>
    <w:pPr>
      <w:pageBreakBefore/>
    </w:pPr>
  </w:style>
  <w:style w:type="paragraph" w:customStyle="1" w:styleId="Border">
    <w:name w:val="Border"/>
    <w:basedOn w:val="Normal"/>
    <w:qFormat/>
    <w:rsid w:val="00EE4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D6C"/>
    <w:rPr>
      <w:u w:val="single"/>
    </w:rPr>
  </w:style>
  <w:style w:type="character" w:customStyle="1" w:styleId="BoldandItalics">
    <w:name w:val="Bold and Italics"/>
    <w:qFormat/>
    <w:rsid w:val="00EE4D6C"/>
    <w:rPr>
      <w:b/>
      <w:i/>
      <w:u w:val="none"/>
    </w:rPr>
  </w:style>
  <w:style w:type="paragraph" w:styleId="BalloonText">
    <w:name w:val="Balloon Text"/>
    <w:basedOn w:val="Normal"/>
    <w:link w:val="BalloonTextChar"/>
    <w:rsid w:val="00EE4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D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D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5422</Characters>
  <Application>Microsoft Office Word</Application>
  <DocSecurity>0</DocSecurity>
  <Lines>214</Lines>
  <Paragraphs>117</Paragraphs>
  <ScaleCrop>false</ScaleCrop>
  <Company>Author-it Software Corporation Ltd.</Company>
  <LinksUpToDate>false</LinksUpToDate>
  <CharactersWithSpaces>6248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MEM19027A Produce life drawings for presenting jewellery and object designs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2012-10-05T12:25:00Z</dcterms:created>
  <dcterms:modified xsi:type="dcterms:W3CDTF">2012-10-05T12:25:00Z</dcterms:modified>
</cp:coreProperties>
</file>