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5B6C" w:rsidP="00155B6C">
      <w:pPr>
        <w:pStyle w:val="Title"/>
      </w:pPr>
      <w:r>
        <w:fldChar w:fldCharType="begin"/>
      </w:r>
      <w:r>
        <w:instrText xml:space="preserve"> TITLE   \* MERGEFORMAT </w:instrText>
      </w:r>
      <w:r>
        <w:fldChar w:fldCharType="separate"/>
      </w:r>
      <w:r>
        <w:t>MEM19026A Investigate quality and application of jewellery materials</w:t>
      </w:r>
      <w:r>
        <w:fldChar w:fldCharType="end"/>
      </w:r>
    </w:p>
    <w:p w:rsidR="00155B6C" w:rsidP="00155B6C">
      <w:pPr>
        <w:pStyle w:val="Version"/>
        <w:sectPr w:rsidSect="003A3F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3FD1" w:rsidP="003A3FD1">
      <w:pPr>
        <w:pStyle w:val="SuperHeading"/>
      </w:pPr>
      <w:r w:rsidRPr="003A3FD1">
        <w:t>MEM19026A Investigate quality and application of jewellery materials</w:t>
      </w:r>
    </w:p>
    <w:p w:rsidR="00000000" w:rsidRPr="003A3FD1" w:rsidP="003A3FD1">
      <w:pPr>
        <w:pStyle w:val="Heading1"/>
      </w:pPr>
      <w:bookmarkStart w:id="1" w:name="O_340871"/>
      <w:bookmarkEnd w:id="1"/>
      <w:r w:rsidRPr="003A3FD1">
        <w:t>Modification History</w:t>
      </w:r>
    </w:p>
    <w:p w:rsidR="00000000" w:rsidRPr="003A3FD1" w:rsidP="003A3FD1">
      <w:pPr>
        <w:pStyle w:val="BodyText"/>
      </w:pPr>
      <w:r w:rsidRPr="003A3FD1">
        <w:t>Not applicable.</w:t>
      </w:r>
    </w:p>
    <w:p w:rsidR="00000000" w:rsidRPr="003A3FD1" w:rsidP="003A3FD1">
      <w:pPr>
        <w:pStyle w:val="AllowPageBreak"/>
      </w:pPr>
    </w:p>
    <w:p w:rsidR="00000000" w:rsidRPr="003A3FD1" w:rsidP="003A3FD1">
      <w:pPr>
        <w:pStyle w:val="Heading1"/>
      </w:pPr>
      <w:bookmarkStart w:id="2" w:name="O_340872"/>
      <w:bookmarkEnd w:id="2"/>
      <w:r w:rsidRPr="003A3FD1">
        <w:t>Unit Descriptor</w:t>
      </w:r>
    </w:p>
    <w:p w:rsidR="00000000" w:rsidRPr="003A3FD1" w:rsidP="003A3FD1">
      <w:pPr>
        <w:pStyle w:val="BodyText"/>
      </w:pPr>
      <w:r w:rsidRPr="003A3FD1">
        <w:t>This unit of competency covers the skills and knowledge required to investigate the quality of ma</w:t>
      </w:r>
      <w:r w:rsidRPr="003A3FD1">
        <w:t xml:space="preserve">terials used in jewellery construction and their applications in order to inform design and production. It includes conducting research into materials and selecting materials according to construction and design requirements. </w:t>
      </w:r>
    </w:p>
    <w:p w:rsidR="00000000" w:rsidRPr="003A3FD1" w:rsidP="003A3FD1">
      <w:pPr>
        <w:pStyle w:val="AllowPageBreak"/>
      </w:pPr>
    </w:p>
    <w:p w:rsidR="00000000" w:rsidRPr="003A3FD1" w:rsidP="003A3FD1">
      <w:pPr>
        <w:pStyle w:val="Heading1"/>
      </w:pPr>
      <w:bookmarkStart w:id="3" w:name="O_340873"/>
      <w:bookmarkEnd w:id="3"/>
      <w:r w:rsidRPr="003A3FD1">
        <w:t xml:space="preserve">Application </w:t>
      </w:r>
      <w:r w:rsidRPr="003A3FD1">
        <w:t>of the Unit</w:t>
      </w:r>
    </w:p>
    <w:p w:rsidR="00000000" w:rsidRPr="003A3FD1" w:rsidP="003A3FD1">
      <w:pPr>
        <w:pStyle w:val="BodyText"/>
      </w:pPr>
      <w:r w:rsidRPr="003A3FD1">
        <w:t>This unit applies to those involved in jewellery construction as makers and/or designers who require a working knowledge of the benefits and limitations of materials used. It includes recognition of quality assessment processes and industry sta</w:t>
      </w:r>
      <w:r w:rsidRPr="003A3FD1">
        <w:t>ndardisation in order to identify quality of materials. Materials may also be used in construction of decorative objects.</w:t>
      </w:r>
    </w:p>
    <w:p w:rsidR="00000000" w:rsidRPr="003A3FD1" w:rsidP="003A3FD1">
      <w:pPr>
        <w:pStyle w:val="BodyText"/>
      </w:pPr>
    </w:p>
    <w:p w:rsidR="00000000" w:rsidRPr="003A3FD1" w:rsidP="003A3FD1">
      <w:pPr>
        <w:pStyle w:val="BodyText"/>
      </w:pPr>
      <w:r w:rsidRPr="003A3FD1">
        <w:rPr>
          <w:rStyle w:val="SpecialBold"/>
        </w:rPr>
        <w:t xml:space="preserve">Band </w:t>
      </w:r>
      <w:r w:rsidRPr="003A3FD1">
        <w:rPr>
          <w:rStyle w:val="SpecialBold"/>
        </w:rPr>
        <w:tab/>
        <w:t>A</w:t>
      </w:r>
    </w:p>
    <w:p w:rsidR="00000000" w:rsidRPr="003A3FD1" w:rsidP="003A3FD1">
      <w:pPr>
        <w:pStyle w:val="BodyText"/>
      </w:pPr>
      <w:r w:rsidRPr="003A3FD1">
        <w:rPr>
          <w:rStyle w:val="SpecialBold"/>
        </w:rPr>
        <w:t>Unit Weight   2</w:t>
      </w:r>
    </w:p>
    <w:p w:rsidR="00000000" w:rsidRPr="003A3FD1" w:rsidP="003A3FD1">
      <w:pPr>
        <w:pStyle w:val="AllowPageBreak"/>
      </w:pPr>
    </w:p>
    <w:p w:rsidR="00000000" w:rsidRPr="003A3FD1" w:rsidP="003A3FD1">
      <w:pPr>
        <w:pStyle w:val="Heading1"/>
      </w:pPr>
      <w:bookmarkStart w:id="4" w:name="O_340874"/>
      <w:bookmarkEnd w:id="4"/>
      <w:r w:rsidRPr="003A3FD1">
        <w:t>Licensing/Regulatory Information</w:t>
      </w:r>
    </w:p>
    <w:p w:rsidR="00000000" w:rsidRPr="003A3FD1" w:rsidP="003A3FD1">
      <w:pPr>
        <w:pStyle w:val="BodyText"/>
      </w:pPr>
      <w:r w:rsidRPr="003A3FD1">
        <w:t>Not applicable.</w:t>
      </w:r>
    </w:p>
    <w:p w:rsidR="00000000" w:rsidRPr="003A3FD1" w:rsidP="003A3FD1">
      <w:pPr>
        <w:pStyle w:val="AllowPageBreak"/>
      </w:pPr>
    </w:p>
    <w:p w:rsidR="00000000" w:rsidRPr="003A3FD1" w:rsidP="003A3FD1">
      <w:pPr>
        <w:pStyle w:val="Heading1"/>
      </w:pPr>
      <w:bookmarkStart w:id="5" w:name="O_340875"/>
      <w:bookmarkEnd w:id="5"/>
      <w:r w:rsidRPr="003A3FD1">
        <w:t>Pre-Requisites</w:t>
      </w:r>
    </w:p>
    <w:p w:rsidR="00000000" w:rsidRPr="003A3FD1" w:rsidP="003A3FD1">
      <w:pPr>
        <w:pStyle w:val="BodyText"/>
      </w:pPr>
      <w:r w:rsidRPr="003A3FD1">
        <w:t>Not applicable.</w:t>
      </w:r>
    </w:p>
    <w:p w:rsidR="00000000" w:rsidRPr="003A3FD1" w:rsidP="003A3FD1">
      <w:pPr>
        <w:pStyle w:val="AllowPageBreak"/>
      </w:pPr>
    </w:p>
    <w:p w:rsidR="00000000" w:rsidRPr="003A3FD1" w:rsidP="003A3FD1">
      <w:pPr>
        <w:pStyle w:val="Heading1"/>
      </w:pPr>
      <w:bookmarkStart w:id="6" w:name="O_340876"/>
      <w:bookmarkEnd w:id="6"/>
      <w:r w:rsidRPr="003A3FD1">
        <w:t>Employability Skills Information</w:t>
      </w:r>
    </w:p>
    <w:p w:rsidR="00000000" w:rsidRPr="003A3FD1" w:rsidP="003A3FD1">
      <w:pPr>
        <w:pStyle w:val="BodyText"/>
      </w:pPr>
      <w:r w:rsidRPr="003A3FD1">
        <w:t>This unit contains employability skills.</w:t>
      </w:r>
    </w:p>
    <w:p w:rsidR="00000000" w:rsidRPr="003A3FD1" w:rsidP="003A3FD1">
      <w:pPr>
        <w:pStyle w:val="AllowPageBreak"/>
      </w:pPr>
    </w:p>
    <w:p w:rsidR="00000000" w:rsidRPr="003A3FD1" w:rsidP="003A3FD1">
      <w:pPr>
        <w:pStyle w:val="Heading1"/>
      </w:pPr>
      <w:bookmarkStart w:id="7" w:name="O_340877"/>
      <w:bookmarkEnd w:id="7"/>
      <w:r w:rsidRPr="003A3FD1">
        <w:t>Elements and Performance Criteria Pre-Content</w:t>
      </w:r>
    </w:p>
    <w:p w:rsidR="00000000" w:rsidRPr="003A3FD1" w:rsidP="003A3FD1">
      <w:pPr>
        <w:pStyle w:val="BodyText"/>
      </w:pPr>
      <w:r w:rsidRPr="003A3FD1">
        <w:t>Not applicable.</w:t>
      </w:r>
    </w:p>
    <w:p w:rsidR="00000000" w:rsidRPr="003A3FD1" w:rsidP="003A3FD1">
      <w:pPr>
        <w:pStyle w:val="AllowPageBreak"/>
      </w:pPr>
    </w:p>
    <w:p w:rsidR="00000000" w:rsidRPr="003A3FD1" w:rsidP="003A3FD1">
      <w:pPr>
        <w:pStyle w:val="Heading1"/>
      </w:pPr>
      <w:bookmarkStart w:id="8" w:name="O_340878"/>
      <w:bookmarkEnd w:id="8"/>
      <w:r w:rsidRPr="003A3FD1">
        <w:t>Elements and Performance Criteria</w:t>
      </w:r>
    </w:p>
    <w:tbl>
      <w:tblPr>
        <w:tblW w:w="0" w:type="auto"/>
        <w:tblCellMar>
          <w:left w:w="62" w:type="dxa"/>
          <w:right w:w="62" w:type="dxa"/>
        </w:tblCellMar>
        <w:tblLook w:val="0000"/>
      </w:tblPr>
      <w:tblGrid>
        <w:gridCol w:w="514"/>
        <w:gridCol w:w="2508"/>
        <w:gridCol w:w="643"/>
        <w:gridCol w:w="5531"/>
      </w:tblGrid>
      <w:tr w:rsidTr="00155B6C">
        <w:tblPrEx>
          <w:tblW w:w="0" w:type="auto"/>
          <w:tblCellMar>
            <w:left w:w="62" w:type="dxa"/>
            <w:right w:w="62" w:type="dxa"/>
          </w:tblCellMar>
          <w:tblLook w:val="0000"/>
        </w:tblPrEx>
        <w:trPr>
          <w:trHeight w:val="550"/>
        </w:trPr>
        <w:tc>
          <w:tcPr>
            <w:tcW w:w="0" w:type="auto"/>
            <w:vMerge w:val="restart"/>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1</w:t>
            </w:r>
          </w:p>
        </w:tc>
        <w:tc>
          <w:tcPr>
            <w:tcW w:w="0" w:type="auto"/>
            <w:vMerge w:val="restart"/>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Research jeweller</w:t>
            </w:r>
            <w:r w:rsidRPr="003A3FD1">
              <w:t xml:space="preserve">y materials </w:t>
            </w: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1.1</w:t>
            </w: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 xml:space="preserve">Identify materials typically used in jewellery construction and their range of uses </w:t>
            </w:r>
          </w:p>
        </w:tc>
      </w:tr>
      <w:tr w:rsidTr="00155B6C">
        <w:tblPrEx>
          <w:tblW w:w="0" w:type="auto"/>
          <w:tblCellMar>
            <w:left w:w="62" w:type="dxa"/>
            <w:right w:w="62" w:type="dxa"/>
          </w:tblCellMar>
          <w:tblLook w:val="0000"/>
        </w:tblPrEx>
        <w:trPr>
          <w:trHeight w:val="547"/>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1.2</w:t>
            </w: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 xml:space="preserve">Identify information sources and specialist expertise available to confirm uses and quality of materials </w:t>
            </w:r>
          </w:p>
        </w:tc>
      </w:tr>
      <w:tr w:rsidTr="00155B6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1.3</w:t>
            </w: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 xml:space="preserve">Identify source/origin of materials and processes involved in extraction or development and known environmental impacts </w:t>
            </w:r>
          </w:p>
        </w:tc>
      </w:tr>
      <w:tr w:rsidTr="00155B6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1.4</w:t>
            </w: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 xml:space="preserve">Identify recovery and recycling opportunities for materials used in jewellery </w:t>
            </w:r>
          </w:p>
        </w:tc>
      </w:tr>
      <w:tr w:rsidTr="00155B6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1.5</w:t>
            </w: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Assess risk factors in using materials for various jewellery applications</w:t>
            </w:r>
          </w:p>
        </w:tc>
      </w:tr>
      <w:tr w:rsidTr="00155B6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1.6</w:t>
            </w: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Select materials for construction of jewellery according to design, work and quality requirements</w:t>
            </w:r>
          </w:p>
        </w:tc>
      </w:tr>
      <w:tr w:rsidTr="00155B6C">
        <w:tblPrEx>
          <w:tblW w:w="0" w:type="auto"/>
          <w:tblCellMar>
            <w:left w:w="62" w:type="dxa"/>
            <w:right w:w="62" w:type="dxa"/>
          </w:tblCellMar>
          <w:tblLook w:val="0000"/>
        </w:tblPrEx>
        <w:trPr>
          <w:trHeight w:val="465"/>
        </w:trPr>
        <w:tc>
          <w:tcPr>
            <w:tcW w:w="0" w:type="auto"/>
            <w:vMerge w:val="restart"/>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2</w:t>
            </w:r>
          </w:p>
        </w:tc>
        <w:tc>
          <w:tcPr>
            <w:tcW w:w="0" w:type="auto"/>
            <w:vMerge w:val="restart"/>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Apply knowledge of metals to jewellery construction</w:t>
            </w: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2.1</w:t>
            </w: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Describe the quali</w:t>
            </w:r>
            <w:r w:rsidRPr="003A3FD1">
              <w:t xml:space="preserve">ties, features, limitations and working characteristics of different metals used in jewellery </w:t>
            </w:r>
          </w:p>
        </w:tc>
      </w:tr>
      <w:tr w:rsidTr="00155B6C">
        <w:tblPrEx>
          <w:tblW w:w="0" w:type="auto"/>
          <w:tblCellMar>
            <w:left w:w="62" w:type="dxa"/>
            <w:right w:w="62" w:type="dxa"/>
          </w:tblCellMar>
          <w:tblLook w:val="0000"/>
        </w:tblPrEx>
        <w:trPr>
          <w:trHeight w:val="465"/>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2.2</w:t>
            </w: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Describe industry standards of purity for precious metals and the marking system used to identify grade of quality</w:t>
            </w:r>
          </w:p>
        </w:tc>
      </w:tr>
      <w:tr w:rsidTr="00155B6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2.3</w:t>
            </w: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Describe the process of making metal alloys and impact of mix on final properties</w:t>
            </w:r>
          </w:p>
        </w:tc>
      </w:tr>
      <w:tr w:rsidTr="00155B6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2.4</w:t>
            </w: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Conduct basic tests to assess purity of metal</w:t>
            </w:r>
          </w:p>
        </w:tc>
      </w:tr>
      <w:tr w:rsidTr="00155B6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2.5</w:t>
            </w: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 xml:space="preserve">Determine costing implications of using metals of various purity in jewellery </w:t>
            </w:r>
          </w:p>
        </w:tc>
      </w:tr>
      <w:tr w:rsidTr="00155B6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2.6</w:t>
            </w: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Select metals for construction of jewellery according to design, work and quality requirements</w:t>
            </w:r>
          </w:p>
        </w:tc>
      </w:tr>
      <w:tr w:rsidTr="00155B6C">
        <w:tblPrEx>
          <w:tblW w:w="0" w:type="auto"/>
          <w:tblCellMar>
            <w:left w:w="62" w:type="dxa"/>
            <w:right w:w="62" w:type="dxa"/>
          </w:tblCellMar>
          <w:tblLook w:val="0000"/>
        </w:tblPrEx>
        <w:trPr>
          <w:trHeight w:val="438"/>
        </w:trPr>
        <w:tc>
          <w:tcPr>
            <w:tcW w:w="0" w:type="auto"/>
            <w:vMerge w:val="restart"/>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3</w:t>
            </w:r>
          </w:p>
        </w:tc>
        <w:tc>
          <w:tcPr>
            <w:tcW w:w="0" w:type="auto"/>
            <w:vMerge w:val="restart"/>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 xml:space="preserve">Apply knowledge of gemstones to jewellery construction </w:t>
            </w: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3.1</w:t>
            </w: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Identify types of gemstones and their key characteristics</w:t>
            </w:r>
          </w:p>
        </w:tc>
      </w:tr>
      <w:tr w:rsidTr="00155B6C">
        <w:tblPrEx>
          <w:tblW w:w="0" w:type="auto"/>
          <w:tblCellMar>
            <w:left w:w="62" w:type="dxa"/>
            <w:right w:w="62" w:type="dxa"/>
          </w:tblCellMar>
          <w:tblLook w:val="0000"/>
        </w:tblPrEx>
        <w:trPr>
          <w:trHeight w:val="432"/>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3.2</w:t>
            </w: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 xml:space="preserve">Identify processes used to determine quality of gemstones and interpret industry standards </w:t>
            </w:r>
          </w:p>
        </w:tc>
      </w:tr>
      <w:tr w:rsidTr="00155B6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3.3</w:t>
            </w: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Identify range of facet cuts used on gems and range of applications in jewellery design</w:t>
            </w:r>
          </w:p>
        </w:tc>
      </w:tr>
      <w:tr w:rsidTr="00155B6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3.4</w:t>
            </w: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Identify techniques used to enhance lower quality gemstones</w:t>
            </w:r>
          </w:p>
        </w:tc>
      </w:tr>
      <w:tr w:rsidTr="00155B6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3.5</w:t>
            </w: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 xml:space="preserve">Determine costing implications of using various gemstones in jewellery </w:t>
            </w:r>
          </w:p>
        </w:tc>
      </w:tr>
      <w:tr w:rsidTr="00155B6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3.6</w:t>
            </w: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Identify requirements for handling and cleaning gemstones</w:t>
            </w:r>
          </w:p>
        </w:tc>
      </w:tr>
      <w:tr w:rsidTr="00155B6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3.7</w:t>
            </w: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Select gems for construction of jewellery according to design, work and quality requirements</w:t>
            </w:r>
          </w:p>
        </w:tc>
      </w:tr>
      <w:tr w:rsidTr="00155B6C">
        <w:tblPrEx>
          <w:tblW w:w="0" w:type="auto"/>
          <w:tblCellMar>
            <w:left w:w="62" w:type="dxa"/>
            <w:right w:w="62" w:type="dxa"/>
          </w:tblCellMar>
          <w:tblLook w:val="0000"/>
        </w:tblPrEx>
        <w:trPr>
          <w:trHeight w:val="570"/>
        </w:trPr>
        <w:tc>
          <w:tcPr>
            <w:tcW w:w="0" w:type="auto"/>
            <w:vMerge w:val="restart"/>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4</w:t>
            </w:r>
          </w:p>
        </w:tc>
        <w:tc>
          <w:tcPr>
            <w:tcW w:w="0" w:type="auto"/>
            <w:vMerge w:val="restart"/>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 xml:space="preserve">Apply safe work practices in handling materials </w:t>
            </w: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4.1</w:t>
            </w: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Conduct risk assessment for materials and processes to be used in construction</w:t>
            </w:r>
          </w:p>
        </w:tc>
      </w:tr>
      <w:tr w:rsidTr="00155B6C">
        <w:tblPrEx>
          <w:tblW w:w="0" w:type="auto"/>
          <w:tblCellMar>
            <w:left w:w="62" w:type="dxa"/>
            <w:right w:w="62" w:type="dxa"/>
          </w:tblCellMar>
          <w:tblLook w:val="0000"/>
        </w:tblPrEx>
        <w:trPr>
          <w:trHeight w:val="570"/>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4.2</w:t>
            </w: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Identify characteristics of chemicals and hazardous materials used in construction and ensure workplace safety proced</w:t>
            </w:r>
            <w:r w:rsidRPr="003A3FD1">
              <w:t>ures are applied</w:t>
            </w:r>
          </w:p>
        </w:tc>
      </w:tr>
      <w:tr w:rsidTr="00155B6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4.3</w:t>
            </w: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Access, interpret and apply material safety data sheets (MSDS) and labelling information</w:t>
            </w:r>
          </w:p>
        </w:tc>
      </w:tr>
      <w:tr w:rsidTr="00155B6C">
        <w:tblPrEx>
          <w:tblW w:w="0" w:type="auto"/>
          <w:tblCellMar>
            <w:left w:w="62" w:type="dxa"/>
            <w:right w:w="62" w:type="dxa"/>
          </w:tblCellMar>
          <w:tblLook w:val="0000"/>
        </w:tblPrEx>
        <w:trPr>
          <w:trHeight w:val="570"/>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A3FD1">
            <w:pPr>
              <w:pStyle w:val="BodyText"/>
              <w:rPr>
                <w:lang w:val="en-NZ"/>
              </w:rPr>
            </w:pPr>
            <w:r w:rsidRPr="003A3FD1">
              <w:t>4.4</w:t>
            </w:r>
          </w:p>
        </w:tc>
        <w:tc>
          <w:tcPr>
            <w:tcW w:w="0" w:type="auto"/>
            <w:tcBorders>
              <w:top w:val="nil"/>
              <w:left w:val="nil"/>
              <w:bottom w:val="nil"/>
              <w:right w:val="nil"/>
            </w:tcBorders>
            <w:tcMar>
              <w:top w:w="0" w:type="dxa"/>
              <w:left w:w="62" w:type="dxa"/>
              <w:bottom w:w="0" w:type="dxa"/>
              <w:right w:w="62" w:type="dxa"/>
            </w:tcMar>
          </w:tcPr>
          <w:p w:rsidR="00000000" w:rsidRPr="003A3FD1" w:rsidP="003A3FD1">
            <w:pPr>
              <w:pStyle w:val="BodyText"/>
            </w:pPr>
            <w:r w:rsidRPr="003A3FD1">
              <w:t>Use protective equipment required for handling and manipulating materials</w:t>
            </w:r>
          </w:p>
        </w:tc>
      </w:tr>
    </w:tbl>
    <w:p w:rsidR="00155B6C" w:rsidP="003A3FD1">
      <w:pPr>
        <w:pStyle w:val="BodyText"/>
      </w:pPr>
    </w:p>
    <w:p w:rsidR="00155B6C" w:rsidP="003A3FD1">
      <w:pPr>
        <w:pStyle w:val="BodyText"/>
      </w:pPr>
    </w:p>
    <w:p w:rsidR="00000000" w:rsidRPr="003A3FD1" w:rsidP="003A3FD1">
      <w:pPr>
        <w:pStyle w:val="Heading1"/>
      </w:pPr>
      <w:bookmarkStart w:id="9" w:name="O_340879"/>
      <w:bookmarkEnd w:id="9"/>
      <w:r w:rsidRPr="003A3FD1">
        <w:t>Required Skills and Knowledge</w:t>
      </w:r>
    </w:p>
    <w:p w:rsidR="00000000" w:rsidRPr="003A3FD1" w:rsidP="003A3FD1">
      <w:pPr>
        <w:pStyle w:val="BodyText"/>
      </w:pPr>
    </w:p>
    <w:tbl>
      <w:tblPr>
        <w:tblW w:w="9462" w:type="dxa"/>
        <w:tblLayout w:type="fixed"/>
        <w:tblCellMar>
          <w:left w:w="62" w:type="dxa"/>
          <w:right w:w="62" w:type="dxa"/>
        </w:tblCellMar>
        <w:tblLook w:val="0000"/>
      </w:tblPr>
      <w:tblGrid>
        <w:gridCol w:w="9462"/>
      </w:tblGrid>
      <w:tr w:rsidTr="003A3FD1">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FD1" w:rsidP="003A3FD1">
            <w:pPr>
              <w:pStyle w:val="BodyText"/>
            </w:pPr>
            <w:r w:rsidRPr="003A3FD1">
              <w:t>Required knowledge includes:</w:t>
            </w:r>
          </w:p>
          <w:p w:rsidR="00000000" w:rsidRPr="003A3FD1" w:rsidP="003A3FD1">
            <w:pPr>
              <w:pStyle w:val="ListBullet"/>
            </w:pPr>
            <w:r w:rsidRPr="003A3FD1">
              <w:t>melting points of various metals/alloys</w:t>
            </w:r>
          </w:p>
          <w:p w:rsidR="00000000" w:rsidRPr="003A3FD1" w:rsidP="003A3FD1">
            <w:pPr>
              <w:pStyle w:val="ListBullet"/>
            </w:pPr>
            <w:r w:rsidRPr="003A3FD1">
              <w:t>properties of jewellery metals</w:t>
            </w:r>
          </w:p>
          <w:p w:rsidR="00000000" w:rsidRPr="003A3FD1" w:rsidP="003A3FD1">
            <w:pPr>
              <w:pStyle w:val="ListBullet"/>
            </w:pPr>
            <w:r w:rsidRPr="003A3FD1">
              <w:t>nomenclature used in describing and identifying jewellery materials</w:t>
            </w:r>
          </w:p>
          <w:p w:rsidR="00000000" w:rsidRPr="003A3FD1" w:rsidP="003A3FD1">
            <w:pPr>
              <w:pStyle w:val="ListBullet"/>
            </w:pPr>
            <w:r w:rsidRPr="003A3FD1">
              <w:t>physical and optical properties of gem materials</w:t>
            </w:r>
          </w:p>
          <w:p w:rsidR="00000000" w:rsidRPr="003A3FD1" w:rsidP="003A3FD1">
            <w:pPr>
              <w:pStyle w:val="ListBullet"/>
            </w:pPr>
            <w:r w:rsidRPr="003A3FD1">
              <w:t>uses and characteristics of less common materials used in jewellery</w:t>
            </w:r>
          </w:p>
          <w:p w:rsidR="00000000" w:rsidRPr="003A3FD1" w:rsidP="003A3FD1">
            <w:pPr>
              <w:pStyle w:val="ListBullet"/>
            </w:pPr>
            <w:r w:rsidRPr="003A3FD1">
              <w:t>industry standards for quality of materials</w:t>
            </w:r>
          </w:p>
          <w:p w:rsidR="00000000" w:rsidRPr="003A3FD1" w:rsidP="003A3FD1">
            <w:pPr>
              <w:pStyle w:val="ListBullet"/>
            </w:pPr>
            <w:r w:rsidRPr="003A3FD1">
              <w:t>safe work practices</w:t>
            </w:r>
          </w:p>
          <w:p w:rsidR="00000000" w:rsidRPr="003A3FD1" w:rsidP="003A3FD1">
            <w:pPr>
              <w:pStyle w:val="BodyText"/>
            </w:pPr>
            <w:r w:rsidRPr="003A3FD1">
              <w:t>Required skills include:</w:t>
            </w:r>
          </w:p>
          <w:p w:rsidR="00000000" w:rsidRPr="003A3FD1" w:rsidP="003A3FD1">
            <w:pPr>
              <w:pStyle w:val="ListBullet"/>
            </w:pPr>
            <w:r w:rsidRPr="003A3FD1">
              <w:t xml:space="preserve">identifying metals and their alloys </w:t>
            </w:r>
          </w:p>
          <w:p w:rsidR="00000000" w:rsidRPr="003A3FD1" w:rsidP="003A3FD1">
            <w:pPr>
              <w:pStyle w:val="ListBullet"/>
            </w:pPr>
            <w:r w:rsidRPr="003A3FD1">
              <w:t>measuring and handling gemstones</w:t>
            </w:r>
          </w:p>
          <w:p w:rsidR="00000000" w:rsidRPr="003A3FD1" w:rsidP="003A3FD1">
            <w:pPr>
              <w:pStyle w:val="ListBullet"/>
            </w:pPr>
            <w:r w:rsidRPr="003A3FD1">
              <w:t>recognising the range of mat</w:t>
            </w:r>
            <w:r w:rsidRPr="003A3FD1">
              <w:t>erials used in jewellery</w:t>
            </w:r>
          </w:p>
          <w:p w:rsidR="00000000" w:rsidRPr="003A3FD1" w:rsidP="003A3FD1">
            <w:pPr>
              <w:pStyle w:val="ListBullet"/>
            </w:pPr>
            <w:r w:rsidRPr="003A3FD1">
              <w:t>interpreting industry technical information</w:t>
            </w:r>
          </w:p>
          <w:p w:rsidR="00000000" w:rsidRPr="003A3FD1" w:rsidP="003A3FD1">
            <w:pPr>
              <w:pStyle w:val="ListBullet"/>
            </w:pPr>
            <w:r w:rsidRPr="003A3FD1">
              <w:t>conducting research and accessing information to inform work</w:t>
            </w:r>
          </w:p>
          <w:p w:rsidR="00000000" w:rsidRPr="003A3FD1" w:rsidP="003A3FD1">
            <w:pPr>
              <w:pStyle w:val="ListBullet"/>
            </w:pPr>
            <w:r w:rsidRPr="003A3FD1">
              <w:t>applying quality standards to work</w:t>
            </w:r>
          </w:p>
          <w:p w:rsidR="00000000" w:rsidRPr="003A3FD1" w:rsidP="003A3FD1">
            <w:pPr>
              <w:pStyle w:val="ListBullet"/>
            </w:pPr>
            <w:r w:rsidRPr="003A3FD1">
              <w:t>undertaking numerical operations, geometry and calculations within the scope of the unit</w:t>
            </w:r>
          </w:p>
          <w:p w:rsidR="00000000" w:rsidRPr="003A3FD1" w:rsidP="003A3FD1">
            <w:pPr>
              <w:pStyle w:val="ListBullet"/>
            </w:pPr>
            <w:r w:rsidRPr="003A3FD1">
              <w:t>ca</w:t>
            </w:r>
            <w:r w:rsidRPr="003A3FD1">
              <w:t>rrying out work according to occupational health and safety (OHS) practices</w:t>
            </w:r>
          </w:p>
        </w:tc>
      </w:tr>
    </w:tbl>
    <w:p w:rsidR="00000000" w:rsidRPr="003A3FD1" w:rsidP="003A3FD1">
      <w:pPr>
        <w:pStyle w:val="BodyText"/>
      </w:pPr>
    </w:p>
    <w:p w:rsidR="00000000" w:rsidRPr="003A3FD1" w:rsidP="003A3FD1">
      <w:pPr>
        <w:pStyle w:val="AllowPageBreak"/>
      </w:pPr>
    </w:p>
    <w:p w:rsidR="00000000" w:rsidRPr="003A3FD1" w:rsidP="003A3FD1">
      <w:pPr>
        <w:pStyle w:val="Heading1"/>
      </w:pPr>
      <w:bookmarkStart w:id="10" w:name="O_340880"/>
      <w:bookmarkEnd w:id="10"/>
      <w:r w:rsidRPr="003A3FD1">
        <w:t>Evidence Guide</w:t>
      </w:r>
    </w:p>
    <w:tbl>
      <w:tblPr>
        <w:tblW w:w="0" w:type="auto"/>
        <w:tblCellMar>
          <w:left w:w="62" w:type="dxa"/>
          <w:right w:w="62" w:type="dxa"/>
        </w:tblCellMar>
        <w:tblLook w:val="0000"/>
      </w:tblPr>
      <w:tblGrid>
        <w:gridCol w:w="3640"/>
        <w:gridCol w:w="5556"/>
      </w:tblGrid>
      <w:tr w:rsidTr="00155B6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FD1">
            <w:pPr>
              <w:pStyle w:val="BodyText"/>
              <w:rPr>
                <w:lang w:val="en-NZ"/>
              </w:rPr>
            </w:pPr>
            <w:r w:rsidRPr="003A3FD1">
              <w:rPr>
                <w:rStyle w:val="SpecialBold"/>
              </w:rPr>
              <w:t>Overview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FD1">
            <w:pPr>
              <w:pStyle w:val="BodyText"/>
              <w:rPr>
                <w:lang w:val="en-NZ"/>
              </w:rPr>
            </w:pPr>
            <w:r w:rsidRPr="003A3FD1">
              <w:t>A person who demonstrates competency in this unit must be able to identify the features of materials used in jewellery construction and the processes used to confirm quality, and apply this knowledge in the selection and use of materials in the constructio</w:t>
            </w:r>
            <w:r w:rsidRPr="003A3FD1">
              <w:t>n of jewellery items.</w:t>
            </w:r>
          </w:p>
        </w:tc>
      </w:tr>
      <w:tr w:rsidTr="00155B6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FD1">
            <w:pPr>
              <w:pStyle w:val="BodyText"/>
              <w:rPr>
                <w:lang w:val="en-NZ"/>
              </w:rPr>
            </w:pPr>
            <w:r w:rsidRPr="003A3FD1">
              <w:rPr>
                <w:rStyle w:val="SpecialBold"/>
              </w:rPr>
              <w:t>Critical aspects for assessment and evidence required to demonstrate competency in this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FD1" w:rsidP="003A3FD1">
            <w:pPr>
              <w:pStyle w:val="BodyText"/>
            </w:pPr>
            <w:r w:rsidRPr="003A3FD1">
              <w:t>Assessors must be satisfied that the candidate can competently and consistently:</w:t>
            </w:r>
          </w:p>
          <w:p w:rsidR="00000000" w:rsidRPr="003A3FD1" w:rsidP="003A3FD1">
            <w:pPr>
              <w:pStyle w:val="ListBullet"/>
            </w:pPr>
            <w:r w:rsidRPr="003A3FD1">
              <w:t>analyse and apply industry standards and information on ma</w:t>
            </w:r>
            <w:r w:rsidRPr="003A3FD1">
              <w:t>terial quality and grades</w:t>
            </w:r>
          </w:p>
          <w:p w:rsidR="00000000" w:rsidRPr="003A3FD1" w:rsidP="003A3FD1">
            <w:pPr>
              <w:pStyle w:val="ListBullet"/>
            </w:pPr>
            <w:r w:rsidRPr="003A3FD1">
              <w:t>select materials to meet the needs of work outcomes</w:t>
            </w:r>
          </w:p>
          <w:p w:rsidR="00000000" w:rsidP="003A3FD1">
            <w:pPr>
              <w:pStyle w:val="ListBullet"/>
              <w:rPr>
                <w:lang w:val="en-NZ"/>
              </w:rPr>
            </w:pPr>
            <w:r w:rsidRPr="003A3FD1">
              <w:t>apply knowledge of metals and gemstones to work processes.</w:t>
            </w:r>
          </w:p>
        </w:tc>
      </w:tr>
      <w:tr w:rsidTr="00155B6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FD1">
            <w:pPr>
              <w:pStyle w:val="BodyText"/>
              <w:rPr>
                <w:lang w:val="en-NZ"/>
              </w:rPr>
            </w:pPr>
            <w:r w:rsidRPr="003A3FD1">
              <w:rPr>
                <w:rStyle w:val="SpecialBold"/>
              </w:rPr>
              <w:t>Context of and specific resources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FD1" w:rsidP="003A3FD1">
            <w:pPr>
              <w:pStyle w:val="ListBullet"/>
            </w:pPr>
            <w:r w:rsidRPr="003A3FD1">
              <w:t>Assessment may occur on the job or in an appropriately simulated environment. Access is required to real or appropriately simulated situations, including work areas, materials and equipment, and to information on workplace practices and OHS practices.</w:t>
            </w:r>
          </w:p>
          <w:p w:rsidR="00000000" w:rsidRPr="003A3FD1" w:rsidP="003A3FD1">
            <w:pPr>
              <w:pStyle w:val="ListBullet"/>
            </w:pPr>
            <w:r w:rsidRPr="003A3FD1">
              <w:t>Wher</w:t>
            </w:r>
            <w:r w:rsidRPr="003A3FD1">
              <w:t>e applicable, reasonable adjustment must be made to work environments and training situations to accommodate ethnicity, age, gender, demographics and disability.</w:t>
            </w:r>
          </w:p>
          <w:p w:rsidR="00000000" w:rsidP="003A3FD1">
            <w:pPr>
              <w:pStyle w:val="ListBullet"/>
              <w:rPr>
                <w:lang w:val="en-NZ"/>
              </w:rPr>
            </w:pPr>
            <w:r w:rsidRPr="003A3FD1">
              <w:t>Access must be provided to appropriate learning and/or assessment support when required. Where</w:t>
            </w:r>
            <w:r w:rsidRPr="003A3FD1">
              <w:t xml:space="preserve"> applicable, physical resources should include equipment modified for people with disabilities.</w:t>
            </w:r>
          </w:p>
        </w:tc>
      </w:tr>
      <w:tr w:rsidTr="00155B6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FD1">
            <w:pPr>
              <w:pStyle w:val="BodyText"/>
              <w:rPr>
                <w:lang w:val="en-NZ"/>
              </w:rPr>
            </w:pPr>
            <w:r w:rsidRPr="003A3FD1">
              <w:rPr>
                <w:rStyle w:val="SpecialBold"/>
              </w:rPr>
              <w:t>Method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FD1" w:rsidP="003A3FD1">
            <w:pPr>
              <w:pStyle w:val="ListBullet"/>
            </w:pPr>
            <w:r w:rsidRPr="003A3FD1">
              <w:t>Assessment must satisfy the endorsed Assessment Guidelines of the MEM05 Metal and Engineering Training Package.</w:t>
            </w:r>
          </w:p>
          <w:p w:rsidR="00000000" w:rsidRPr="003A3FD1" w:rsidP="003A3FD1">
            <w:pPr>
              <w:pStyle w:val="ListBullet"/>
            </w:pPr>
            <w:r w:rsidRPr="003A3FD1">
              <w:t>Assessment methods must c</w:t>
            </w:r>
            <w:r w:rsidRPr="003A3FD1">
              <w:t>onfirm consistency and accuracy of performance (over time and in a range of workplace relevant contexts) together with application of underpinning knowledge.</w:t>
            </w:r>
          </w:p>
          <w:p w:rsidR="00000000" w:rsidRPr="003A3FD1" w:rsidP="003A3FD1">
            <w:pPr>
              <w:pStyle w:val="ListBullet"/>
            </w:pPr>
            <w:r w:rsidRPr="003A3FD1">
              <w:t xml:space="preserve">Assessment methods must be by direct observation of tasks and include questioning on underpinning </w:t>
            </w:r>
            <w:r w:rsidRPr="003A3FD1">
              <w:t>knowledge to ensure its correct interpretation and application.</w:t>
            </w:r>
          </w:p>
          <w:p w:rsidR="00000000" w:rsidRPr="003A3FD1" w:rsidP="003A3FD1">
            <w:pPr>
              <w:pStyle w:val="ListBullet"/>
            </w:pPr>
            <w:r w:rsidRPr="003A3FD1">
              <w:t>Assessment may be applied under project-related conditions (real or simulated) and require evidence of process.</w:t>
            </w:r>
          </w:p>
          <w:p w:rsidR="00000000" w:rsidRPr="003A3FD1" w:rsidP="003A3FD1">
            <w:pPr>
              <w:pStyle w:val="ListBullet"/>
            </w:pPr>
            <w:r w:rsidRPr="003A3FD1">
              <w:t xml:space="preserve">Assessment must confirm a reasonable inference that competency is able not only </w:t>
            </w:r>
            <w:r w:rsidRPr="003A3FD1">
              <w:t>to be satisfied under the particular circumstance, but is able to be transferred to other circumstances.</w:t>
            </w:r>
          </w:p>
          <w:p w:rsidR="00000000" w:rsidP="003A3FD1">
            <w:pPr>
              <w:pStyle w:val="ListBullet"/>
              <w:rPr>
                <w:lang w:val="en-NZ"/>
              </w:rPr>
            </w:pPr>
            <w:r w:rsidRPr="003A3FD1">
              <w:t>Assessment may be in conjunction with assessment of other units of competency where required.</w:t>
            </w:r>
          </w:p>
        </w:tc>
      </w:tr>
      <w:tr w:rsidTr="00155B6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FD1">
            <w:pPr>
              <w:pStyle w:val="BodyText"/>
              <w:rPr>
                <w:lang w:val="en-NZ"/>
              </w:rPr>
            </w:pPr>
            <w:r w:rsidRPr="003A3FD1">
              <w:rPr>
                <w:rStyle w:val="SpecialBold"/>
              </w:rPr>
              <w:t>Guidance information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FD1" w:rsidP="003A3FD1">
            <w:pPr>
              <w:pStyle w:val="BodyText"/>
            </w:pPr>
            <w:r w:rsidRPr="003A3FD1">
              <w:t>Assessment processes and techniques must be culturally appropriate and appropriate to the language and literacy capacity of the candidate and the work being performed.</w:t>
            </w:r>
          </w:p>
        </w:tc>
      </w:tr>
    </w:tbl>
    <w:p w:rsidR="00155B6C" w:rsidP="003A3FD1">
      <w:pPr>
        <w:pStyle w:val="BodyText"/>
      </w:pPr>
    </w:p>
    <w:p w:rsidR="00155B6C" w:rsidP="003A3FD1">
      <w:pPr>
        <w:pStyle w:val="BodyText"/>
      </w:pPr>
    </w:p>
    <w:p w:rsidR="00000000" w:rsidRPr="003A3FD1" w:rsidP="003A3FD1">
      <w:pPr>
        <w:pStyle w:val="Heading1"/>
      </w:pPr>
      <w:bookmarkStart w:id="11" w:name="O_340881"/>
      <w:bookmarkEnd w:id="11"/>
      <w:r w:rsidRPr="003A3FD1">
        <w:t>Range Statement</w:t>
      </w:r>
    </w:p>
    <w:tbl>
      <w:tblPr>
        <w:tblW w:w="9462" w:type="dxa"/>
        <w:tblLayout w:type="fixed"/>
        <w:tblCellMar>
          <w:left w:w="62" w:type="dxa"/>
          <w:right w:w="62" w:type="dxa"/>
        </w:tblCellMar>
        <w:tblLook w:val="0000"/>
      </w:tblPr>
      <w:tblGrid>
        <w:gridCol w:w="3800"/>
        <w:gridCol w:w="5662"/>
      </w:tblGrid>
      <w:tr w:rsidTr="003A3FD1">
        <w:tblPrEx>
          <w:tblW w:w="9462" w:type="dxa"/>
          <w:tblLayout w:type="fixed"/>
          <w:tblCellMar>
            <w:left w:w="62" w:type="dxa"/>
            <w:right w:w="62" w:type="dxa"/>
          </w:tblCellMar>
          <w:tblLook w:val="0000"/>
        </w:tblPrEx>
        <w:trPr>
          <w:trHeight w:val="271"/>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FD1">
            <w:pPr>
              <w:pStyle w:val="BodyText"/>
              <w:rPr>
                <w:lang w:val="en-NZ"/>
              </w:rPr>
            </w:pPr>
            <w:r w:rsidRPr="003A3FD1">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FD1" w:rsidP="003A3FD1">
            <w:pPr>
              <w:pStyle w:val="BodyText"/>
            </w:pPr>
            <w:r w:rsidRPr="003A3FD1">
              <w:t>Materials may include:</w:t>
            </w:r>
          </w:p>
          <w:p w:rsidR="00000000" w:rsidRPr="003A3FD1" w:rsidP="003A3FD1">
            <w:pPr>
              <w:pStyle w:val="ListBullet"/>
            </w:pPr>
            <w:r w:rsidRPr="003A3FD1">
              <w:t>gemstones (e.g. di</w:t>
            </w:r>
            <w:r w:rsidRPr="003A3FD1">
              <w:t>amonds, rubies, sapphires and emeralds)</w:t>
            </w:r>
          </w:p>
          <w:p w:rsidR="00000000" w:rsidRPr="003A3FD1" w:rsidP="003A3FD1">
            <w:pPr>
              <w:pStyle w:val="ListBullet"/>
            </w:pPr>
            <w:r w:rsidRPr="003A3FD1">
              <w:t>ornamental materials (e.g. lapis lazuli and malachite)</w:t>
            </w:r>
          </w:p>
          <w:p w:rsidR="00000000" w:rsidRPr="003A3FD1" w:rsidP="003A3FD1">
            <w:pPr>
              <w:pStyle w:val="ListBullet"/>
            </w:pPr>
            <w:r w:rsidRPr="003A3FD1">
              <w:t>biological gem materials (e.g. amber, coral and ivory) and their synthetics and imitations</w:t>
            </w:r>
          </w:p>
          <w:p w:rsidR="00000000" w:rsidRPr="003A3FD1" w:rsidP="003A3FD1">
            <w:pPr>
              <w:pStyle w:val="ListBullet"/>
            </w:pPr>
            <w:r w:rsidRPr="003A3FD1">
              <w:t xml:space="preserve">rocks </w:t>
            </w:r>
          </w:p>
          <w:p w:rsidR="00000000" w:rsidRPr="003A3FD1" w:rsidP="003A3FD1">
            <w:pPr>
              <w:pStyle w:val="ListBullet"/>
            </w:pPr>
            <w:r w:rsidRPr="003A3FD1">
              <w:t>non-crystalline materials (e.g. amorphous opal)</w:t>
            </w:r>
          </w:p>
          <w:p w:rsidR="00000000" w:rsidRPr="003A3FD1" w:rsidP="003A3FD1">
            <w:pPr>
              <w:pStyle w:val="ListBullet"/>
            </w:pPr>
            <w:r w:rsidRPr="003A3FD1">
              <w:t>glass, plastic and composite stones</w:t>
            </w:r>
          </w:p>
          <w:p w:rsidR="00000000" w:rsidP="003A3FD1">
            <w:pPr>
              <w:pStyle w:val="ListBullet"/>
              <w:rPr>
                <w:lang w:val="en-NZ"/>
              </w:rPr>
            </w:pPr>
            <w:r w:rsidRPr="003A3FD1">
              <w:t>gold, silver, platinum, palladium, copper and their alloys</w:t>
            </w:r>
          </w:p>
        </w:tc>
      </w:tr>
      <w:tr w:rsidTr="003A3FD1">
        <w:tblPrEx>
          <w:tblW w:w="9462" w:type="dxa"/>
          <w:tblLayout w:type="fixed"/>
          <w:tblCellMar>
            <w:left w:w="62" w:type="dxa"/>
            <w:right w:w="62" w:type="dxa"/>
          </w:tblCellMar>
          <w:tblLook w:val="0000"/>
        </w:tblPrEx>
        <w:trPr>
          <w:trHeight w:val="1198"/>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FD1">
            <w:pPr>
              <w:pStyle w:val="BodyText"/>
              <w:rPr>
                <w:lang w:val="en-NZ"/>
              </w:rPr>
            </w:pPr>
            <w:r w:rsidRPr="003A3FD1">
              <w:rPr>
                <w:rStyle w:val="SpecialBold"/>
              </w:rPr>
              <w:t>Qualities of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FD1" w:rsidP="003A3FD1">
            <w:pPr>
              <w:pStyle w:val="BodyText"/>
            </w:pPr>
            <w:r w:rsidRPr="003A3FD1">
              <w:t>Quality of materials may include:</w:t>
            </w:r>
          </w:p>
          <w:p w:rsidR="00000000" w:rsidRPr="003A3FD1" w:rsidP="003A3FD1">
            <w:pPr>
              <w:pStyle w:val="ListBullet"/>
            </w:pPr>
            <w:r w:rsidRPr="003A3FD1">
              <w:t>malleability</w:t>
            </w:r>
          </w:p>
          <w:p w:rsidR="00000000" w:rsidRPr="003A3FD1" w:rsidP="003A3FD1">
            <w:pPr>
              <w:pStyle w:val="ListBullet"/>
            </w:pPr>
            <w:r w:rsidRPr="003A3FD1">
              <w:t>ductility</w:t>
            </w:r>
          </w:p>
          <w:p w:rsidR="00000000" w:rsidRPr="003A3FD1" w:rsidP="003A3FD1">
            <w:pPr>
              <w:pStyle w:val="ListBullet"/>
            </w:pPr>
            <w:r w:rsidRPr="003A3FD1">
              <w:t>conductivity</w:t>
            </w:r>
          </w:p>
          <w:p w:rsidR="00000000" w:rsidRPr="003A3FD1" w:rsidP="003A3FD1">
            <w:pPr>
              <w:pStyle w:val="ListBullet"/>
            </w:pPr>
            <w:r w:rsidRPr="003A3FD1">
              <w:t>strength</w:t>
            </w:r>
          </w:p>
          <w:p w:rsidR="00000000" w:rsidP="003A3FD1">
            <w:pPr>
              <w:pStyle w:val="ListBullet"/>
              <w:rPr>
                <w:lang w:val="en-NZ"/>
              </w:rPr>
            </w:pPr>
            <w:r w:rsidRPr="003A3FD1">
              <w:t>reaction to treatments and construction processes</w:t>
            </w:r>
          </w:p>
        </w:tc>
      </w:tr>
      <w:tr w:rsidTr="003A3FD1">
        <w:tblPrEx>
          <w:tblW w:w="9462" w:type="dxa"/>
          <w:tblLayout w:type="fixed"/>
          <w:tblCellMar>
            <w:left w:w="62" w:type="dxa"/>
            <w:right w:w="62" w:type="dxa"/>
          </w:tblCellMar>
          <w:tblLook w:val="0000"/>
        </w:tblPrEx>
        <w:trPr>
          <w:trHeight w:val="1465"/>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FD1">
            <w:pPr>
              <w:pStyle w:val="BodyText"/>
              <w:rPr>
                <w:lang w:val="en-NZ"/>
              </w:rPr>
            </w:pPr>
            <w:r w:rsidRPr="003A3FD1">
              <w:rPr>
                <w:rStyle w:val="SpecialBold"/>
              </w:rPr>
              <w:t>Information sources and specialist expertise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FD1" w:rsidP="003A3FD1">
            <w:pPr>
              <w:pStyle w:val="BodyText"/>
            </w:pPr>
            <w:r w:rsidRPr="003A3FD1">
              <w:t>Information sources and specialist expertise may include:</w:t>
            </w:r>
          </w:p>
          <w:p w:rsidR="00000000" w:rsidRPr="003A3FD1" w:rsidP="003A3FD1">
            <w:pPr>
              <w:pStyle w:val="ListBullet"/>
            </w:pPr>
            <w:r w:rsidRPr="003A3FD1">
              <w:t>industry associations</w:t>
            </w:r>
          </w:p>
          <w:p w:rsidR="00000000" w:rsidRPr="003A3FD1" w:rsidP="003A3FD1">
            <w:pPr>
              <w:pStyle w:val="ListBullet"/>
            </w:pPr>
            <w:r w:rsidRPr="003A3FD1">
              <w:t>Australian standards documentation</w:t>
            </w:r>
          </w:p>
          <w:p w:rsidR="00000000" w:rsidRPr="003A3FD1" w:rsidP="003A3FD1">
            <w:pPr>
              <w:pStyle w:val="ListBullet"/>
            </w:pPr>
            <w:r w:rsidRPr="003A3FD1">
              <w:t>gemmologists</w:t>
            </w:r>
          </w:p>
          <w:p w:rsidR="00000000" w:rsidRPr="003A3FD1" w:rsidP="003A3FD1">
            <w:pPr>
              <w:pStyle w:val="ListBullet"/>
            </w:pPr>
            <w:r w:rsidRPr="003A3FD1">
              <w:t>trade publications</w:t>
            </w:r>
          </w:p>
          <w:p w:rsidR="00000000" w:rsidRPr="003A3FD1" w:rsidP="003A3FD1">
            <w:pPr>
              <w:pStyle w:val="ListBullet"/>
            </w:pPr>
            <w:r w:rsidRPr="003A3FD1">
              <w:t>internet</w:t>
            </w:r>
          </w:p>
          <w:p w:rsidR="00000000" w:rsidP="003A3FD1">
            <w:pPr>
              <w:pStyle w:val="ListBullet"/>
              <w:rPr>
                <w:lang w:val="en-NZ"/>
              </w:rPr>
            </w:pPr>
            <w:r w:rsidRPr="003A3FD1">
              <w:t>suppliers</w:t>
            </w:r>
          </w:p>
        </w:tc>
      </w:tr>
      <w:tr w:rsidTr="003A3FD1">
        <w:tblPrEx>
          <w:tblW w:w="9462" w:type="dxa"/>
          <w:tblLayout w:type="fixed"/>
          <w:tblCellMar>
            <w:left w:w="62" w:type="dxa"/>
            <w:right w:w="62" w:type="dxa"/>
          </w:tblCellMar>
          <w:tblLook w:val="0000"/>
        </w:tblPrEx>
        <w:trPr>
          <w:trHeight w:val="655"/>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FD1">
            <w:pPr>
              <w:pStyle w:val="BodyText"/>
              <w:rPr>
                <w:lang w:val="en-NZ"/>
              </w:rPr>
            </w:pPr>
            <w:r w:rsidRPr="003A3FD1">
              <w:rPr>
                <w:rStyle w:val="SpecialBold"/>
              </w:rPr>
              <w:t>Types of gemstones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FD1" w:rsidP="003A3FD1">
            <w:pPr>
              <w:pStyle w:val="BodyText"/>
            </w:pPr>
            <w:r w:rsidRPr="003A3FD1">
              <w:t>Types of gemstones includes:</w:t>
            </w:r>
          </w:p>
          <w:p w:rsidR="00000000" w:rsidRPr="003A3FD1" w:rsidP="003A3FD1">
            <w:pPr>
              <w:pStyle w:val="ListBullet"/>
            </w:pPr>
            <w:r w:rsidRPr="003A3FD1">
              <w:t>diamonds</w:t>
            </w:r>
          </w:p>
          <w:p w:rsidR="00000000" w:rsidRPr="003A3FD1" w:rsidP="003A3FD1">
            <w:pPr>
              <w:pStyle w:val="ListBullet"/>
            </w:pPr>
            <w:r w:rsidRPr="003A3FD1">
              <w:t>beryl</w:t>
            </w:r>
          </w:p>
          <w:p w:rsidR="00000000" w:rsidRPr="003A3FD1" w:rsidP="003A3FD1">
            <w:pPr>
              <w:pStyle w:val="ListBullet"/>
            </w:pPr>
            <w:r w:rsidRPr="003A3FD1">
              <w:t>quartz</w:t>
            </w:r>
          </w:p>
          <w:p w:rsidR="00000000" w:rsidRPr="003A3FD1" w:rsidP="003A3FD1">
            <w:pPr>
              <w:pStyle w:val="ListBullet"/>
            </w:pPr>
            <w:r w:rsidRPr="003A3FD1">
              <w:t>agate</w:t>
            </w:r>
          </w:p>
          <w:p w:rsidR="00000000" w:rsidRPr="003A3FD1" w:rsidP="003A3FD1">
            <w:pPr>
              <w:pStyle w:val="ListBullet"/>
            </w:pPr>
            <w:r w:rsidRPr="003A3FD1">
              <w:t>opal</w:t>
            </w:r>
          </w:p>
          <w:p w:rsidR="00000000" w:rsidP="003A3FD1">
            <w:pPr>
              <w:pStyle w:val="ListBullet"/>
              <w:rPr>
                <w:lang w:val="en-NZ"/>
              </w:rPr>
            </w:pPr>
            <w:r w:rsidRPr="003A3FD1">
              <w:t>jade</w:t>
            </w:r>
          </w:p>
        </w:tc>
      </w:tr>
      <w:tr w:rsidTr="003A3F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FD1">
            <w:pPr>
              <w:pStyle w:val="BodyText"/>
              <w:rPr>
                <w:lang w:val="en-NZ"/>
              </w:rPr>
            </w:pPr>
            <w:r w:rsidRPr="003A3FD1">
              <w:rPr>
                <w:rStyle w:val="SpecialBold"/>
              </w:rPr>
              <w:t>Basic tests to assess purity of metal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FD1" w:rsidP="003A3FD1">
            <w:pPr>
              <w:pStyle w:val="BodyText"/>
            </w:pPr>
            <w:r w:rsidRPr="003A3FD1">
              <w:t>Basic tests to assess purity of metal may include:</w:t>
            </w:r>
          </w:p>
          <w:p w:rsidR="00000000" w:rsidRPr="003A3FD1" w:rsidP="003A3FD1">
            <w:pPr>
              <w:pStyle w:val="ListBullet"/>
            </w:pPr>
            <w:r w:rsidRPr="003A3FD1">
              <w:t>acid testing</w:t>
            </w:r>
          </w:p>
          <w:p w:rsidR="00000000" w:rsidRPr="003A3FD1" w:rsidP="003A3FD1">
            <w:pPr>
              <w:pStyle w:val="ListBullet"/>
            </w:pPr>
            <w:r w:rsidRPr="003A3FD1">
              <w:t>touch stone</w:t>
            </w:r>
          </w:p>
          <w:p w:rsidR="00000000" w:rsidP="003A3FD1">
            <w:pPr>
              <w:pStyle w:val="ListBullet"/>
              <w:rPr>
                <w:lang w:val="en-NZ"/>
              </w:rPr>
            </w:pPr>
            <w:r w:rsidRPr="003A3FD1">
              <w:t>electronic testing</w:t>
            </w:r>
          </w:p>
        </w:tc>
      </w:tr>
      <w:tr w:rsidTr="003A3FD1">
        <w:tblPrEx>
          <w:tblW w:w="9462" w:type="dxa"/>
          <w:tblLayout w:type="fixed"/>
          <w:tblCellMar>
            <w:left w:w="62" w:type="dxa"/>
            <w:right w:w="62" w:type="dxa"/>
          </w:tblCellMar>
          <w:tblLook w:val="0000"/>
        </w:tblPrEx>
        <w:trPr>
          <w:trHeight w:val="1465"/>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FD1">
            <w:pPr>
              <w:pStyle w:val="BodyText"/>
              <w:rPr>
                <w:lang w:val="en-NZ"/>
              </w:rPr>
            </w:pPr>
            <w:r w:rsidRPr="003A3FD1">
              <w:rPr>
                <w:rStyle w:val="SpecialBold"/>
              </w:rPr>
              <w:t>Gem characteristics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FD1" w:rsidP="003A3FD1">
            <w:pPr>
              <w:pStyle w:val="BodyText"/>
            </w:pPr>
            <w:r w:rsidRPr="003A3FD1">
              <w:t>Gem characteristics may include:</w:t>
            </w:r>
          </w:p>
          <w:p w:rsidR="00000000" w:rsidRPr="003A3FD1" w:rsidP="003A3FD1">
            <w:pPr>
              <w:pStyle w:val="ListBullet"/>
            </w:pPr>
            <w:r w:rsidRPr="003A3FD1">
              <w:t>beauty</w:t>
            </w:r>
          </w:p>
          <w:p w:rsidR="00000000" w:rsidRPr="003A3FD1" w:rsidP="003A3FD1">
            <w:pPr>
              <w:pStyle w:val="ListBullet"/>
            </w:pPr>
            <w:r w:rsidRPr="003A3FD1">
              <w:t>durability</w:t>
            </w:r>
          </w:p>
          <w:p w:rsidR="00000000" w:rsidRPr="003A3FD1" w:rsidP="003A3FD1">
            <w:pPr>
              <w:pStyle w:val="ListBullet"/>
            </w:pPr>
            <w:r w:rsidRPr="003A3FD1">
              <w:t>rarity</w:t>
            </w:r>
          </w:p>
          <w:p w:rsidR="00000000" w:rsidRPr="003A3FD1" w:rsidP="003A3FD1">
            <w:pPr>
              <w:pStyle w:val="ListBullet"/>
            </w:pPr>
            <w:r w:rsidRPr="003A3FD1">
              <w:t>cost</w:t>
            </w:r>
          </w:p>
          <w:p w:rsidR="00000000" w:rsidRPr="003A3FD1" w:rsidP="003A3FD1">
            <w:pPr>
              <w:pStyle w:val="ListBullet"/>
            </w:pPr>
            <w:r w:rsidRPr="003A3FD1">
              <w:t>colouring</w:t>
            </w:r>
          </w:p>
          <w:p w:rsidR="00000000" w:rsidRPr="003A3FD1" w:rsidP="003A3FD1">
            <w:pPr>
              <w:pStyle w:val="ListBullet"/>
            </w:pPr>
            <w:r w:rsidRPr="003A3FD1">
              <w:t>size</w:t>
            </w:r>
          </w:p>
          <w:p w:rsidR="00000000" w:rsidP="003A3FD1">
            <w:pPr>
              <w:pStyle w:val="ListBullet"/>
              <w:rPr>
                <w:lang w:val="en-NZ"/>
              </w:rPr>
            </w:pPr>
            <w:r w:rsidRPr="003A3FD1">
              <w:t>shape</w:t>
            </w:r>
          </w:p>
        </w:tc>
      </w:tr>
      <w:tr w:rsidTr="003A3F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FD1">
            <w:pPr>
              <w:pStyle w:val="BodyText"/>
              <w:rPr>
                <w:lang w:val="en-NZ"/>
              </w:rPr>
            </w:pPr>
            <w:r w:rsidRPr="003A3FD1">
              <w:rPr>
                <w:rStyle w:val="SpecialBold"/>
              </w:rPr>
              <w:t>Facet cuts used on gems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FD1" w:rsidP="003A3FD1">
            <w:pPr>
              <w:pStyle w:val="BodyText"/>
            </w:pPr>
            <w:r w:rsidRPr="003A3FD1">
              <w:t>Facet cuts used on gems include:</w:t>
            </w:r>
          </w:p>
          <w:p w:rsidR="00000000" w:rsidRPr="003A3FD1" w:rsidP="003A3FD1">
            <w:pPr>
              <w:pStyle w:val="ListBullet"/>
            </w:pPr>
            <w:r w:rsidRPr="003A3FD1">
              <w:t>emerald</w:t>
            </w:r>
          </w:p>
          <w:p w:rsidR="00000000" w:rsidRPr="003A3FD1" w:rsidP="003A3FD1">
            <w:pPr>
              <w:pStyle w:val="ListBullet"/>
            </w:pPr>
            <w:r w:rsidRPr="003A3FD1">
              <w:t>pear cut</w:t>
            </w:r>
          </w:p>
          <w:p w:rsidR="00000000" w:rsidRPr="003A3FD1" w:rsidP="003A3FD1">
            <w:pPr>
              <w:pStyle w:val="ListBullet"/>
            </w:pPr>
            <w:r w:rsidRPr="003A3FD1">
              <w:t>round brilliant</w:t>
            </w:r>
          </w:p>
          <w:p w:rsidR="00000000" w:rsidRPr="003A3FD1" w:rsidP="003A3FD1">
            <w:pPr>
              <w:pStyle w:val="ListBullet"/>
            </w:pPr>
            <w:r w:rsidRPr="003A3FD1">
              <w:t>asscher cut</w:t>
            </w:r>
          </w:p>
          <w:p w:rsidR="00000000" w:rsidRPr="003A3FD1" w:rsidP="003A3FD1">
            <w:pPr>
              <w:pStyle w:val="ListBullet"/>
            </w:pPr>
            <w:r w:rsidRPr="003A3FD1">
              <w:t>cushion cut</w:t>
            </w:r>
          </w:p>
          <w:p w:rsidR="00000000" w:rsidRPr="003A3FD1" w:rsidP="003A3FD1">
            <w:pPr>
              <w:pStyle w:val="ListBullet"/>
            </w:pPr>
            <w:r w:rsidRPr="003A3FD1">
              <w:t>oval cut</w:t>
            </w:r>
          </w:p>
          <w:p w:rsidR="00000000" w:rsidRPr="003A3FD1" w:rsidP="003A3FD1">
            <w:pPr>
              <w:pStyle w:val="ListBullet"/>
            </w:pPr>
            <w:r w:rsidRPr="003A3FD1">
              <w:t>radiant cut</w:t>
            </w:r>
          </w:p>
          <w:p w:rsidR="00000000" w:rsidRPr="003A3FD1" w:rsidP="003A3FD1">
            <w:pPr>
              <w:pStyle w:val="ListBullet"/>
            </w:pPr>
            <w:r w:rsidRPr="003A3FD1">
              <w:t>marquise cut</w:t>
            </w:r>
          </w:p>
          <w:p w:rsidR="00000000" w:rsidRPr="003A3FD1" w:rsidP="003A3FD1">
            <w:pPr>
              <w:pStyle w:val="ListBullet"/>
            </w:pPr>
            <w:r w:rsidRPr="003A3FD1">
              <w:t>princess cut</w:t>
            </w:r>
          </w:p>
          <w:p w:rsidR="00000000" w:rsidP="003A3FD1">
            <w:pPr>
              <w:pStyle w:val="ListBullet"/>
              <w:rPr>
                <w:lang w:val="en-NZ"/>
              </w:rPr>
            </w:pPr>
            <w:r w:rsidRPr="003A3FD1">
              <w:t>heart cut</w:t>
            </w:r>
          </w:p>
        </w:tc>
      </w:tr>
      <w:tr w:rsidTr="003A3FD1">
        <w:tblPrEx>
          <w:tblW w:w="9462" w:type="dxa"/>
          <w:tblLayout w:type="fixed"/>
          <w:tblCellMar>
            <w:left w:w="62" w:type="dxa"/>
            <w:right w:w="62" w:type="dxa"/>
          </w:tblCellMar>
          <w:tblLook w:val="0000"/>
        </w:tblPrEx>
        <w:trPr>
          <w:trHeight w:val="413"/>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FD1">
            <w:pPr>
              <w:pStyle w:val="BodyText"/>
              <w:rPr>
                <w:lang w:val="en-NZ"/>
              </w:rPr>
            </w:pPr>
            <w:r w:rsidRPr="003A3FD1">
              <w:rPr>
                <w:rStyle w:val="SpecialBold"/>
              </w:rPr>
              <w:t>Treatments and enhancement of gems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FD1" w:rsidP="003A3FD1">
            <w:pPr>
              <w:pStyle w:val="BodyText"/>
            </w:pPr>
            <w:r w:rsidRPr="003A3FD1">
              <w:t>Treatments and enhancement of gems may include:</w:t>
            </w:r>
          </w:p>
          <w:p w:rsidR="00000000" w:rsidRPr="003A3FD1" w:rsidP="003A3FD1">
            <w:pPr>
              <w:pStyle w:val="ListBullet"/>
            </w:pPr>
            <w:r w:rsidRPr="003A3FD1">
              <w:t xml:space="preserve">heat treatment </w:t>
            </w:r>
          </w:p>
          <w:p w:rsidR="00000000" w:rsidRPr="003A3FD1" w:rsidP="003A3FD1">
            <w:pPr>
              <w:pStyle w:val="ListBullet"/>
            </w:pPr>
            <w:r w:rsidRPr="003A3FD1">
              <w:t xml:space="preserve">oiling </w:t>
            </w:r>
          </w:p>
          <w:p w:rsidR="00000000" w:rsidRPr="003A3FD1" w:rsidP="003A3FD1">
            <w:pPr>
              <w:pStyle w:val="ListBullet"/>
            </w:pPr>
            <w:r w:rsidRPr="003A3FD1">
              <w:t>irradiation</w:t>
            </w:r>
          </w:p>
          <w:p w:rsidR="00000000" w:rsidRPr="003A3FD1" w:rsidP="003A3FD1">
            <w:pPr>
              <w:pStyle w:val="ListBullet"/>
            </w:pPr>
            <w:r w:rsidRPr="003A3FD1">
              <w:t xml:space="preserve">coating </w:t>
            </w:r>
          </w:p>
          <w:p w:rsidR="00000000" w:rsidRPr="003A3FD1" w:rsidP="003A3FD1">
            <w:pPr>
              <w:pStyle w:val="ListBullet"/>
            </w:pPr>
            <w:r w:rsidRPr="003A3FD1">
              <w:t>colouring</w:t>
            </w:r>
          </w:p>
        </w:tc>
      </w:tr>
    </w:tbl>
    <w:p w:rsidR="00000000" w:rsidRPr="003A3FD1" w:rsidP="003A3FD1">
      <w:pPr>
        <w:pStyle w:val="BodyText"/>
      </w:pPr>
    </w:p>
    <w:p w:rsidR="00000000" w:rsidRPr="003A3FD1" w:rsidP="003A3FD1">
      <w:pPr>
        <w:pStyle w:val="AllowPageBreak"/>
      </w:pPr>
    </w:p>
    <w:p w:rsidR="00000000" w:rsidRPr="003A3FD1" w:rsidP="003A3FD1">
      <w:pPr>
        <w:pStyle w:val="Heading1"/>
      </w:pPr>
      <w:bookmarkStart w:id="12" w:name="O_340882"/>
      <w:bookmarkEnd w:id="12"/>
      <w:r w:rsidRPr="003A3FD1">
        <w:t>Unit Sector(s)</w:t>
      </w:r>
    </w:p>
    <w:p w:rsidR="00000000" w:rsidRPr="003A3FD1" w:rsidP="003A3FD1">
      <w:pPr>
        <w:pStyle w:val="BodyText"/>
      </w:pPr>
      <w:r w:rsidRPr="003A3FD1">
        <w:t>Jewellery and horological</w:t>
      </w:r>
    </w:p>
    <w:p w:rsidR="00000000" w:rsidRPr="003A3FD1" w:rsidP="003A3FD1">
      <w:pPr>
        <w:pStyle w:val="AllowPageBreak"/>
      </w:pPr>
    </w:p>
    <w:p w:rsidR="00000000" w:rsidRPr="003A3FD1" w:rsidP="003A3FD1">
      <w:pPr>
        <w:pStyle w:val="Heading1"/>
      </w:pPr>
      <w:bookmarkStart w:id="13" w:name="O_340883"/>
      <w:bookmarkEnd w:id="13"/>
      <w:r w:rsidRPr="003A3FD1">
        <w:t>Custom Content Section</w:t>
      </w:r>
    </w:p>
    <w:p w:rsidR="00000000" w:rsidRPr="003A3FD1" w:rsidP="003A3FD1">
      <w:pPr>
        <w:pStyle w:val="BodyText"/>
      </w:pPr>
      <w:r w:rsidRPr="003A3FD1">
        <w:t>Not applicable.</w:t>
      </w:r>
    </w:p>
    <w:p w:rsidR="00000000" w:rsidRPr="003A3FD1" w:rsidP="003A3FD1"/>
    <w:sectPr w:rsidSect="003A3F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F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5B6C" w:rsidP="00155B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F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B6C" w:rsidP="003A3F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55B6C" w:rsidP="003A3F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55B6C" w:rsidP="003A3F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F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5B6C" w:rsidP="00155B6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F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B6C" w:rsidP="003A3FD1">
    <w:pPr>
      <w:pStyle w:val="Header"/>
      <w:framePr w:wrap="around"/>
    </w:pPr>
    <w:r>
      <w:fldChar w:fldCharType="begin"/>
    </w:r>
    <w:r>
      <w:instrText xml:space="preserve"> TITLE   \* MERGEFORMAT </w:instrText>
    </w:r>
    <w:r>
      <w:fldChar w:fldCharType="separate"/>
    </w:r>
    <w:r>
      <w:t>MEM19026A Investigate quality and application of jewellery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5B6C" w:rsidP="003A3F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A47E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BA7D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F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3FD1"/>
    <w:pPr>
      <w:spacing w:before="360" w:after="60"/>
      <w:outlineLvl w:val="0"/>
    </w:pPr>
    <w:rPr>
      <w:sz w:val="32"/>
    </w:rPr>
  </w:style>
  <w:style w:type="paragraph" w:styleId="Heading2">
    <w:name w:val="heading 2"/>
    <w:basedOn w:val="HeadingBase"/>
    <w:next w:val="BodyText"/>
    <w:link w:val="Heading2Char"/>
    <w:qFormat/>
    <w:rsid w:val="003A3FD1"/>
    <w:pPr>
      <w:keepLines/>
      <w:spacing w:before="240" w:after="120"/>
      <w:outlineLvl w:val="1"/>
    </w:pPr>
    <w:rPr>
      <w:sz w:val="28"/>
      <w:szCs w:val="40"/>
    </w:rPr>
  </w:style>
  <w:style w:type="paragraph" w:styleId="Heading3">
    <w:name w:val="heading 3"/>
    <w:basedOn w:val="HeadingBase"/>
    <w:next w:val="BodyText"/>
    <w:link w:val="Heading3Char"/>
    <w:qFormat/>
    <w:rsid w:val="003A3FD1"/>
    <w:pPr>
      <w:spacing w:before="180" w:after="120"/>
      <w:outlineLvl w:val="2"/>
    </w:pPr>
    <w:rPr>
      <w:spacing w:val="-10"/>
      <w:kern w:val="32"/>
    </w:rPr>
  </w:style>
  <w:style w:type="paragraph" w:styleId="Heading4">
    <w:name w:val="heading 4"/>
    <w:basedOn w:val="HeadingBase"/>
    <w:next w:val="BodyText"/>
    <w:link w:val="Heading4Char"/>
    <w:qFormat/>
    <w:rsid w:val="003A3FD1"/>
    <w:pPr>
      <w:spacing w:before="160" w:after="120"/>
      <w:outlineLvl w:val="3"/>
    </w:pPr>
    <w:rPr>
      <w:sz w:val="22"/>
    </w:rPr>
  </w:style>
  <w:style w:type="paragraph" w:styleId="Heading5">
    <w:name w:val="heading 5"/>
    <w:basedOn w:val="HeadingBase"/>
    <w:next w:val="Normal"/>
    <w:link w:val="Heading5Char"/>
    <w:qFormat/>
    <w:rsid w:val="003A3FD1"/>
    <w:pPr>
      <w:spacing w:before="80"/>
      <w:outlineLvl w:val="4"/>
    </w:pPr>
    <w:rPr>
      <w:color w:val="918585"/>
      <w:sz w:val="20"/>
    </w:rPr>
  </w:style>
  <w:style w:type="paragraph" w:styleId="Heading6">
    <w:name w:val="heading 6"/>
    <w:basedOn w:val="HeadingBase"/>
    <w:next w:val="Normal"/>
    <w:link w:val="Heading6Char"/>
    <w:qFormat/>
    <w:rsid w:val="003A3FD1"/>
    <w:pPr>
      <w:spacing w:before="60"/>
      <w:outlineLvl w:val="5"/>
    </w:pPr>
    <w:rPr>
      <w:color w:val="918585"/>
      <w:sz w:val="20"/>
    </w:rPr>
  </w:style>
  <w:style w:type="paragraph" w:styleId="Heading7">
    <w:name w:val="heading 7"/>
    <w:basedOn w:val="Normal"/>
    <w:next w:val="Normal"/>
    <w:link w:val="Heading7Char"/>
    <w:qFormat/>
    <w:rsid w:val="003A3FD1"/>
    <w:pPr>
      <w:ind w:left="720"/>
      <w:outlineLvl w:val="6"/>
    </w:pPr>
    <w:rPr>
      <w:i/>
    </w:rPr>
  </w:style>
  <w:style w:type="paragraph" w:styleId="Heading8">
    <w:name w:val="heading 8"/>
    <w:basedOn w:val="Normal"/>
    <w:next w:val="Normal"/>
    <w:link w:val="Heading8Char"/>
    <w:qFormat/>
    <w:rsid w:val="003A3FD1"/>
    <w:pPr>
      <w:ind w:left="720"/>
      <w:outlineLvl w:val="7"/>
    </w:pPr>
    <w:rPr>
      <w:i/>
    </w:rPr>
  </w:style>
  <w:style w:type="paragraph" w:styleId="Heading9">
    <w:name w:val="heading 9"/>
    <w:basedOn w:val="Normal"/>
    <w:next w:val="Normal"/>
    <w:link w:val="Heading9Char"/>
    <w:qFormat/>
    <w:rsid w:val="003A3FD1"/>
    <w:pPr>
      <w:ind w:left="720"/>
      <w:outlineLvl w:val="8"/>
    </w:pPr>
    <w:rPr>
      <w:i/>
    </w:rPr>
  </w:style>
  <w:style w:type="character" w:default="1" w:styleId="DefaultParagraphFont">
    <w:name w:val="Default Paragraph Font"/>
    <w:uiPriority w:val="1"/>
    <w:unhideWhenUsed/>
    <w:rsid w:val="003A3F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3FD1"/>
  </w:style>
  <w:style w:type="character" w:customStyle="1" w:styleId="Heading1Char">
    <w:name w:val="Heading 1 Char"/>
    <w:basedOn w:val="DefaultParagraphFont"/>
    <w:link w:val="Heading1"/>
    <w:rsid w:val="003A3FD1"/>
    <w:rPr>
      <w:rFonts w:ascii="Times New Roman" w:eastAsia="Times New Roman" w:hAnsi="Times New Roman" w:cs="Times New Roman"/>
      <w:b/>
      <w:sz w:val="32"/>
      <w:szCs w:val="20"/>
      <w:lang w:eastAsia="en-US"/>
    </w:rPr>
  </w:style>
  <w:style w:type="paragraph" w:styleId="BodyText">
    <w:name w:val="Body Text"/>
    <w:basedOn w:val="Normal"/>
    <w:link w:val="BodyTextChar"/>
    <w:rsid w:val="003A3F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3FD1"/>
    <w:rPr>
      <w:rFonts w:ascii="Times New Roman" w:eastAsia="Times New Roman" w:hAnsi="Times New Roman" w:cs="Times New Roman"/>
      <w:sz w:val="24"/>
      <w:lang w:val="en-US" w:eastAsia="en-US"/>
    </w:rPr>
  </w:style>
  <w:style w:type="paragraph" w:styleId="Footer">
    <w:name w:val="footer"/>
    <w:basedOn w:val="Normal"/>
    <w:link w:val="FooterChar"/>
    <w:rsid w:val="003A3F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3FD1"/>
    <w:rPr>
      <w:rFonts w:ascii="Times New Roman" w:eastAsia="Times New Roman" w:hAnsi="Times New Roman" w:cs="Times New Roman"/>
      <w:sz w:val="16"/>
      <w:lang w:val="en-US" w:eastAsia="en-US"/>
    </w:rPr>
  </w:style>
  <w:style w:type="paragraph" w:styleId="ListBullet">
    <w:name w:val="List Bullet"/>
    <w:basedOn w:val="List"/>
    <w:rsid w:val="003A3FD1"/>
    <w:pPr>
      <w:numPr>
        <w:numId w:val="12"/>
      </w:numPr>
      <w:tabs>
        <w:tab w:val="clear" w:pos="340"/>
      </w:tabs>
      <w:spacing w:before="40" w:after="40"/>
    </w:pPr>
  </w:style>
  <w:style w:type="character" w:customStyle="1" w:styleId="SpecialBold">
    <w:name w:val="Special Bold"/>
    <w:basedOn w:val="DefaultParagraphFont"/>
    <w:rsid w:val="003A3FD1"/>
    <w:rPr>
      <w:b/>
      <w:spacing w:val="0"/>
    </w:rPr>
  </w:style>
  <w:style w:type="paragraph" w:styleId="Header">
    <w:name w:val="header"/>
    <w:basedOn w:val="Normal"/>
    <w:link w:val="HeaderChar"/>
    <w:rsid w:val="003A3F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3F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3FD1"/>
    <w:pPr>
      <w:spacing w:before="240" w:after="120"/>
      <w:outlineLvl w:val="0"/>
    </w:pPr>
    <w:rPr>
      <w:rFonts w:ascii="Times New Roman" w:hAnsi="Times New Roman"/>
      <w:b/>
      <w:sz w:val="28"/>
    </w:rPr>
  </w:style>
  <w:style w:type="paragraph" w:customStyle="1" w:styleId="AllowPageBreak">
    <w:name w:val="AllowPageBreak"/>
    <w:rsid w:val="003A3F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3F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3F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3F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3F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3F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3F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3F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3FD1"/>
    <w:rPr>
      <w:rFonts w:ascii="Courier New" w:eastAsia="Times New Roman" w:hAnsi="Courier New" w:cs="Times New Roman"/>
      <w:i/>
      <w:szCs w:val="20"/>
      <w:lang w:val="en-US" w:eastAsia="en-US"/>
    </w:rPr>
  </w:style>
  <w:style w:type="paragraph" w:customStyle="1" w:styleId="HeadingBase">
    <w:name w:val="Heading Base"/>
    <w:rsid w:val="003A3F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3FD1"/>
    <w:pPr>
      <w:tabs>
        <w:tab w:val="right" w:leader="dot" w:pos="9072"/>
      </w:tabs>
      <w:ind w:left="567"/>
    </w:pPr>
    <w:rPr>
      <w:szCs w:val="22"/>
    </w:rPr>
  </w:style>
  <w:style w:type="paragraph" w:customStyle="1" w:styleId="TOCBase">
    <w:name w:val="TOC Base"/>
    <w:rsid w:val="003A3F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3FD1"/>
    <w:pPr>
      <w:tabs>
        <w:tab w:val="right" w:leader="dot" w:pos="9072"/>
      </w:tabs>
      <w:spacing w:before="40" w:after="40"/>
      <w:ind w:left="284"/>
    </w:pPr>
    <w:rPr>
      <w:rFonts w:ascii="Times New Roman" w:hAnsi="Times New Roman"/>
    </w:rPr>
  </w:style>
  <w:style w:type="paragraph" w:styleId="TOC1">
    <w:name w:val="toc 1"/>
    <w:basedOn w:val="TOCBase"/>
    <w:next w:val="Normal"/>
    <w:rsid w:val="003A3F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3FD1"/>
    <w:pPr>
      <w:spacing w:before="5040"/>
      <w:jc w:val="center"/>
    </w:pPr>
    <w:rPr>
      <w:sz w:val="48"/>
      <w:szCs w:val="72"/>
      <w:lang w:val="en-US"/>
    </w:rPr>
  </w:style>
  <w:style w:type="character" w:customStyle="1" w:styleId="TitleChar">
    <w:name w:val="Title Char"/>
    <w:basedOn w:val="DefaultParagraphFont"/>
    <w:link w:val="Title"/>
    <w:rsid w:val="003A3F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3FD1"/>
    <w:pPr>
      <w:tabs>
        <w:tab w:val="left" w:pos="3600"/>
        <w:tab w:val="left" w:pos="3958"/>
      </w:tabs>
    </w:pPr>
  </w:style>
  <w:style w:type="paragraph" w:styleId="List">
    <w:name w:val="List"/>
    <w:basedOn w:val="BodyText"/>
    <w:next w:val="BodyText"/>
    <w:rsid w:val="003A3FD1"/>
    <w:pPr>
      <w:tabs>
        <w:tab w:val="left" w:pos="340"/>
      </w:tabs>
      <w:spacing w:before="60" w:after="60"/>
      <w:ind w:left="340" w:hanging="340"/>
    </w:pPr>
  </w:style>
  <w:style w:type="paragraph" w:customStyle="1" w:styleId="Note">
    <w:name w:val="Note"/>
    <w:basedOn w:val="BodyText"/>
    <w:rsid w:val="003A3F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3FD1"/>
    <w:pPr>
      <w:framePr w:wrap="auto" w:hAnchor="text" w:y="6049"/>
    </w:pPr>
    <w:rPr>
      <w:color w:val="000000"/>
      <w:sz w:val="40"/>
    </w:rPr>
  </w:style>
  <w:style w:type="paragraph" w:customStyle="1" w:styleId="TOCTitle">
    <w:name w:val="TOCTitle"/>
    <w:basedOn w:val="Heading1"/>
    <w:rsid w:val="003A3FD1"/>
    <w:pPr>
      <w:spacing w:after="240"/>
      <w:jc w:val="center"/>
      <w:outlineLvl w:val="9"/>
    </w:pPr>
    <w:rPr>
      <w:caps/>
    </w:rPr>
  </w:style>
  <w:style w:type="paragraph" w:customStyle="1" w:styleId="Version">
    <w:name w:val="Version"/>
    <w:rsid w:val="003A3F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3FD1"/>
    <w:pPr>
      <w:numPr>
        <w:numId w:val="13"/>
      </w:numPr>
      <w:tabs>
        <w:tab w:val="clear" w:pos="680"/>
      </w:tabs>
    </w:pPr>
  </w:style>
  <w:style w:type="paragraph" w:styleId="Index1">
    <w:name w:val="index 1"/>
    <w:basedOn w:val="Normal"/>
    <w:next w:val="Normal"/>
    <w:semiHidden/>
    <w:rsid w:val="003A3FD1"/>
    <w:pPr>
      <w:keepNext w:val="0"/>
      <w:tabs>
        <w:tab w:val="right" w:pos="4176"/>
      </w:tabs>
      <w:ind w:left="198" w:hanging="198"/>
    </w:pPr>
    <w:rPr>
      <w:rFonts w:ascii="Garamond" w:hAnsi="Garamond"/>
    </w:rPr>
  </w:style>
  <w:style w:type="paragraph" w:styleId="IndexHeading">
    <w:name w:val="index heading"/>
    <w:basedOn w:val="Normal"/>
    <w:next w:val="Index1"/>
    <w:semiHidden/>
    <w:rsid w:val="003A3FD1"/>
    <w:pPr>
      <w:spacing w:before="120" w:after="120"/>
    </w:pPr>
    <w:rPr>
      <w:rFonts w:ascii="Arial" w:hAnsi="Arial"/>
      <w:b/>
      <w:color w:val="918585"/>
      <w:sz w:val="24"/>
    </w:rPr>
  </w:style>
  <w:style w:type="paragraph" w:customStyle="1" w:styleId="Chapter">
    <w:name w:val="Chapter"/>
    <w:basedOn w:val="Normal"/>
    <w:rsid w:val="003A3FD1"/>
    <w:pPr>
      <w:spacing w:before="240"/>
    </w:pPr>
    <w:rPr>
      <w:rFonts w:ascii="Times New Roman" w:hAnsi="Times New Roman"/>
      <w:smallCaps/>
      <w:spacing w:val="80"/>
      <w:sz w:val="28"/>
    </w:rPr>
  </w:style>
  <w:style w:type="paragraph" w:customStyle="1" w:styleId="InChapter">
    <w:name w:val="InChapter"/>
    <w:basedOn w:val="Heading3"/>
    <w:rsid w:val="003A3FD1"/>
    <w:pPr>
      <w:spacing w:after="240"/>
      <w:outlineLvl w:val="9"/>
    </w:pPr>
    <w:rPr>
      <w:noProof/>
    </w:rPr>
  </w:style>
  <w:style w:type="paragraph" w:styleId="Index2">
    <w:name w:val="index 2"/>
    <w:basedOn w:val="Normal"/>
    <w:next w:val="Normal"/>
    <w:semiHidden/>
    <w:rsid w:val="003A3FD1"/>
    <w:pPr>
      <w:tabs>
        <w:tab w:val="right" w:pos="4176"/>
      </w:tabs>
      <w:ind w:left="568" w:hanging="284"/>
    </w:pPr>
    <w:rPr>
      <w:rFonts w:ascii="Garamond" w:hAnsi="Garamond"/>
    </w:rPr>
  </w:style>
  <w:style w:type="paragraph" w:customStyle="1" w:styleId="Byline">
    <w:name w:val="Byline"/>
    <w:rsid w:val="003A3F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3FD1"/>
    <w:pPr>
      <w:tabs>
        <w:tab w:val="clear" w:pos="3600"/>
        <w:tab w:val="clear" w:pos="3958"/>
      </w:tabs>
      <w:jc w:val="right"/>
    </w:pPr>
  </w:style>
  <w:style w:type="character" w:styleId="Emphasis">
    <w:name w:val="Emphasis"/>
    <w:basedOn w:val="DefaultParagraphFont"/>
    <w:qFormat/>
    <w:rsid w:val="003A3FD1"/>
    <w:rPr>
      <w:i/>
    </w:rPr>
  </w:style>
  <w:style w:type="paragraph" w:styleId="Caption">
    <w:name w:val="caption"/>
    <w:basedOn w:val="BodyText"/>
    <w:next w:val="Normal"/>
    <w:qFormat/>
    <w:rsid w:val="003A3FD1"/>
    <w:pPr>
      <w:framePr w:w="2268" w:hSpace="181" w:vSpace="181" w:wrap="around" w:vAnchor="text" w:hAnchor="page" w:x="1135" w:y="285" w:anchorLock="1"/>
    </w:pPr>
    <w:rPr>
      <w:i/>
    </w:rPr>
  </w:style>
  <w:style w:type="paragraph" w:customStyle="1" w:styleId="MiniTOCTitle">
    <w:name w:val="MiniTOCTitle"/>
    <w:basedOn w:val="Heading4"/>
    <w:rsid w:val="003A3FD1"/>
    <w:pPr>
      <w:spacing w:before="240"/>
      <w:outlineLvl w:val="9"/>
    </w:pPr>
    <w:rPr>
      <w:noProof/>
      <w:sz w:val="24"/>
    </w:rPr>
  </w:style>
  <w:style w:type="paragraph" w:customStyle="1" w:styleId="MiniTOCItem">
    <w:name w:val="MiniTOCItem"/>
    <w:basedOn w:val="ListBullet"/>
    <w:rsid w:val="003A3FD1"/>
    <w:pPr>
      <w:numPr>
        <w:numId w:val="0"/>
      </w:numPr>
      <w:tabs>
        <w:tab w:val="right" w:leader="dot" w:pos="6521"/>
      </w:tabs>
      <w:spacing w:before="0" w:after="0"/>
    </w:pPr>
  </w:style>
  <w:style w:type="paragraph" w:customStyle="1" w:styleId="TOFTitle">
    <w:name w:val="TOFTitle"/>
    <w:basedOn w:val="TOCTitle"/>
    <w:rsid w:val="003A3FD1"/>
  </w:style>
  <w:style w:type="paragraph" w:styleId="TableofFigures">
    <w:name w:val="table of figures"/>
    <w:basedOn w:val="Normal"/>
    <w:next w:val="Normal"/>
    <w:semiHidden/>
    <w:rsid w:val="003A3FD1"/>
    <w:pPr>
      <w:tabs>
        <w:tab w:val="right" w:leader="dot" w:pos="9072"/>
      </w:tabs>
      <w:ind w:left="970" w:hanging="403"/>
    </w:pPr>
    <w:rPr>
      <w:rFonts w:ascii="Times New Roman" w:hAnsi="Times New Roman"/>
      <w:b/>
    </w:rPr>
  </w:style>
  <w:style w:type="paragraph" w:styleId="ListNumber">
    <w:name w:val="List Number"/>
    <w:basedOn w:val="List"/>
    <w:rsid w:val="003A3FD1"/>
    <w:pPr>
      <w:numPr>
        <w:numId w:val="10"/>
      </w:numPr>
    </w:pPr>
  </w:style>
  <w:style w:type="character" w:customStyle="1" w:styleId="WingdingSymbols">
    <w:name w:val="Wingding Symbols"/>
    <w:rsid w:val="003A3FD1"/>
    <w:rPr>
      <w:rFonts w:ascii="Wingdings" w:hAnsi="Wingdings"/>
    </w:rPr>
  </w:style>
  <w:style w:type="paragraph" w:customStyle="1" w:styleId="TableHeading">
    <w:name w:val="Table Heading"/>
    <w:basedOn w:val="HeadingBase"/>
    <w:rsid w:val="003A3FD1"/>
    <w:pPr>
      <w:keepLines/>
      <w:pBdr>
        <w:bottom w:val="single" w:sz="6" w:space="1" w:color="918585"/>
      </w:pBdr>
      <w:spacing w:before="240"/>
    </w:pPr>
  </w:style>
  <w:style w:type="character" w:customStyle="1" w:styleId="HotSpot">
    <w:name w:val="HotSpot"/>
    <w:rsid w:val="003A3FD1"/>
    <w:rPr>
      <w:color w:val="0033CC"/>
      <w:u w:val="none"/>
    </w:rPr>
  </w:style>
  <w:style w:type="paragraph" w:customStyle="1" w:styleId="BodyTextRight">
    <w:name w:val="Body Text Right"/>
    <w:basedOn w:val="BodyText"/>
    <w:rsid w:val="003A3FD1"/>
    <w:pPr>
      <w:spacing w:before="0" w:after="0"/>
      <w:jc w:val="right"/>
    </w:pPr>
  </w:style>
  <w:style w:type="paragraph" w:styleId="Index3">
    <w:name w:val="index 3"/>
    <w:basedOn w:val="ListNumber2"/>
    <w:next w:val="Normal"/>
    <w:semiHidden/>
    <w:rsid w:val="003A3FD1"/>
    <w:pPr>
      <w:numPr>
        <w:numId w:val="0"/>
      </w:numPr>
      <w:tabs>
        <w:tab w:val="right" w:leader="dot" w:pos="4176"/>
      </w:tabs>
    </w:pPr>
  </w:style>
  <w:style w:type="paragraph" w:styleId="ListNumber2">
    <w:name w:val="List Number 2"/>
    <w:basedOn w:val="List2"/>
    <w:rsid w:val="003A3FD1"/>
    <w:pPr>
      <w:numPr>
        <w:numId w:val="9"/>
      </w:numPr>
      <w:tabs>
        <w:tab w:val="clear" w:pos="1060"/>
      </w:tabs>
    </w:pPr>
  </w:style>
  <w:style w:type="paragraph" w:customStyle="1" w:styleId="MarginNote">
    <w:name w:val="Margin Note"/>
    <w:basedOn w:val="BodyText"/>
    <w:rsid w:val="003A3F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3F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3F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3FD1"/>
    <w:rPr>
      <w:sz w:val="32"/>
    </w:rPr>
  </w:style>
  <w:style w:type="paragraph" w:customStyle="1" w:styleId="HeadingProcedure">
    <w:name w:val="Heading Procedure"/>
    <w:basedOn w:val="HeadingBase"/>
    <w:next w:val="Normal"/>
    <w:rsid w:val="003A3FD1"/>
    <w:pPr>
      <w:tabs>
        <w:tab w:val="left" w:pos="0"/>
      </w:tabs>
      <w:spacing w:before="120" w:after="60"/>
    </w:pPr>
    <w:rPr>
      <w:i/>
      <w:color w:val="918585"/>
      <w:sz w:val="22"/>
    </w:rPr>
  </w:style>
  <w:style w:type="paragraph" w:customStyle="1" w:styleId="TableBodyText">
    <w:name w:val="Table Body Text"/>
    <w:basedOn w:val="BodyText"/>
    <w:rsid w:val="003A3FD1"/>
    <w:pPr>
      <w:spacing w:before="60" w:after="60"/>
    </w:pPr>
  </w:style>
  <w:style w:type="paragraph" w:styleId="ListContinue">
    <w:name w:val="List Continue"/>
    <w:basedOn w:val="List"/>
    <w:rsid w:val="003A3FD1"/>
    <w:pPr>
      <w:ind w:firstLine="0"/>
    </w:pPr>
  </w:style>
  <w:style w:type="paragraph" w:customStyle="1" w:styleId="ListNote">
    <w:name w:val="List Note"/>
    <w:basedOn w:val="List"/>
    <w:rsid w:val="003A3FD1"/>
    <w:pPr>
      <w:pBdr>
        <w:top w:val="single" w:sz="6" w:space="2" w:color="918585"/>
        <w:bottom w:val="single" w:sz="6" w:space="2" w:color="918585"/>
      </w:pBdr>
      <w:tabs>
        <w:tab w:val="left" w:pos="1021"/>
      </w:tabs>
      <w:ind w:firstLine="0"/>
    </w:pPr>
  </w:style>
  <w:style w:type="paragraph" w:customStyle="1" w:styleId="Warning">
    <w:name w:val="Warning"/>
    <w:basedOn w:val="BodyText"/>
    <w:rsid w:val="003A3FD1"/>
    <w:pPr>
      <w:shd w:val="clear" w:color="auto" w:fill="D9D9D9"/>
      <w:tabs>
        <w:tab w:val="left" w:pos="992"/>
      </w:tabs>
      <w:ind w:left="119" w:right="119"/>
    </w:pPr>
    <w:rPr>
      <w:sz w:val="20"/>
    </w:rPr>
  </w:style>
  <w:style w:type="paragraph" w:customStyle="1" w:styleId="MarginIcons">
    <w:name w:val="Margin Icons"/>
    <w:basedOn w:val="BodyText"/>
    <w:rsid w:val="003A3F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3FD1"/>
    <w:rPr>
      <w:rFonts w:ascii="Courier New" w:hAnsi="Courier New"/>
    </w:rPr>
  </w:style>
  <w:style w:type="paragraph" w:customStyle="1" w:styleId="NoteBullet">
    <w:name w:val="Note Bullet"/>
    <w:basedOn w:val="Note"/>
    <w:rsid w:val="003A3FD1"/>
    <w:pPr>
      <w:tabs>
        <w:tab w:val="clear" w:pos="680"/>
      </w:tabs>
      <w:spacing w:before="60" w:after="60"/>
    </w:pPr>
  </w:style>
  <w:style w:type="paragraph" w:customStyle="1" w:styleId="SubHeading2">
    <w:name w:val="SubHeading2"/>
    <w:basedOn w:val="HeadingBase"/>
    <w:rsid w:val="003A3FD1"/>
    <w:pPr>
      <w:spacing w:before="240" w:after="60"/>
    </w:pPr>
    <w:rPr>
      <w:sz w:val="20"/>
    </w:rPr>
  </w:style>
  <w:style w:type="paragraph" w:customStyle="1" w:styleId="SubHeading1">
    <w:name w:val="SubHeading1"/>
    <w:basedOn w:val="HeadingBase"/>
    <w:rsid w:val="003A3FD1"/>
    <w:pPr>
      <w:spacing w:before="240" w:after="60"/>
    </w:pPr>
    <w:rPr>
      <w:color w:val="918585"/>
      <w:sz w:val="22"/>
    </w:rPr>
  </w:style>
  <w:style w:type="paragraph" w:customStyle="1" w:styleId="SideHeading">
    <w:name w:val="Side Heading"/>
    <w:basedOn w:val="HeadingBase"/>
    <w:rsid w:val="003A3F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3FD1"/>
    <w:pPr>
      <w:tabs>
        <w:tab w:val="num" w:pos="360"/>
      </w:tabs>
    </w:pPr>
  </w:style>
  <w:style w:type="paragraph" w:styleId="PlainText">
    <w:name w:val="Plain Text"/>
    <w:basedOn w:val="Normal"/>
    <w:link w:val="PlainTextChar"/>
    <w:rsid w:val="003A3FD1"/>
    <w:rPr>
      <w:sz w:val="20"/>
    </w:rPr>
  </w:style>
  <w:style w:type="character" w:customStyle="1" w:styleId="PlainTextChar">
    <w:name w:val="Plain Text Char"/>
    <w:basedOn w:val="DefaultParagraphFont"/>
    <w:link w:val="PlainText"/>
    <w:rsid w:val="003A3F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3FD1"/>
    <w:rPr>
      <w:b/>
      <w:smallCaps/>
    </w:rPr>
  </w:style>
  <w:style w:type="paragraph" w:customStyle="1" w:styleId="TableListNumber">
    <w:name w:val="Table List Number"/>
    <w:basedOn w:val="ListNumber"/>
    <w:rsid w:val="003A3FD1"/>
    <w:pPr>
      <w:numPr>
        <w:numId w:val="0"/>
      </w:numPr>
    </w:pPr>
  </w:style>
  <w:style w:type="paragraph" w:styleId="TOC4">
    <w:name w:val="toc 4"/>
    <w:basedOn w:val="TOCBase"/>
    <w:next w:val="Normal"/>
    <w:semiHidden/>
    <w:rsid w:val="003A3FD1"/>
    <w:pPr>
      <w:tabs>
        <w:tab w:val="right" w:leader="dot" w:pos="9071"/>
      </w:tabs>
      <w:ind w:left="1701"/>
    </w:pPr>
  </w:style>
  <w:style w:type="paragraph" w:customStyle="1" w:styleId="ListAlpha">
    <w:name w:val="List Alpha"/>
    <w:basedOn w:val="List"/>
    <w:rsid w:val="003A3FD1"/>
    <w:pPr>
      <w:numPr>
        <w:numId w:val="8"/>
      </w:numPr>
    </w:pPr>
  </w:style>
  <w:style w:type="paragraph" w:customStyle="1" w:styleId="ListAlpha2">
    <w:name w:val="List Alpha 2"/>
    <w:basedOn w:val="List2"/>
    <w:rsid w:val="003A3FD1"/>
    <w:pPr>
      <w:numPr>
        <w:numId w:val="7"/>
      </w:numPr>
    </w:pPr>
  </w:style>
  <w:style w:type="paragraph" w:styleId="List2">
    <w:name w:val="List 2"/>
    <w:basedOn w:val="BodyText"/>
    <w:rsid w:val="003A3FD1"/>
    <w:pPr>
      <w:tabs>
        <w:tab w:val="left" w:pos="680"/>
      </w:tabs>
      <w:spacing w:before="60" w:after="60"/>
      <w:ind w:left="680" w:hanging="340"/>
    </w:pPr>
  </w:style>
  <w:style w:type="paragraph" w:styleId="List3">
    <w:name w:val="List 3"/>
    <w:basedOn w:val="BodyText"/>
    <w:rsid w:val="003A3FD1"/>
    <w:pPr>
      <w:tabs>
        <w:tab w:val="left" w:pos="1021"/>
      </w:tabs>
      <w:spacing w:before="60" w:after="60"/>
      <w:ind w:left="1020" w:hanging="340"/>
    </w:pPr>
  </w:style>
  <w:style w:type="paragraph" w:styleId="List4">
    <w:name w:val="List 4"/>
    <w:basedOn w:val="BodyText"/>
    <w:rsid w:val="003A3FD1"/>
    <w:pPr>
      <w:tabs>
        <w:tab w:val="left" w:pos="1361"/>
      </w:tabs>
      <w:spacing w:before="60" w:after="60"/>
      <w:ind w:left="1361" w:hanging="340"/>
    </w:pPr>
  </w:style>
  <w:style w:type="paragraph" w:styleId="List5">
    <w:name w:val="List 5"/>
    <w:basedOn w:val="BodyText"/>
    <w:rsid w:val="003A3FD1"/>
    <w:pPr>
      <w:tabs>
        <w:tab w:val="left" w:pos="1701"/>
      </w:tabs>
      <w:spacing w:before="60" w:after="60"/>
      <w:ind w:left="1701" w:hanging="340"/>
    </w:pPr>
  </w:style>
  <w:style w:type="paragraph" w:styleId="ListBullet3">
    <w:name w:val="List Bullet 3"/>
    <w:basedOn w:val="List3"/>
    <w:rsid w:val="003A3FD1"/>
    <w:pPr>
      <w:numPr>
        <w:numId w:val="14"/>
      </w:numPr>
      <w:tabs>
        <w:tab w:val="clear" w:pos="1021"/>
      </w:tabs>
      <w:ind w:left="1037" w:hanging="357"/>
    </w:pPr>
  </w:style>
  <w:style w:type="paragraph" w:styleId="ListBullet4">
    <w:name w:val="List Bullet 4"/>
    <w:basedOn w:val="List4"/>
    <w:rsid w:val="003A3FD1"/>
    <w:pPr>
      <w:numPr>
        <w:numId w:val="2"/>
      </w:numPr>
    </w:pPr>
  </w:style>
  <w:style w:type="paragraph" w:styleId="ListBullet5">
    <w:name w:val="List Bullet 5"/>
    <w:basedOn w:val="List5"/>
    <w:rsid w:val="003A3FD1"/>
    <w:pPr>
      <w:numPr>
        <w:numId w:val="3"/>
      </w:numPr>
    </w:pPr>
  </w:style>
  <w:style w:type="paragraph" w:styleId="ListContinue2">
    <w:name w:val="List Continue 2"/>
    <w:basedOn w:val="List2"/>
    <w:rsid w:val="003A3FD1"/>
    <w:pPr>
      <w:ind w:firstLine="0"/>
    </w:pPr>
  </w:style>
  <w:style w:type="paragraph" w:styleId="ListContinue3">
    <w:name w:val="List Continue 3"/>
    <w:basedOn w:val="List3"/>
    <w:rsid w:val="003A3FD1"/>
    <w:pPr>
      <w:ind w:left="1021" w:firstLine="0"/>
    </w:pPr>
  </w:style>
  <w:style w:type="paragraph" w:styleId="ListContinue4">
    <w:name w:val="List Continue 4"/>
    <w:basedOn w:val="List4"/>
    <w:rsid w:val="003A3FD1"/>
    <w:pPr>
      <w:ind w:firstLine="0"/>
    </w:pPr>
  </w:style>
  <w:style w:type="paragraph" w:styleId="ListContinue5">
    <w:name w:val="List Continue 5"/>
    <w:basedOn w:val="List5"/>
    <w:rsid w:val="003A3FD1"/>
    <w:pPr>
      <w:ind w:firstLine="0"/>
    </w:pPr>
  </w:style>
  <w:style w:type="paragraph" w:styleId="ListNumber3">
    <w:name w:val="List Number 3"/>
    <w:basedOn w:val="List3"/>
    <w:rsid w:val="003A3FD1"/>
    <w:pPr>
      <w:numPr>
        <w:numId w:val="4"/>
      </w:numPr>
    </w:pPr>
  </w:style>
  <w:style w:type="paragraph" w:styleId="ListNumber4">
    <w:name w:val="List Number 4"/>
    <w:basedOn w:val="List4"/>
    <w:rsid w:val="003A3FD1"/>
    <w:pPr>
      <w:numPr>
        <w:numId w:val="5"/>
      </w:numPr>
    </w:pPr>
  </w:style>
  <w:style w:type="paragraph" w:styleId="ListNumber5">
    <w:name w:val="List Number 5"/>
    <w:basedOn w:val="List5"/>
    <w:rsid w:val="003A3FD1"/>
    <w:pPr>
      <w:numPr>
        <w:numId w:val="6"/>
      </w:numPr>
    </w:pPr>
  </w:style>
  <w:style w:type="paragraph" w:styleId="BlockText">
    <w:name w:val="Block Text"/>
    <w:basedOn w:val="Normal"/>
    <w:rsid w:val="003A3FD1"/>
    <w:pPr>
      <w:spacing w:after="120"/>
      <w:ind w:left="1440" w:right="1440"/>
    </w:pPr>
  </w:style>
  <w:style w:type="character" w:customStyle="1" w:styleId="Subscript">
    <w:name w:val="Subscript"/>
    <w:basedOn w:val="DefaultParagraphFont"/>
    <w:rsid w:val="003A3FD1"/>
    <w:rPr>
      <w:sz w:val="16"/>
      <w:vertAlign w:val="subscript"/>
    </w:rPr>
  </w:style>
  <w:style w:type="character" w:customStyle="1" w:styleId="Superscript">
    <w:name w:val="Superscript"/>
    <w:basedOn w:val="DefaultParagraphFont"/>
    <w:rsid w:val="003A3FD1"/>
    <w:rPr>
      <w:sz w:val="16"/>
      <w:vertAlign w:val="superscript"/>
    </w:rPr>
  </w:style>
  <w:style w:type="character" w:customStyle="1" w:styleId="Symbols">
    <w:name w:val="Symbols"/>
    <w:basedOn w:val="DefaultParagraphFont"/>
    <w:rsid w:val="003A3FD1"/>
    <w:rPr>
      <w:rFonts w:ascii="Symbol" w:hAnsi="Symbol"/>
    </w:rPr>
  </w:style>
  <w:style w:type="character" w:customStyle="1" w:styleId="MenuOptions">
    <w:name w:val="Menu Options"/>
    <w:basedOn w:val="DefaultParagraphFont"/>
    <w:rsid w:val="003A3FD1"/>
    <w:rPr>
      <w:rFonts w:ascii="Arial Narrow" w:hAnsi="Arial Narrow"/>
      <w:smallCaps/>
    </w:rPr>
  </w:style>
  <w:style w:type="character" w:customStyle="1" w:styleId="Buttons">
    <w:name w:val="Buttons"/>
    <w:basedOn w:val="DefaultParagraphFont"/>
    <w:rsid w:val="003A3FD1"/>
    <w:rPr>
      <w:b/>
    </w:rPr>
  </w:style>
  <w:style w:type="character" w:customStyle="1" w:styleId="Underlined">
    <w:name w:val="Underlined"/>
    <w:basedOn w:val="DefaultParagraphFont"/>
    <w:rsid w:val="003A3FD1"/>
    <w:rPr>
      <w:u w:val="single"/>
    </w:rPr>
  </w:style>
  <w:style w:type="paragraph" w:customStyle="1" w:styleId="TableBodyTextRight">
    <w:name w:val="Table Body Text Right"/>
    <w:basedOn w:val="TableBodyText"/>
    <w:rsid w:val="003A3FD1"/>
    <w:pPr>
      <w:widowControl w:val="0"/>
      <w:autoSpaceDE w:val="0"/>
      <w:autoSpaceDN w:val="0"/>
      <w:adjustRightInd w:val="0"/>
      <w:jc w:val="right"/>
    </w:pPr>
    <w:rPr>
      <w:rFonts w:cs="Arial"/>
      <w:szCs w:val="18"/>
    </w:rPr>
  </w:style>
  <w:style w:type="paragraph" w:customStyle="1" w:styleId="CopyrightText">
    <w:name w:val="Copyright Text"/>
    <w:basedOn w:val="BodyText"/>
    <w:rsid w:val="003A3FD1"/>
    <w:rPr>
      <w:sz w:val="18"/>
    </w:rPr>
  </w:style>
  <w:style w:type="paragraph" w:customStyle="1" w:styleId="BodySmallRight">
    <w:name w:val="Body Small Right"/>
    <w:basedOn w:val="BodyTextRight"/>
    <w:rsid w:val="003A3FD1"/>
    <w:rPr>
      <w:sz w:val="18"/>
      <w:szCs w:val="18"/>
    </w:rPr>
  </w:style>
  <w:style w:type="paragraph" w:customStyle="1" w:styleId="MarginEdition">
    <w:name w:val="Margin Edition"/>
    <w:basedOn w:val="MarginNote"/>
    <w:rsid w:val="003A3FD1"/>
    <w:pPr>
      <w:spacing w:before="0" w:after="0"/>
    </w:pPr>
    <w:rPr>
      <w:rFonts w:ascii="Times New Roman" w:hAnsi="Times New Roman"/>
      <w:color w:val="999999"/>
    </w:rPr>
  </w:style>
  <w:style w:type="paragraph" w:customStyle="1" w:styleId="Spacer">
    <w:name w:val="Spacer"/>
    <w:basedOn w:val="Normal"/>
    <w:rsid w:val="003A3FD1"/>
    <w:rPr>
      <w:sz w:val="2"/>
      <w:szCs w:val="2"/>
    </w:rPr>
  </w:style>
  <w:style w:type="character" w:customStyle="1" w:styleId="Small">
    <w:name w:val="Small"/>
    <w:basedOn w:val="DefaultParagraphFont"/>
    <w:rsid w:val="003A3FD1"/>
    <w:rPr>
      <w:sz w:val="16"/>
    </w:rPr>
  </w:style>
  <w:style w:type="paragraph" w:customStyle="1" w:styleId="WideTable">
    <w:name w:val="Wide Table"/>
    <w:basedOn w:val="Normal"/>
    <w:rsid w:val="003A3FD1"/>
    <w:pPr>
      <w:ind w:left="-1418"/>
    </w:pPr>
    <w:rPr>
      <w:sz w:val="2"/>
      <w:szCs w:val="2"/>
    </w:rPr>
  </w:style>
  <w:style w:type="character" w:styleId="PageNumber">
    <w:name w:val="page number"/>
    <w:basedOn w:val="DefaultParagraphFont"/>
    <w:rsid w:val="003A3FD1"/>
  </w:style>
  <w:style w:type="paragraph" w:styleId="Quote">
    <w:name w:val="Quote"/>
    <w:basedOn w:val="Heading1"/>
    <w:link w:val="QuoteChar"/>
    <w:qFormat/>
    <w:rsid w:val="003A3FD1"/>
    <w:rPr>
      <w:b w:val="0"/>
      <w:sz w:val="72"/>
      <w:szCs w:val="72"/>
      <w:lang w:val="en-NZ"/>
    </w:rPr>
  </w:style>
  <w:style w:type="character" w:customStyle="1" w:styleId="QuoteChar">
    <w:name w:val="Quote Char"/>
    <w:basedOn w:val="DefaultParagraphFont"/>
    <w:link w:val="Quote"/>
    <w:rsid w:val="003A3F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3FD1"/>
    <w:pPr>
      <w:pageBreakBefore/>
    </w:pPr>
  </w:style>
  <w:style w:type="paragraph" w:customStyle="1" w:styleId="Border">
    <w:name w:val="Border"/>
    <w:basedOn w:val="Normal"/>
    <w:qFormat/>
    <w:rsid w:val="003A3F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3FD1"/>
    <w:rPr>
      <w:b/>
      <w:bCs/>
      <w:i/>
      <w:iCs/>
      <w:color w:val="auto"/>
    </w:rPr>
  </w:style>
  <w:style w:type="paragraph" w:styleId="IntenseQuote">
    <w:name w:val="Intense Quote"/>
    <w:basedOn w:val="Normal"/>
    <w:next w:val="Normal"/>
    <w:link w:val="IntenseQuoteChar"/>
    <w:uiPriority w:val="30"/>
    <w:qFormat/>
    <w:rsid w:val="003A3F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3F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3FD1"/>
    <w:rPr>
      <w:smallCaps/>
      <w:color w:val="auto"/>
      <w:u w:val="single"/>
    </w:rPr>
  </w:style>
  <w:style w:type="character" w:styleId="IntenseReference">
    <w:name w:val="Intense Reference"/>
    <w:basedOn w:val="DefaultParagraphFont"/>
    <w:uiPriority w:val="32"/>
    <w:qFormat/>
    <w:rsid w:val="003A3FD1"/>
    <w:rPr>
      <w:b/>
      <w:bCs/>
      <w:smallCaps/>
      <w:color w:val="auto"/>
      <w:spacing w:val="5"/>
      <w:u w:val="single"/>
    </w:rPr>
  </w:style>
  <w:style w:type="paragraph" w:customStyle="1" w:styleId="2ColumnHeading">
    <w:name w:val="2Column Heading"/>
    <w:basedOn w:val="BodyText"/>
    <w:qFormat/>
    <w:rsid w:val="003A3FD1"/>
    <w:pPr>
      <w:spacing w:after="60"/>
      <w:ind w:left="-2268"/>
    </w:pPr>
    <w:rPr>
      <w:b/>
    </w:rPr>
  </w:style>
  <w:style w:type="paragraph" w:customStyle="1" w:styleId="Heading1TOC">
    <w:name w:val="Heading1 TOC"/>
    <w:basedOn w:val="Normal"/>
    <w:qFormat/>
    <w:rsid w:val="003A3FD1"/>
    <w:pPr>
      <w:spacing w:before="240" w:after="120"/>
    </w:pPr>
    <w:rPr>
      <w:rFonts w:ascii="Times New Roman" w:hAnsi="Times New Roman"/>
      <w:b/>
      <w:sz w:val="32"/>
    </w:rPr>
  </w:style>
  <w:style w:type="paragraph" w:customStyle="1" w:styleId="Heading2TOC">
    <w:name w:val="Heading2 TOC"/>
    <w:basedOn w:val="Normal"/>
    <w:qFormat/>
    <w:rsid w:val="003A3FD1"/>
    <w:pPr>
      <w:spacing w:before="240" w:after="60"/>
    </w:pPr>
    <w:rPr>
      <w:rFonts w:ascii="Times New Roman" w:hAnsi="Times New Roman"/>
      <w:b/>
      <w:sz w:val="28"/>
    </w:rPr>
  </w:style>
  <w:style w:type="character" w:customStyle="1" w:styleId="Underline">
    <w:name w:val="Underline"/>
    <w:basedOn w:val="DefaultParagraphFont"/>
    <w:qFormat/>
    <w:rsid w:val="003A3FD1"/>
    <w:rPr>
      <w:u w:val="single"/>
    </w:rPr>
  </w:style>
  <w:style w:type="character" w:customStyle="1" w:styleId="BoldandItalics">
    <w:name w:val="Bold and Italics"/>
    <w:qFormat/>
    <w:rsid w:val="003A3FD1"/>
    <w:rPr>
      <w:b/>
      <w:i/>
      <w:u w:val="none"/>
    </w:rPr>
  </w:style>
  <w:style w:type="paragraph" w:styleId="BalloonText">
    <w:name w:val="Balloon Text"/>
    <w:basedOn w:val="Normal"/>
    <w:link w:val="BalloonTextChar"/>
    <w:rsid w:val="003A3FD1"/>
    <w:rPr>
      <w:rFonts w:ascii="Tahoma" w:hAnsi="Tahoma" w:cs="Tahoma"/>
      <w:sz w:val="16"/>
      <w:szCs w:val="16"/>
    </w:rPr>
  </w:style>
  <w:style w:type="character" w:customStyle="1" w:styleId="BalloonTextChar">
    <w:name w:val="Balloon Text Char"/>
    <w:basedOn w:val="DefaultParagraphFont"/>
    <w:link w:val="BalloonText"/>
    <w:rsid w:val="003A3F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3F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3F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1132</Words>
  <Characters>7118</Characters>
  <Application>Microsoft Office Word</Application>
  <DocSecurity>0</DocSecurity>
  <Lines>305</Lines>
  <Paragraphs>183</Paragraphs>
  <ScaleCrop>false</ScaleCrop>
  <Company>Author-it Software Corporation Ltd.</Company>
  <LinksUpToDate>false</LinksUpToDate>
  <CharactersWithSpaces>8162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MEM19026A Investigate quality and application of jewellery materials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2012-05-27T02:01:00Z</dcterms:created>
  <dcterms:modified xsi:type="dcterms:W3CDTF">2012-05-27T02:01:00Z</dcterms:modified>
</cp:coreProperties>
</file>