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15D" w:rsidP="0094215D">
      <w:pPr>
        <w:pStyle w:val="Title"/>
      </w:pPr>
      <w:r>
        <w:fldChar w:fldCharType="begin"/>
      </w:r>
      <w:r>
        <w:instrText xml:space="preserve"> TITLE   \* MERGEFORMAT </w:instrText>
      </w:r>
      <w:r>
        <w:fldChar w:fldCharType="separate"/>
      </w:r>
      <w:r>
        <w:t>MEM19018B Repair jewellery items</w:t>
      </w:r>
      <w:r>
        <w:fldChar w:fldCharType="end"/>
      </w:r>
    </w:p>
    <w:p w:rsidR="0094215D" w:rsidP="0094215D">
      <w:pPr>
        <w:pStyle w:val="Version"/>
        <w:sectPr w:rsidSect="00C961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96100" w:rsidP="00C96100">
      <w:pPr>
        <w:pStyle w:val="SuperHeading"/>
      </w:pPr>
      <w:r w:rsidRPr="00C96100">
        <w:t>MEM19018B Repair jewellery items</w:t>
      </w:r>
    </w:p>
    <w:p w:rsidR="00000000" w:rsidRPr="00C96100" w:rsidP="00C96100">
      <w:pPr>
        <w:pStyle w:val="Heading1"/>
      </w:pPr>
      <w:bookmarkStart w:id="1" w:name="O_461811"/>
      <w:bookmarkEnd w:id="1"/>
      <w:r w:rsidRPr="00C96100">
        <w:t>Modification History</w:t>
      </w:r>
    </w:p>
    <w:p w:rsidR="00000000" w:rsidRPr="00C96100" w:rsidP="00C96100">
      <w:pPr>
        <w:pStyle w:val="BodyText"/>
      </w:pPr>
      <w:r w:rsidRPr="00C96100">
        <w:t>Prerequisite unit MEM05006B updated to MEM05006C</w:t>
      </w:r>
    </w:p>
    <w:p w:rsidR="00000000" w:rsidRPr="00C96100" w:rsidP="00C96100">
      <w:pPr>
        <w:pStyle w:val="BodyText"/>
      </w:pPr>
      <w:r w:rsidRPr="00C96100">
        <w:t>Editorial correction to unit application to include missing notes relating to dual status.</w:t>
      </w:r>
    </w:p>
    <w:p w:rsidR="00000000" w:rsidRPr="00C96100" w:rsidP="00C96100">
      <w:pPr>
        <w:pStyle w:val="BodyText"/>
      </w:pPr>
      <w:r w:rsidRPr="00C96100">
        <w:t xml:space="preserve">Single band identifier removed to clarify </w:t>
      </w:r>
      <w:r w:rsidRPr="00C96100">
        <w:t>dual status.</w:t>
      </w:r>
    </w:p>
    <w:p w:rsidR="00000000" w:rsidRPr="00C96100" w:rsidP="00C96100">
      <w:pPr>
        <w:pStyle w:val="AllowPageBreak"/>
      </w:pPr>
    </w:p>
    <w:p w:rsidR="00000000" w:rsidRPr="00C96100" w:rsidP="00C96100">
      <w:pPr>
        <w:pStyle w:val="Heading1"/>
      </w:pPr>
      <w:bookmarkStart w:id="2" w:name="O_461807"/>
      <w:bookmarkEnd w:id="2"/>
      <w:r w:rsidRPr="00C96100">
        <w:t>Unit Descriptor</w:t>
      </w:r>
    </w:p>
    <w:tbl>
      <w:tblPr>
        <w:tblW w:w="0" w:type="auto"/>
        <w:tblLayout w:type="fixed"/>
        <w:tblCellMar>
          <w:left w:w="62" w:type="dxa"/>
          <w:right w:w="62" w:type="dxa"/>
        </w:tblCellMar>
        <w:tblLook w:val="0000"/>
      </w:tblPr>
      <w:tblGrid>
        <w:gridCol w:w="2667"/>
        <w:gridCol w:w="5855"/>
      </w:tblGrid>
      <w:tr w:rsidTr="0094215D">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r w:rsidRPr="00C96100">
              <w:t>This unit covers making common repairs to a range of jewellery items. It requires the application of skills and knowledge in jewellery manufacturing and finishing techniques.</w:t>
            </w:r>
          </w:p>
        </w:tc>
      </w:tr>
    </w:tbl>
    <w:p w:rsidR="0094215D" w:rsidP="00C96100">
      <w:pPr>
        <w:pStyle w:val="BodyText"/>
      </w:pPr>
    </w:p>
    <w:p w:rsidR="0094215D" w:rsidP="00C96100">
      <w:pPr>
        <w:pStyle w:val="BodyText"/>
      </w:pPr>
    </w:p>
    <w:p w:rsidR="00000000" w:rsidRPr="00C96100" w:rsidP="00C96100">
      <w:pPr>
        <w:pStyle w:val="Heading1"/>
      </w:pPr>
      <w:bookmarkStart w:id="3" w:name="O_461820"/>
      <w:bookmarkEnd w:id="3"/>
      <w:r w:rsidRPr="00C96100">
        <w:t>Application of the Unit</w:t>
      </w:r>
    </w:p>
    <w:tbl>
      <w:tblPr>
        <w:tblW w:w="0" w:type="auto"/>
        <w:tblLayout w:type="fixed"/>
        <w:tblCellMar>
          <w:left w:w="62" w:type="dxa"/>
          <w:right w:w="62" w:type="dxa"/>
        </w:tblCellMar>
        <w:tblLook w:val="0000"/>
      </w:tblPr>
      <w:tblGrid>
        <w:gridCol w:w="2745"/>
        <w:gridCol w:w="5777"/>
      </w:tblGrid>
      <w:tr w:rsidTr="0094215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r w:rsidRPr="00C96100">
              <w:t xml:space="preserve">The unit applies to a range of repair work carried out in a jewellery manufacture/repair environment. It requires the ability to use safe and efficient work practices to identify the condition of the </w:t>
            </w:r>
            <w:r w:rsidRPr="00C96100">
              <w:t>item, establish repair requirements and complete and finalise the repair work.</w:t>
            </w:r>
          </w:p>
          <w:p w:rsidR="00000000" w:rsidRPr="00C96100" w:rsidP="00C96100">
            <w:pPr>
              <w:pStyle w:val="BodyText"/>
            </w:pPr>
            <w:r w:rsidRPr="00C96100">
              <w:t xml:space="preserve">If an estimate or quotation for repair is produced, then Unit PRSTS317A (Provide estimate and quote) should also be selected. </w:t>
            </w:r>
          </w:p>
          <w:p w:rsidR="00000000" w:rsidRPr="00C96100" w:rsidP="00C96100">
            <w:pPr>
              <w:pStyle w:val="BodyText"/>
            </w:pPr>
            <w:r w:rsidRPr="00C96100">
              <w:t>If jewellery setting is required, then Unit MEM190</w:t>
            </w:r>
            <w:r w:rsidRPr="00C96100">
              <w:t>07B (Perform gemstone setting) should also be selected.</w:t>
            </w:r>
          </w:p>
          <w:p w:rsidR="00000000" w:rsidRPr="00C96100" w:rsidP="00C96100">
            <w:pPr>
              <w:pStyle w:val="BodyText"/>
            </w:pPr>
            <w:r w:rsidRPr="00C96100">
              <w:t>If replacement components need to be manufactured for the repair, then the appropriate units should also be selected.</w:t>
            </w:r>
          </w:p>
          <w:p w:rsidR="00000000" w:rsidRPr="00C96100" w:rsidP="00C96100">
            <w:pPr>
              <w:pStyle w:val="BodyText"/>
            </w:pPr>
          </w:p>
          <w:p w:rsidR="00000000" w:rsidRPr="00C96100" w:rsidP="00C96100">
            <w:pPr>
              <w:pStyle w:val="BodyText"/>
            </w:pPr>
            <w:r w:rsidRPr="00C96100">
              <w:rPr>
                <w:rStyle w:val="SpecialBold"/>
              </w:rPr>
              <w:t>Band</w:t>
            </w:r>
            <w:r w:rsidRPr="00C96100">
              <w:t>:</w:t>
            </w:r>
            <w:r w:rsidRPr="00C96100">
              <w:tab/>
            </w:r>
          </w:p>
          <w:p w:rsidR="00000000" w:rsidRPr="00C96100" w:rsidP="00C96100">
            <w:pPr>
              <w:pStyle w:val="BodyText"/>
            </w:pPr>
            <w:r w:rsidRPr="00C96100">
              <w:t>This unit has dual status and is to be regarded as both a Specialisation b</w:t>
            </w:r>
            <w:r w:rsidRPr="00C96100">
              <w:t>and A unit and Specialisation band B unit for progression to C5 (AQF level V).</w:t>
            </w:r>
          </w:p>
          <w:p w:rsidR="00000000" w:rsidRPr="00C96100" w:rsidP="00C96100">
            <w:pPr>
              <w:pStyle w:val="BodyText"/>
            </w:pPr>
            <w:r w:rsidRPr="00C96100">
              <w:rPr>
                <w:rStyle w:val="SpecialBold"/>
              </w:rPr>
              <w:t>Unit Weight</w:t>
            </w:r>
            <w:r w:rsidRPr="00C96100">
              <w:t>:</w:t>
            </w:r>
            <w:r w:rsidRPr="00C96100">
              <w:tab/>
            </w:r>
            <w:r w:rsidRPr="00C96100">
              <w:rPr>
                <w:rStyle w:val="SpecialBold"/>
              </w:rPr>
              <w:t>6</w:t>
            </w:r>
          </w:p>
        </w:tc>
      </w:tr>
    </w:tbl>
    <w:p w:rsidR="0094215D" w:rsidP="00C96100">
      <w:pPr>
        <w:pStyle w:val="BodyText"/>
      </w:pPr>
    </w:p>
    <w:p w:rsidR="0094215D" w:rsidP="00C96100">
      <w:pPr>
        <w:pStyle w:val="BodyText"/>
      </w:pPr>
    </w:p>
    <w:p w:rsidR="00000000" w:rsidRPr="00C96100" w:rsidP="00C96100">
      <w:pPr>
        <w:pStyle w:val="Heading1"/>
      </w:pPr>
      <w:bookmarkStart w:id="4" w:name="O_461812"/>
      <w:bookmarkEnd w:id="4"/>
      <w:r w:rsidRPr="00C96100">
        <w:t>Licensing/Regulatory Information</w:t>
      </w:r>
    </w:p>
    <w:p w:rsidR="00000000" w:rsidRPr="00C96100" w:rsidP="00C96100">
      <w:pPr>
        <w:pStyle w:val="BodyText"/>
      </w:pPr>
      <w:r w:rsidRPr="00C96100">
        <w:t>Not Applicable</w:t>
      </w:r>
    </w:p>
    <w:p w:rsidR="00000000" w:rsidRPr="00C96100" w:rsidP="00C96100">
      <w:pPr>
        <w:pStyle w:val="AllowPageBreak"/>
      </w:pPr>
    </w:p>
    <w:p w:rsidR="00000000" w:rsidRPr="00C96100" w:rsidP="00C96100">
      <w:pPr>
        <w:pStyle w:val="Heading1"/>
      </w:pPr>
      <w:bookmarkStart w:id="5" w:name="O_461810"/>
      <w:bookmarkEnd w:id="5"/>
      <w:r w:rsidRPr="00C96100">
        <w:t>Pre-Requisites</w:t>
      </w:r>
    </w:p>
    <w:tbl>
      <w:tblPr>
        <w:tblW w:w="0" w:type="auto"/>
        <w:tblLayout w:type="fixed"/>
        <w:tblCellMar>
          <w:left w:w="62" w:type="dxa"/>
          <w:right w:w="62" w:type="dxa"/>
        </w:tblCellMar>
        <w:tblLook w:val="0000"/>
      </w:tblPr>
      <w:tblGrid>
        <w:gridCol w:w="2709"/>
        <w:gridCol w:w="2207"/>
        <w:gridCol w:w="3606"/>
      </w:tblGrid>
      <w:tr w:rsidTr="0094215D">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Prerequisite units</w:t>
            </w:r>
          </w:p>
        </w:tc>
        <w:tc>
          <w:tcPr>
            <w:tcW w:w="58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p>
        </w:tc>
      </w:tr>
      <w:tr w:rsidTr="0094215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MEM05006C</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Perform brazing and/or silver soldering</w:t>
            </w:r>
          </w:p>
        </w:tc>
      </w:tr>
      <w:tr w:rsidTr="0094215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MEM12023A</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Perform engineering measurements</w:t>
            </w:r>
          </w:p>
        </w:tc>
      </w:tr>
      <w:tr w:rsidTr="0094215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MEM13003B</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Work safely with industrial chemicals and materials</w:t>
            </w:r>
          </w:p>
        </w:tc>
      </w:tr>
      <w:tr w:rsidTr="0094215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MEM18001C</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Use hand tools</w:t>
            </w:r>
          </w:p>
        </w:tc>
      </w:tr>
      <w:tr w:rsidTr="0094215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MEM18002B</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Use power tools/hand held operations</w:t>
            </w:r>
          </w:p>
        </w:tc>
      </w:tr>
      <w:tr w:rsidTr="0094215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MEM19001B</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Perform jewellery metal casting</w:t>
            </w:r>
          </w:p>
        </w:tc>
      </w:tr>
      <w:tr w:rsidTr="0094215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MEM19003B</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Handle gem materials</w:t>
            </w:r>
          </w:p>
        </w:tc>
      </w:tr>
      <w:tr w:rsidTr="0094215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MEM19016B</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Construct jewellery components</w:t>
            </w:r>
          </w:p>
        </w:tc>
      </w:tr>
      <w:tr w:rsidTr="0094215D">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MEM19017B</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r w:rsidRPr="00C96100">
              <w:t>Fabricate jewellery items</w:t>
            </w:r>
          </w:p>
        </w:tc>
      </w:tr>
    </w:tbl>
    <w:p w:rsidR="0094215D" w:rsidP="00C96100">
      <w:pPr>
        <w:pStyle w:val="BodyText"/>
      </w:pPr>
    </w:p>
    <w:p w:rsidR="0094215D" w:rsidP="00C96100">
      <w:pPr>
        <w:pStyle w:val="BodyText"/>
      </w:pPr>
    </w:p>
    <w:p w:rsidR="00000000" w:rsidRPr="00C96100" w:rsidP="00C96100">
      <w:pPr>
        <w:pStyle w:val="Heading1"/>
      </w:pPr>
      <w:bookmarkStart w:id="6" w:name="O_461815"/>
      <w:bookmarkEnd w:id="6"/>
      <w:r w:rsidRPr="00C96100">
        <w:t>Employability Skills Information</w:t>
      </w:r>
    </w:p>
    <w:tbl>
      <w:tblPr>
        <w:tblW w:w="0" w:type="auto"/>
        <w:tblLayout w:type="fixed"/>
        <w:tblCellMar>
          <w:left w:w="62" w:type="dxa"/>
          <w:right w:w="62" w:type="dxa"/>
        </w:tblCellMar>
        <w:tblLook w:val="0000"/>
      </w:tblPr>
      <w:tblGrid>
        <w:gridCol w:w="2802"/>
        <w:gridCol w:w="5720"/>
      </w:tblGrid>
      <w:tr w:rsidTr="009421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r w:rsidRPr="00C96100">
              <w:t>This unit contains employability skills.</w:t>
            </w:r>
          </w:p>
        </w:tc>
      </w:tr>
    </w:tbl>
    <w:p w:rsidR="0094215D" w:rsidP="00C96100">
      <w:pPr>
        <w:pStyle w:val="BodyText"/>
      </w:pPr>
    </w:p>
    <w:p w:rsidR="0094215D" w:rsidP="00C96100">
      <w:pPr>
        <w:pStyle w:val="BodyText"/>
      </w:pPr>
    </w:p>
    <w:p w:rsidR="00000000" w:rsidRPr="00C96100" w:rsidP="00C96100">
      <w:pPr>
        <w:pStyle w:val="Heading1"/>
      </w:pPr>
      <w:bookmarkStart w:id="7" w:name="O_461816"/>
      <w:bookmarkEnd w:id="7"/>
      <w:r w:rsidRPr="00C96100">
        <w:t>Elements and Performance Criteria Pre-Content</w:t>
      </w:r>
    </w:p>
    <w:tbl>
      <w:tblPr>
        <w:tblW w:w="0" w:type="auto"/>
        <w:tblLayout w:type="fixed"/>
        <w:tblCellMar>
          <w:left w:w="62" w:type="dxa"/>
          <w:right w:w="62" w:type="dxa"/>
        </w:tblCellMar>
        <w:tblLook w:val="0000"/>
      </w:tblPr>
      <w:tblGrid>
        <w:gridCol w:w="2544"/>
        <w:gridCol w:w="5978"/>
      </w:tblGrid>
      <w:tr w:rsidTr="0094215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r w:rsidRPr="00C96100">
              <w:t>Performance criteria describe the performance needed to demonstrate achievement of the element. Where bold italicised text is used, further information is detailed in the required skills and knowledge section and the range statement. Assessment of performa</w:t>
            </w:r>
            <w:r w:rsidRPr="00C96100">
              <w:t>nce is to be consistent with the evidence guide.</w:t>
            </w:r>
          </w:p>
        </w:tc>
      </w:tr>
    </w:tbl>
    <w:p w:rsidR="00000000" w:rsidRPr="00C96100" w:rsidP="00C96100">
      <w:pPr>
        <w:pStyle w:val="BodyText"/>
      </w:pPr>
    </w:p>
    <w:p w:rsidR="00000000" w:rsidRPr="00C96100" w:rsidP="00C96100">
      <w:pPr>
        <w:pStyle w:val="AllowPageBreak"/>
      </w:pPr>
    </w:p>
    <w:p w:rsidR="00000000" w:rsidRPr="00C96100" w:rsidP="00C96100">
      <w:pPr>
        <w:pStyle w:val="Heading1"/>
      </w:pPr>
      <w:bookmarkStart w:id="8" w:name="O_461817"/>
      <w:bookmarkEnd w:id="8"/>
      <w:r w:rsidRPr="00C96100">
        <w:t>Elements and Performance Criteria</w:t>
      </w:r>
    </w:p>
    <w:tbl>
      <w:tblPr>
        <w:tblW w:w="0" w:type="auto"/>
        <w:tblLayout w:type="fixed"/>
        <w:tblCellMar>
          <w:left w:w="62" w:type="dxa"/>
          <w:right w:w="62" w:type="dxa"/>
        </w:tblCellMar>
        <w:tblLook w:val="0000"/>
      </w:tblPr>
      <w:tblGrid>
        <w:gridCol w:w="2544"/>
        <w:gridCol w:w="5978"/>
      </w:tblGrid>
      <w:tr w:rsidTr="0094215D">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r w:rsidRPr="00C96100">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PERFORMANCE CRITERIA</w:t>
            </w:r>
          </w:p>
        </w:tc>
      </w:tr>
      <w:tr w:rsidTr="0094215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List"/>
              <w:rPr>
                <w:lang w:val="en-NZ"/>
              </w:rPr>
            </w:pPr>
            <w:r w:rsidRPr="00C96100">
              <w:t>1.</w:t>
            </w:r>
            <w:r w:rsidRPr="00C96100">
              <w:tab/>
              <w:t xml:space="preserve">Assess item condition </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List2"/>
            </w:pPr>
            <w:r w:rsidRPr="00C96100">
              <w:t>1.1.</w:t>
            </w:r>
            <w:r w:rsidRPr="00C96100">
              <w:tab/>
            </w:r>
            <w:r w:rsidRPr="00C96100">
              <w:t>Item characteristics, construction and composition are identified from specifications in accordance with organisational requirements.</w:t>
            </w:r>
          </w:p>
          <w:p w:rsidR="00000000" w:rsidRPr="00C96100" w:rsidP="00C96100">
            <w:pPr>
              <w:pStyle w:val="List2"/>
            </w:pPr>
            <w:r w:rsidRPr="00C96100">
              <w:t>1.2.</w:t>
            </w:r>
            <w:r w:rsidRPr="00C96100">
              <w:tab/>
              <w:t xml:space="preserve">Personal limitations in assessing item condition are identified and assistance is sought from appropriate sources in </w:t>
            </w:r>
            <w:r w:rsidRPr="00C96100">
              <w:t>accordance with organisational procedures.</w:t>
            </w:r>
          </w:p>
          <w:p w:rsidR="00000000" w:rsidP="00C96100">
            <w:pPr>
              <w:pStyle w:val="List2"/>
              <w:rPr>
                <w:lang w:val="en-NZ"/>
              </w:rPr>
            </w:pPr>
            <w:r w:rsidRPr="00C96100">
              <w:t>1.3.</w:t>
            </w:r>
            <w:r w:rsidRPr="00C96100">
              <w:tab/>
              <w:t>Condition of item and nature/extent of damage is verified in accordance with organisational procedures, established inspection techniques and original specifications.</w:t>
            </w:r>
          </w:p>
        </w:tc>
      </w:tr>
      <w:tr w:rsidTr="0094215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List"/>
              <w:rPr>
                <w:lang w:val="en-NZ"/>
              </w:rPr>
            </w:pPr>
            <w:r w:rsidRPr="00C96100">
              <w:t>2.</w:t>
            </w:r>
            <w:r w:rsidRPr="00C96100">
              <w:tab/>
              <w:t>Establish repair requirements and mat</w:t>
            </w:r>
            <w:r w:rsidRPr="00C96100">
              <w:t>erials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List2"/>
            </w:pPr>
            <w:r w:rsidRPr="00C96100">
              <w:t>2.1.</w:t>
            </w:r>
            <w:r w:rsidRPr="00C96100">
              <w:tab/>
              <w:t>Repair requirements, options and recommended actions are established in accordance with organisational requirements and factors impacting on feasibility of repair.</w:t>
            </w:r>
          </w:p>
          <w:p w:rsidR="00000000" w:rsidRPr="00C96100" w:rsidP="00C96100">
            <w:pPr>
              <w:pStyle w:val="List2"/>
            </w:pPr>
            <w:r w:rsidRPr="00C96100">
              <w:t>2.2.</w:t>
            </w:r>
            <w:r w:rsidRPr="00C96100">
              <w:tab/>
              <w:t xml:space="preserve">Recommended repairs and options are conveyed to client and required repair </w:t>
            </w:r>
            <w:r w:rsidRPr="00C96100">
              <w:t>is work confirmed in accordance with organisational requirements.</w:t>
            </w:r>
          </w:p>
          <w:p w:rsidR="00000000" w:rsidRPr="00C96100" w:rsidP="00C96100">
            <w:pPr>
              <w:pStyle w:val="List2"/>
            </w:pPr>
            <w:r w:rsidRPr="00C96100">
              <w:t>2.3.</w:t>
            </w:r>
            <w:r w:rsidRPr="00C96100">
              <w:tab/>
              <w:t>Appropriate repair techniques are selected in accordance with item construction/condition and identified repair requirements.</w:t>
            </w:r>
          </w:p>
          <w:p w:rsidR="00000000" w:rsidP="00C96100">
            <w:pPr>
              <w:pStyle w:val="List2"/>
              <w:rPr>
                <w:lang w:val="en-NZ"/>
              </w:rPr>
            </w:pPr>
            <w:r w:rsidRPr="00C96100">
              <w:t>2.4.</w:t>
            </w:r>
            <w:r w:rsidRPr="00C96100">
              <w:tab/>
              <w:t>Replacement components are obtained and/or manufacture</w:t>
            </w:r>
            <w:r w:rsidRPr="00C96100">
              <w:t>d in accordance with organisational requirements and in consultation with appropriate person(s).</w:t>
            </w:r>
          </w:p>
        </w:tc>
      </w:tr>
      <w:tr w:rsidTr="0094215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List"/>
              <w:rPr>
                <w:lang w:val="en-NZ"/>
              </w:rPr>
            </w:pPr>
            <w:r w:rsidRPr="00C96100">
              <w:t>3.</w:t>
            </w:r>
            <w:r w:rsidRPr="00C96100">
              <w:tab/>
              <w:t>Carry out repairs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List2"/>
            </w:pPr>
            <w:r w:rsidRPr="00C96100">
              <w:t>3.1.</w:t>
            </w:r>
            <w:r w:rsidRPr="00C96100">
              <w:tab/>
              <w:t xml:space="preserve">Unforeseen conditions/effects of the repair work are identified and appropriate actions are taken in accordance with organisational </w:t>
            </w:r>
            <w:r w:rsidRPr="00C96100">
              <w:t>requirements.</w:t>
            </w:r>
          </w:p>
          <w:p w:rsidR="00000000" w:rsidRPr="00C96100" w:rsidP="00C96100">
            <w:pPr>
              <w:pStyle w:val="List2"/>
            </w:pPr>
            <w:r w:rsidRPr="00C96100">
              <w:t>3.2.</w:t>
            </w:r>
            <w:r w:rsidRPr="00C96100">
              <w:tab/>
              <w:t>Tools, equipment, materials and consumables are selected and used appropriate to job requirements and checked for operational effectiveness in accordance with manufacturers' specifications and organisational procedures.</w:t>
            </w:r>
          </w:p>
          <w:p w:rsidR="00000000" w:rsidRPr="00C96100" w:rsidP="00C96100">
            <w:pPr>
              <w:pStyle w:val="List2"/>
            </w:pPr>
            <w:r w:rsidRPr="00C96100">
              <w:t>3.3.</w:t>
            </w:r>
            <w:r w:rsidRPr="00C96100">
              <w:tab/>
            </w:r>
            <w:r w:rsidRPr="00C96100">
              <w:t>All work is conducted using safe operating practices and protective equipment in accordance with OHS and organisational requirements.</w:t>
            </w:r>
          </w:p>
          <w:p w:rsidR="00000000" w:rsidRPr="00C96100" w:rsidP="00C96100">
            <w:pPr>
              <w:pStyle w:val="List2"/>
            </w:pPr>
            <w:r w:rsidRPr="00C96100">
              <w:t>3.4.</w:t>
            </w:r>
            <w:r w:rsidRPr="00C96100">
              <w:tab/>
              <w:t>Evidence of the repair/repair area is minimised.</w:t>
            </w:r>
          </w:p>
          <w:p w:rsidR="00000000" w:rsidP="00C96100">
            <w:pPr>
              <w:pStyle w:val="List2"/>
              <w:rPr>
                <w:lang w:val="en-NZ"/>
              </w:rPr>
            </w:pPr>
            <w:r w:rsidRPr="00C96100">
              <w:t>3.5.</w:t>
            </w:r>
            <w:r w:rsidRPr="00C96100">
              <w:tab/>
              <w:t>Repaired item conforms with original specifications and/or iden</w:t>
            </w:r>
            <w:r w:rsidRPr="00C96100">
              <w:t>tified customer requirements.</w:t>
            </w:r>
          </w:p>
        </w:tc>
      </w:tr>
      <w:tr w:rsidTr="0094215D">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List"/>
              <w:rPr>
                <w:lang w:val="en-NZ"/>
              </w:rPr>
            </w:pPr>
            <w:r w:rsidRPr="00C96100">
              <w:t>4.</w:t>
            </w:r>
            <w:r w:rsidRPr="00C96100">
              <w:tab/>
              <w:t>Finalise repair</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List2"/>
            </w:pPr>
            <w:r w:rsidRPr="00C96100">
              <w:t>4.1.</w:t>
            </w:r>
            <w:r w:rsidRPr="00C96100">
              <w:tab/>
              <w:t>Finished item is packaged/presented and stored safely in accordance with organisational requirements.</w:t>
            </w:r>
          </w:p>
          <w:p w:rsidR="00000000" w:rsidRPr="00C96100" w:rsidP="00C96100">
            <w:pPr>
              <w:pStyle w:val="List2"/>
            </w:pPr>
            <w:r w:rsidRPr="00C96100">
              <w:t>4.2.</w:t>
            </w:r>
            <w:r w:rsidRPr="00C96100">
              <w:tab/>
              <w:t>Repair work is documented and confirmed with appropriate person(s) in accordance with organisa</w:t>
            </w:r>
            <w:r w:rsidRPr="00C96100">
              <w:t>tional procedures.</w:t>
            </w:r>
          </w:p>
          <w:p w:rsidR="00000000" w:rsidRPr="00C96100" w:rsidP="00C96100">
            <w:pPr>
              <w:pStyle w:val="List2"/>
            </w:pPr>
            <w:r w:rsidRPr="00C96100">
              <w:t>4.3.</w:t>
            </w:r>
            <w:r w:rsidRPr="00C96100">
              <w:tab/>
              <w:t>Work area, tools and equipment are cleaned and stored in accordance with OHS and organisational requirements.</w:t>
            </w:r>
          </w:p>
          <w:p w:rsidR="00000000" w:rsidRPr="00C96100" w:rsidP="00C96100">
            <w:pPr>
              <w:pStyle w:val="List2"/>
            </w:pPr>
            <w:r w:rsidRPr="00C96100">
              <w:t>4.4.</w:t>
            </w:r>
            <w:r w:rsidRPr="00C96100">
              <w:tab/>
              <w:t>Unused/excess materials are collected and stored/reclaimed in accordance with organisational and requirements.</w:t>
            </w:r>
          </w:p>
        </w:tc>
      </w:tr>
    </w:tbl>
    <w:p w:rsidR="0094215D" w:rsidP="00C96100">
      <w:pPr>
        <w:pStyle w:val="BodyText"/>
      </w:pPr>
    </w:p>
    <w:p w:rsidR="0094215D" w:rsidP="00C96100">
      <w:pPr>
        <w:pStyle w:val="BodyText"/>
      </w:pPr>
    </w:p>
    <w:p w:rsidR="00000000" w:rsidRPr="00C96100" w:rsidP="00C96100">
      <w:pPr>
        <w:pStyle w:val="Heading1"/>
      </w:pPr>
      <w:bookmarkStart w:id="9" w:name="O_461808"/>
      <w:bookmarkEnd w:id="9"/>
      <w:r w:rsidRPr="00C96100">
        <w:t>Required Skills and Knowledge</w:t>
      </w:r>
    </w:p>
    <w:tbl>
      <w:tblPr>
        <w:tblW w:w="0" w:type="auto"/>
        <w:tblLayout w:type="fixed"/>
        <w:tblCellMar>
          <w:left w:w="62" w:type="dxa"/>
          <w:right w:w="62" w:type="dxa"/>
        </w:tblCellMar>
        <w:tblLook w:val="0000"/>
      </w:tblPr>
      <w:tblGrid>
        <w:gridCol w:w="8522"/>
      </w:tblGrid>
      <w:tr w:rsidTr="009421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REQUIRED SKILLS AND KNOWLEDGE</w:t>
            </w:r>
          </w:p>
        </w:tc>
      </w:tr>
      <w:tr w:rsidTr="009421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This section describes the skills and knowledge required for this unit.</w:t>
            </w:r>
          </w:p>
        </w:tc>
      </w:tr>
      <w:tr w:rsidTr="009421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Required skills</w:t>
            </w:r>
          </w:p>
        </w:tc>
      </w:tr>
      <w:tr w:rsidTr="009421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r w:rsidRPr="00C96100">
              <w:t>Look for evidence that confirms skills in:</w:t>
            </w:r>
          </w:p>
          <w:p w:rsidR="00000000" w:rsidRPr="00C96100" w:rsidP="00C96100">
            <w:pPr>
              <w:pStyle w:val="ListBullet"/>
            </w:pPr>
            <w:r w:rsidRPr="00C96100">
              <w:t>interpreting design requirements and following instructions (oral or written)</w:t>
            </w:r>
          </w:p>
          <w:p w:rsidR="00000000" w:rsidRPr="00C96100" w:rsidP="00C96100">
            <w:pPr>
              <w:pStyle w:val="ListBullet"/>
            </w:pPr>
            <w:r w:rsidRPr="00C96100">
              <w:t>interpreting drawings</w:t>
            </w:r>
          </w:p>
          <w:p w:rsidR="00000000" w:rsidRPr="00C96100" w:rsidP="00C96100">
            <w:pPr>
              <w:pStyle w:val="ListBullet"/>
            </w:pPr>
            <w:r w:rsidRPr="00C96100">
              <w:t>weighing and measuring</w:t>
            </w:r>
          </w:p>
          <w:p w:rsidR="00000000" w:rsidRPr="00C96100" w:rsidP="00C96100">
            <w:pPr>
              <w:pStyle w:val="ListBullet"/>
            </w:pPr>
            <w:r w:rsidRPr="00C96100">
              <w:t>selecting appropriate tools and equipment</w:t>
            </w:r>
          </w:p>
          <w:p w:rsidR="00000000" w:rsidRPr="00C96100" w:rsidP="00C96100">
            <w:pPr>
              <w:pStyle w:val="ListBullet"/>
            </w:pPr>
            <w:r w:rsidRPr="00C96100">
              <w:t>selecting appropriate materials and repair/manufacturing techniques</w:t>
            </w:r>
          </w:p>
          <w:p w:rsidR="00000000" w:rsidRPr="00C96100" w:rsidP="00C96100">
            <w:pPr>
              <w:pStyle w:val="ListBullet"/>
            </w:pPr>
            <w:r w:rsidRPr="00C96100">
              <w:t>applying appropriate fa</w:t>
            </w:r>
            <w:r w:rsidRPr="00C96100">
              <w:t>brication and finishing procedures</w:t>
            </w:r>
          </w:p>
          <w:p w:rsidR="00000000" w:rsidRPr="00C96100" w:rsidP="00C96100">
            <w:pPr>
              <w:pStyle w:val="ListBullet"/>
            </w:pPr>
            <w:r w:rsidRPr="00C96100">
              <w:t>working safely</w:t>
            </w:r>
          </w:p>
          <w:p w:rsidR="00000000" w:rsidRPr="00C96100" w:rsidP="00C96100">
            <w:pPr>
              <w:pStyle w:val="ListBullet"/>
            </w:pPr>
            <w:r w:rsidRPr="00C96100">
              <w:t>identifying alternative metals</w:t>
            </w:r>
          </w:p>
          <w:p w:rsidR="00000000" w:rsidRPr="00C96100" w:rsidP="00C96100">
            <w:pPr>
              <w:pStyle w:val="ListBullet"/>
            </w:pPr>
            <w:r w:rsidRPr="00C96100">
              <w:t>reading and interpreting routine information on written job instructions, specifications and standard operating procedures. May include drawings</w:t>
            </w:r>
          </w:p>
          <w:p w:rsidR="00000000" w:rsidP="00C96100">
            <w:pPr>
              <w:pStyle w:val="ListBullet"/>
              <w:rPr>
                <w:lang w:val="en-NZ"/>
              </w:rPr>
            </w:pPr>
            <w:r w:rsidRPr="00C96100">
              <w:t>entering routine and familiar information onto proforma and standard workplace forms</w:t>
            </w:r>
          </w:p>
        </w:tc>
      </w:tr>
      <w:tr w:rsidTr="009421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Required knowledge</w:t>
            </w:r>
          </w:p>
        </w:tc>
      </w:tr>
      <w:tr w:rsidTr="009421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r w:rsidRPr="00C96100">
              <w:t>Look for evidence that confirms knowledge of:</w:t>
            </w:r>
          </w:p>
          <w:p w:rsidR="00000000" w:rsidRPr="00C96100" w:rsidP="00C96100">
            <w:pPr>
              <w:pStyle w:val="ListBullet"/>
            </w:pPr>
            <w:r w:rsidRPr="00C96100">
              <w:t>reasons for selecting particular metals, construction methods, repair/manufacturing and finishing techn</w:t>
            </w:r>
            <w:r w:rsidRPr="00C96100">
              <w:t>iques</w:t>
            </w:r>
          </w:p>
          <w:p w:rsidR="00000000" w:rsidRPr="00C96100" w:rsidP="00C96100">
            <w:pPr>
              <w:pStyle w:val="ListBullet"/>
            </w:pPr>
            <w:r w:rsidRPr="00C96100">
              <w:t>knowledge of workplace hazards and emergency procedures</w:t>
            </w:r>
          </w:p>
          <w:p w:rsidR="00000000" w:rsidRPr="00C96100" w:rsidP="00C96100">
            <w:pPr>
              <w:pStyle w:val="ListBullet"/>
            </w:pPr>
            <w:r w:rsidRPr="00C96100">
              <w:t>use and application of personal protective equipment</w:t>
            </w:r>
          </w:p>
          <w:p w:rsidR="00000000" w:rsidRPr="00C96100" w:rsidP="00C96100">
            <w:pPr>
              <w:pStyle w:val="ListBullet"/>
            </w:pPr>
            <w:r w:rsidRPr="00C96100">
              <w:t>safe work practices and procedures</w:t>
            </w:r>
          </w:p>
        </w:tc>
      </w:tr>
    </w:tbl>
    <w:p w:rsidR="0094215D" w:rsidP="00C96100">
      <w:pPr>
        <w:pStyle w:val="BodyText"/>
      </w:pPr>
    </w:p>
    <w:p w:rsidR="0094215D" w:rsidP="00C96100">
      <w:pPr>
        <w:pStyle w:val="BodyText"/>
      </w:pPr>
    </w:p>
    <w:p w:rsidR="00000000" w:rsidRPr="00C96100" w:rsidP="00C96100">
      <w:pPr>
        <w:pStyle w:val="AllowPageBreak"/>
      </w:pPr>
    </w:p>
    <w:p w:rsidR="00000000" w:rsidRPr="00C96100" w:rsidP="00C96100">
      <w:pPr>
        <w:pStyle w:val="Heading1"/>
      </w:pPr>
      <w:bookmarkStart w:id="10" w:name="O_461814"/>
      <w:bookmarkEnd w:id="10"/>
      <w:r w:rsidRPr="00C96100">
        <w:t>Evidence Guide</w:t>
      </w:r>
    </w:p>
    <w:tbl>
      <w:tblPr>
        <w:tblW w:w="9570" w:type="dxa"/>
        <w:tblLayout w:type="fixed"/>
        <w:tblCellMar>
          <w:left w:w="62" w:type="dxa"/>
          <w:right w:w="62" w:type="dxa"/>
        </w:tblCellMar>
        <w:tblLook w:val="0000"/>
      </w:tblPr>
      <w:tblGrid>
        <w:gridCol w:w="3908"/>
        <w:gridCol w:w="5662"/>
      </w:tblGrid>
      <w:tr w:rsidTr="009421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EVIDENCE GUIDE</w:t>
            </w:r>
          </w:p>
        </w:tc>
      </w:tr>
      <w:tr w:rsidTr="009421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The evidence guide provides advice on assessment and must be read in conjunction with the performance criteria, required skills and knowledge, range statement and the Assessment Guidelines for the Training Package.</w:t>
            </w:r>
          </w:p>
        </w:tc>
      </w:tr>
      <w:tr w:rsidTr="009421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A person who dem</w:t>
            </w:r>
            <w:r w:rsidRPr="00C96100">
              <w:t>onstrates competency in this unit must be able to repair to jewellery items in accordance with customary industry practice. Competency in this unit cannot be claimed until all prerequisites have been satisfied.</w:t>
            </w:r>
          </w:p>
        </w:tc>
      </w:tr>
      <w:tr w:rsidTr="009421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Critical aspects for assessment and evidence</w:t>
            </w:r>
            <w:r w:rsidRPr="00C96100">
              <w:rPr>
                <w:rStyle w:val="SpecialBold"/>
              </w:rPr>
              <w:t xml:space="preserv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Assessors must be satisfied that the candidate can competently and consistently perform all elements of the unit as specified by the criteria, including required knowledge, and be capable of applying the com</w:t>
            </w:r>
            <w:r w:rsidRPr="00C96100">
              <w:t>petency in new and different situations and contexts.</w:t>
            </w:r>
          </w:p>
        </w:tc>
      </w:tr>
      <w:tr w:rsidTr="009421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r w:rsidRPr="00C96100">
              <w:t>This unit may be assessed on the job, off the job or a combination of both on and off the job. Where assessment occurs off the job, that is the candidat</w:t>
            </w:r>
            <w:r w:rsidRPr="00C96100">
              <w:t>e is not in productive work, then an appropriate simulation must be used where the range of conditions reflects realistic workplace situations. The competencies covered by this unit would be demonstrated by an individual working alone or as part of a team.</w:t>
            </w:r>
            <w:r w:rsidRPr="00C96100">
              <w:t xml:space="preserve"> The assessment environment should not disadvantage the candidate. </w:t>
            </w:r>
          </w:p>
          <w:p w:rsidR="00000000" w:rsidP="00C96100">
            <w:pPr>
              <w:pStyle w:val="BodyText"/>
              <w:rPr>
                <w:lang w:val="en-NZ"/>
              </w:rPr>
            </w:pPr>
            <w:r w:rsidRPr="00C96100">
              <w:t>This unit could be assessed in conjunction with any other units addressing the safety, quality, communication, materials handling, recording and reporting associated with jewellery repair or other units requiring the exercise of the skills and knowledge co</w:t>
            </w:r>
            <w:r w:rsidRPr="00C96100">
              <w:t>vered by this unit.</w:t>
            </w:r>
          </w:p>
        </w:tc>
      </w:tr>
      <w:tr w:rsidTr="009421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Assessors should gather a range of evidence that is valid, sufficient, current and authentic. Evidence can be gathered through a variety of ways including direct observation, supervisor's reports, project work, sam</w:t>
            </w:r>
            <w:r w:rsidRPr="00C96100">
              <w:t>ples and questioning. Questioning techniques should not require language, literacy and numeracy skills beyond those required in this unit of competency. The candidate must have access to all tools, equipment, materials and documentation required. The candi</w:t>
            </w:r>
            <w:r w:rsidRPr="00C96100">
              <w:t>date must be permitted to refer to any relevant workplace procedures, product and manufacturing specifications, codes, standards, manuals and reference materials.</w:t>
            </w:r>
          </w:p>
        </w:tc>
      </w:tr>
      <w:tr w:rsidTr="009421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p>
        </w:tc>
      </w:tr>
    </w:tbl>
    <w:p w:rsidR="0094215D" w:rsidP="00C96100">
      <w:pPr>
        <w:pStyle w:val="BodyText"/>
      </w:pPr>
    </w:p>
    <w:p w:rsidR="0094215D" w:rsidP="00C96100">
      <w:pPr>
        <w:pStyle w:val="BodyText"/>
      </w:pPr>
    </w:p>
    <w:p w:rsidR="00000000" w:rsidRPr="00C96100" w:rsidP="00C96100">
      <w:pPr>
        <w:pStyle w:val="Heading1"/>
      </w:pPr>
      <w:bookmarkStart w:id="11" w:name="O_461809"/>
      <w:bookmarkEnd w:id="11"/>
      <w:r w:rsidRPr="00C96100">
        <w:t>Range Statement</w:t>
      </w:r>
    </w:p>
    <w:tbl>
      <w:tblPr>
        <w:tblW w:w="0" w:type="auto"/>
        <w:tblLayout w:type="fixed"/>
        <w:tblCellMar>
          <w:left w:w="62" w:type="dxa"/>
          <w:right w:w="62" w:type="dxa"/>
        </w:tblCellMar>
        <w:tblLook w:val="0000"/>
      </w:tblPr>
      <w:tblGrid>
        <w:gridCol w:w="3566"/>
        <w:gridCol w:w="4956"/>
      </w:tblGrid>
      <w:tr w:rsidTr="009421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RANGE STATEMENT</w:t>
            </w:r>
          </w:p>
        </w:tc>
      </w:tr>
      <w:tr w:rsidTr="009421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The range statement relates to the unit of competency as a whole. It allows for different work environments and situations that may affect perform</w:t>
            </w:r>
            <w:r w:rsidRPr="00C96100">
              <w:t xml:space="preserve">ance. Bold italicised wording, if used in the performance criteria, is detailed below. Essential operating conditions that may be present with training and assessment (depending on the work situation, needs of the candidate, accessibility of the item, and </w:t>
            </w:r>
            <w:r w:rsidRPr="00C96100">
              <w:t>local industry and regional contexts) may also be included.</w:t>
            </w:r>
          </w:p>
        </w:tc>
      </w:tr>
      <w:tr w:rsidTr="0094215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Factors impacting on feasibility of repair</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Cost, time, feasibility, value</w:t>
            </w:r>
          </w:p>
        </w:tc>
      </w:tr>
      <w:tr w:rsidTr="0094215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Repair techniques</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ListBullet"/>
            </w:pPr>
            <w:r w:rsidRPr="00C96100">
              <w:t>Retipping</w:t>
            </w:r>
          </w:p>
          <w:p w:rsidR="00000000" w:rsidRPr="00C96100" w:rsidP="00C96100">
            <w:pPr>
              <w:pStyle w:val="ListBullet"/>
            </w:pPr>
            <w:r w:rsidRPr="00C96100">
              <w:t>Reshank</w:t>
            </w:r>
          </w:p>
          <w:p w:rsidR="00000000" w:rsidRPr="00C96100" w:rsidP="00C96100">
            <w:pPr>
              <w:pStyle w:val="ListBullet"/>
            </w:pPr>
            <w:r w:rsidRPr="00C96100">
              <w:t>Restoration</w:t>
            </w:r>
          </w:p>
          <w:p w:rsidR="00000000" w:rsidRPr="00C96100" w:rsidP="00C96100">
            <w:pPr>
              <w:pStyle w:val="ListBullet"/>
            </w:pPr>
            <w:r w:rsidRPr="00C96100">
              <w:t>New collets</w:t>
            </w:r>
          </w:p>
          <w:p w:rsidR="00000000" w:rsidRPr="00C96100" w:rsidP="00C96100">
            <w:pPr>
              <w:pStyle w:val="ListBullet"/>
            </w:pPr>
            <w:r w:rsidRPr="00C96100">
              <w:t>Chain repairs</w:t>
            </w:r>
          </w:p>
          <w:p w:rsidR="00000000" w:rsidP="00C96100">
            <w:pPr>
              <w:pStyle w:val="ListBullet"/>
              <w:rPr>
                <w:lang w:val="en-NZ"/>
              </w:rPr>
            </w:pPr>
            <w:r w:rsidRPr="00C96100">
              <w:t>Fastening mechanism repairs</w:t>
            </w:r>
          </w:p>
        </w:tc>
      </w:tr>
      <w:tr w:rsidTr="0094215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Appropriate person</w:t>
            </w:r>
            <w:r w:rsidRPr="00C96100">
              <w:t>(</w:t>
            </w:r>
            <w:r w:rsidRPr="00C96100">
              <w:rPr>
                <w:rStyle w:val="SpecialBold"/>
              </w:rPr>
              <w:t>s</w:t>
            </w:r>
            <w:r w:rsidRPr="00C96100">
              <w:t>)</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Supervisors, managers, suppliers, technical experts, colleagues</w:t>
            </w:r>
          </w:p>
        </w:tc>
      </w:tr>
      <w:tr w:rsidTr="0094215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Unforeseen conditions</w:t>
            </w:r>
            <w:r w:rsidRPr="00C96100">
              <w:t>/</w:t>
            </w:r>
            <w:r w:rsidRPr="00C96100">
              <w:rPr>
                <w:rStyle w:val="SpecialBold"/>
              </w:rPr>
              <w:t>effects</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r w:rsidRPr="00C96100">
              <w:t>Effects which could be caused by previous construction and repair techniques</w:t>
            </w:r>
          </w:p>
          <w:p w:rsidR="00000000" w:rsidP="00C96100">
            <w:pPr>
              <w:pStyle w:val="BodyText"/>
              <w:rPr>
                <w:lang w:val="en-NZ"/>
              </w:rPr>
            </w:pPr>
            <w:r w:rsidRPr="00C96100">
              <w:t>Effects of the repair process on stones or other components</w:t>
            </w:r>
          </w:p>
        </w:tc>
      </w:tr>
      <w:tr w:rsidTr="0094215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Tools</w:t>
            </w:r>
            <w:r w:rsidRPr="00C96100">
              <w:t xml:space="preserve">, </w:t>
            </w:r>
            <w:r w:rsidRPr="00C96100">
              <w:rPr>
                <w:rStyle w:val="SpecialBold"/>
              </w:rPr>
              <w:t>equipment</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All hand and power tools appropriate to construction and repair of jewellery items and personal protective equipment</w:t>
            </w:r>
          </w:p>
        </w:tc>
      </w:tr>
      <w:tr w:rsidTr="0094215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Materials</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Precious and non-precious metals</w:t>
            </w:r>
          </w:p>
        </w:tc>
      </w:tr>
      <w:tr w:rsidTr="0094215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Consumables</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t>Solders and fluxes, drills and blades, polishing compounds, cleaning and finishing materials, adhesives</w:t>
            </w:r>
          </w:p>
        </w:tc>
      </w:tr>
      <w:tr w:rsidTr="0094215D">
        <w:tblPrEx>
          <w:tblW w:w="0" w:type="auto"/>
          <w:tblLayout w:type="fixed"/>
          <w:tblCellMar>
            <w:left w:w="62" w:type="dxa"/>
            <w:right w:w="62" w:type="dxa"/>
          </w:tblCellMar>
          <w:tblLook w:val="0000"/>
        </w:tblPrEx>
        <w:tc>
          <w:tcPr>
            <w:tcW w:w="3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Documentation</w:t>
            </w:r>
          </w:p>
        </w:tc>
        <w:tc>
          <w:tcPr>
            <w:tcW w:w="4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r w:rsidRPr="00C96100">
              <w:t>Job packet, work instructions and procedures, parts and components reference material, materials and consumables used, time and record sh</w:t>
            </w:r>
            <w:r w:rsidRPr="00C96100">
              <w:t>eets</w:t>
            </w:r>
          </w:p>
        </w:tc>
      </w:tr>
    </w:tbl>
    <w:p w:rsidR="0094215D" w:rsidP="00C96100">
      <w:pPr>
        <w:pStyle w:val="BodyText"/>
      </w:pPr>
    </w:p>
    <w:p w:rsidR="0094215D" w:rsidP="00C96100">
      <w:pPr>
        <w:pStyle w:val="BodyText"/>
      </w:pPr>
    </w:p>
    <w:p w:rsidR="00000000" w:rsidRPr="00C96100" w:rsidP="00C96100">
      <w:pPr>
        <w:pStyle w:val="Heading1"/>
      </w:pPr>
      <w:bookmarkStart w:id="12" w:name="O_461806"/>
      <w:bookmarkEnd w:id="12"/>
      <w:r w:rsidRPr="00C96100">
        <w:t>Unit Sector(s)</w:t>
      </w:r>
    </w:p>
    <w:tbl>
      <w:tblPr>
        <w:tblW w:w="0" w:type="auto"/>
        <w:tblLayout w:type="fixed"/>
        <w:tblCellMar>
          <w:left w:w="62" w:type="dxa"/>
          <w:right w:w="62" w:type="dxa"/>
        </w:tblCellMar>
        <w:tblLook w:val="0000"/>
      </w:tblPr>
      <w:tblGrid>
        <w:gridCol w:w="2654"/>
        <w:gridCol w:w="5868"/>
      </w:tblGrid>
      <w:tr w:rsidTr="0094215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p>
        </w:tc>
      </w:tr>
    </w:tbl>
    <w:p w:rsidR="0094215D" w:rsidP="00C96100">
      <w:pPr>
        <w:pStyle w:val="BodyText"/>
      </w:pPr>
    </w:p>
    <w:p w:rsidR="0094215D" w:rsidP="00C96100">
      <w:pPr>
        <w:pStyle w:val="BodyText"/>
      </w:pPr>
    </w:p>
    <w:p w:rsidR="00000000" w:rsidRPr="00C96100" w:rsidP="00C96100">
      <w:pPr>
        <w:pStyle w:val="Heading1"/>
      </w:pPr>
      <w:bookmarkStart w:id="13" w:name="O_461818"/>
      <w:bookmarkEnd w:id="13"/>
      <w:r w:rsidRPr="00C96100">
        <w:t>Co-requisite units</w:t>
      </w:r>
    </w:p>
    <w:tbl>
      <w:tblPr>
        <w:tblW w:w="0" w:type="auto"/>
        <w:tblLayout w:type="fixed"/>
        <w:tblCellMar>
          <w:left w:w="62" w:type="dxa"/>
          <w:right w:w="62" w:type="dxa"/>
        </w:tblCellMar>
        <w:tblLook w:val="0000"/>
      </w:tblPr>
      <w:tblGrid>
        <w:gridCol w:w="2641"/>
        <w:gridCol w:w="1322"/>
        <w:gridCol w:w="4559"/>
      </w:tblGrid>
      <w:tr w:rsidTr="009421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p>
        </w:tc>
      </w:tr>
      <w:tr w:rsidTr="009421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p>
        </w:tc>
      </w:tr>
      <w:tr w:rsidTr="009421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p>
        </w:tc>
      </w:tr>
    </w:tbl>
    <w:p w:rsidR="0094215D" w:rsidP="00C96100">
      <w:pPr>
        <w:pStyle w:val="BodyText"/>
      </w:pPr>
    </w:p>
    <w:p w:rsidR="0094215D" w:rsidP="00C96100">
      <w:pPr>
        <w:pStyle w:val="BodyText"/>
      </w:pPr>
    </w:p>
    <w:p w:rsidR="00000000" w:rsidRPr="00C96100" w:rsidP="00C96100">
      <w:pPr>
        <w:pStyle w:val="Heading1"/>
      </w:pPr>
      <w:bookmarkStart w:id="14" w:name="O_461819"/>
      <w:bookmarkEnd w:id="14"/>
      <w:r w:rsidRPr="00C96100">
        <w:t>Competency field</w:t>
      </w:r>
    </w:p>
    <w:tbl>
      <w:tblPr>
        <w:tblW w:w="0" w:type="auto"/>
        <w:tblLayout w:type="fixed"/>
        <w:tblCellMar>
          <w:left w:w="62" w:type="dxa"/>
          <w:right w:w="62" w:type="dxa"/>
        </w:tblCellMar>
        <w:tblLook w:val="0000"/>
      </w:tblPr>
      <w:tblGrid>
        <w:gridCol w:w="2777"/>
        <w:gridCol w:w="5745"/>
      </w:tblGrid>
      <w:tr w:rsidTr="0094215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100">
            <w:pPr>
              <w:pStyle w:val="BodyText"/>
              <w:rPr>
                <w:lang w:val="en-NZ"/>
              </w:rPr>
            </w:pPr>
            <w:r w:rsidRPr="00C9610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100" w:rsidP="00C96100">
            <w:pPr>
              <w:pStyle w:val="BodyText"/>
            </w:pPr>
            <w:r w:rsidRPr="00C96100">
              <w:t>Jewellery and horological</w:t>
            </w:r>
          </w:p>
        </w:tc>
      </w:tr>
    </w:tbl>
    <w:p w:rsidR="0094215D" w:rsidP="00C96100">
      <w:pPr>
        <w:pStyle w:val="BodyText"/>
      </w:pPr>
    </w:p>
    <w:p w:rsidR="0094215D" w:rsidP="00C96100">
      <w:pPr>
        <w:pStyle w:val="BodyText"/>
      </w:pPr>
    </w:p>
    <w:p w:rsidR="00000000" w:rsidRPr="00C96100" w:rsidP="00C96100"/>
    <w:sectPr w:rsidSect="00C961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15D" w:rsidP="009421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5D" w:rsidP="00C961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215D" w:rsidP="00C961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215D" w:rsidP="00C961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15D" w:rsidP="009421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15D" w:rsidP="00C96100">
    <w:pPr>
      <w:pStyle w:val="Header"/>
      <w:framePr w:wrap="around"/>
    </w:pPr>
    <w:r>
      <w:fldChar w:fldCharType="begin"/>
    </w:r>
    <w:r>
      <w:instrText xml:space="preserve"> TITLE   \* MERGEFORMAT </w:instrText>
    </w:r>
    <w:r>
      <w:fldChar w:fldCharType="separate"/>
    </w:r>
    <w:r>
      <w:t>MEM19018B Repair jewellery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215D" w:rsidP="00C961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A459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6692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1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6100"/>
    <w:pPr>
      <w:spacing w:before="360" w:after="60"/>
      <w:outlineLvl w:val="0"/>
    </w:pPr>
    <w:rPr>
      <w:sz w:val="32"/>
    </w:rPr>
  </w:style>
  <w:style w:type="paragraph" w:styleId="Heading2">
    <w:name w:val="heading 2"/>
    <w:basedOn w:val="HeadingBase"/>
    <w:next w:val="BodyText"/>
    <w:link w:val="Heading2Char"/>
    <w:qFormat/>
    <w:rsid w:val="00C96100"/>
    <w:pPr>
      <w:keepLines/>
      <w:spacing w:before="240" w:after="120"/>
      <w:outlineLvl w:val="1"/>
    </w:pPr>
    <w:rPr>
      <w:sz w:val="28"/>
      <w:szCs w:val="40"/>
    </w:rPr>
  </w:style>
  <w:style w:type="paragraph" w:styleId="Heading3">
    <w:name w:val="heading 3"/>
    <w:basedOn w:val="HeadingBase"/>
    <w:next w:val="BodyText"/>
    <w:link w:val="Heading3Char"/>
    <w:qFormat/>
    <w:rsid w:val="00C96100"/>
    <w:pPr>
      <w:spacing w:before="180" w:after="120"/>
      <w:outlineLvl w:val="2"/>
    </w:pPr>
    <w:rPr>
      <w:spacing w:val="-10"/>
      <w:kern w:val="32"/>
    </w:rPr>
  </w:style>
  <w:style w:type="paragraph" w:styleId="Heading4">
    <w:name w:val="heading 4"/>
    <w:basedOn w:val="HeadingBase"/>
    <w:next w:val="BodyText"/>
    <w:link w:val="Heading4Char"/>
    <w:qFormat/>
    <w:rsid w:val="00C96100"/>
    <w:pPr>
      <w:spacing w:before="160" w:after="120"/>
      <w:outlineLvl w:val="3"/>
    </w:pPr>
    <w:rPr>
      <w:sz w:val="22"/>
    </w:rPr>
  </w:style>
  <w:style w:type="paragraph" w:styleId="Heading5">
    <w:name w:val="heading 5"/>
    <w:basedOn w:val="HeadingBase"/>
    <w:next w:val="Normal"/>
    <w:link w:val="Heading5Char"/>
    <w:qFormat/>
    <w:rsid w:val="00C96100"/>
    <w:pPr>
      <w:spacing w:before="80"/>
      <w:outlineLvl w:val="4"/>
    </w:pPr>
    <w:rPr>
      <w:color w:val="918585"/>
      <w:sz w:val="20"/>
    </w:rPr>
  </w:style>
  <w:style w:type="paragraph" w:styleId="Heading6">
    <w:name w:val="heading 6"/>
    <w:basedOn w:val="HeadingBase"/>
    <w:next w:val="Normal"/>
    <w:link w:val="Heading6Char"/>
    <w:qFormat/>
    <w:rsid w:val="00C96100"/>
    <w:pPr>
      <w:spacing w:before="60"/>
      <w:outlineLvl w:val="5"/>
    </w:pPr>
    <w:rPr>
      <w:color w:val="918585"/>
      <w:sz w:val="20"/>
    </w:rPr>
  </w:style>
  <w:style w:type="paragraph" w:styleId="Heading7">
    <w:name w:val="heading 7"/>
    <w:basedOn w:val="Normal"/>
    <w:next w:val="Normal"/>
    <w:link w:val="Heading7Char"/>
    <w:qFormat/>
    <w:rsid w:val="00C96100"/>
    <w:pPr>
      <w:ind w:left="720"/>
      <w:outlineLvl w:val="6"/>
    </w:pPr>
    <w:rPr>
      <w:i/>
    </w:rPr>
  </w:style>
  <w:style w:type="paragraph" w:styleId="Heading8">
    <w:name w:val="heading 8"/>
    <w:basedOn w:val="Normal"/>
    <w:next w:val="Normal"/>
    <w:link w:val="Heading8Char"/>
    <w:qFormat/>
    <w:rsid w:val="00C96100"/>
    <w:pPr>
      <w:ind w:left="720"/>
      <w:outlineLvl w:val="7"/>
    </w:pPr>
    <w:rPr>
      <w:i/>
    </w:rPr>
  </w:style>
  <w:style w:type="paragraph" w:styleId="Heading9">
    <w:name w:val="heading 9"/>
    <w:basedOn w:val="Normal"/>
    <w:next w:val="Normal"/>
    <w:link w:val="Heading9Char"/>
    <w:qFormat/>
    <w:rsid w:val="00C96100"/>
    <w:pPr>
      <w:ind w:left="720"/>
      <w:outlineLvl w:val="8"/>
    </w:pPr>
    <w:rPr>
      <w:i/>
    </w:rPr>
  </w:style>
  <w:style w:type="character" w:default="1" w:styleId="DefaultParagraphFont">
    <w:name w:val="Default Paragraph Font"/>
    <w:uiPriority w:val="1"/>
    <w:unhideWhenUsed/>
    <w:rsid w:val="00C96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100"/>
  </w:style>
  <w:style w:type="character" w:customStyle="1" w:styleId="Heading1Char">
    <w:name w:val="Heading 1 Char"/>
    <w:basedOn w:val="DefaultParagraphFont"/>
    <w:link w:val="Heading1"/>
    <w:rsid w:val="00C96100"/>
    <w:rPr>
      <w:rFonts w:ascii="Times New Roman" w:eastAsia="Times New Roman" w:hAnsi="Times New Roman" w:cs="Times New Roman"/>
      <w:b/>
      <w:sz w:val="32"/>
      <w:szCs w:val="20"/>
      <w:lang w:eastAsia="en-US"/>
    </w:rPr>
  </w:style>
  <w:style w:type="paragraph" w:styleId="BodyText">
    <w:name w:val="Body Text"/>
    <w:basedOn w:val="Normal"/>
    <w:link w:val="BodyTextChar"/>
    <w:rsid w:val="00C961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6100"/>
    <w:rPr>
      <w:rFonts w:ascii="Times New Roman" w:eastAsia="Times New Roman" w:hAnsi="Times New Roman" w:cs="Times New Roman"/>
      <w:sz w:val="24"/>
      <w:lang w:val="en-US" w:eastAsia="en-US"/>
    </w:rPr>
  </w:style>
  <w:style w:type="paragraph" w:styleId="Footer">
    <w:name w:val="footer"/>
    <w:basedOn w:val="Normal"/>
    <w:link w:val="FooterChar"/>
    <w:rsid w:val="00C96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100"/>
    <w:rPr>
      <w:rFonts w:ascii="Times New Roman" w:eastAsia="Times New Roman" w:hAnsi="Times New Roman" w:cs="Times New Roman"/>
      <w:sz w:val="16"/>
      <w:lang w:val="en-US" w:eastAsia="en-US"/>
    </w:rPr>
  </w:style>
  <w:style w:type="paragraph" w:styleId="List">
    <w:name w:val="List"/>
    <w:basedOn w:val="BodyText"/>
    <w:next w:val="BodyText"/>
    <w:rsid w:val="00C96100"/>
    <w:pPr>
      <w:tabs>
        <w:tab w:val="left" w:pos="340"/>
      </w:tabs>
      <w:spacing w:before="60" w:after="60"/>
      <w:ind w:left="340" w:hanging="340"/>
    </w:pPr>
  </w:style>
  <w:style w:type="paragraph" w:styleId="ListBullet">
    <w:name w:val="List Bullet"/>
    <w:basedOn w:val="List"/>
    <w:rsid w:val="00C96100"/>
    <w:pPr>
      <w:numPr>
        <w:numId w:val="12"/>
      </w:numPr>
      <w:tabs>
        <w:tab w:val="clear" w:pos="340"/>
      </w:tabs>
      <w:spacing w:before="40" w:after="40"/>
    </w:pPr>
  </w:style>
  <w:style w:type="character" w:customStyle="1" w:styleId="SpecialBold">
    <w:name w:val="Special Bold"/>
    <w:basedOn w:val="DefaultParagraphFont"/>
    <w:rsid w:val="00C96100"/>
    <w:rPr>
      <w:b/>
      <w:spacing w:val="0"/>
    </w:rPr>
  </w:style>
  <w:style w:type="paragraph" w:styleId="Header">
    <w:name w:val="header"/>
    <w:basedOn w:val="Normal"/>
    <w:link w:val="HeaderChar"/>
    <w:rsid w:val="00C96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1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6100"/>
    <w:pPr>
      <w:spacing w:before="240" w:after="120"/>
      <w:outlineLvl w:val="0"/>
    </w:pPr>
    <w:rPr>
      <w:rFonts w:ascii="Times New Roman" w:hAnsi="Times New Roman"/>
      <w:b/>
      <w:sz w:val="28"/>
    </w:rPr>
  </w:style>
  <w:style w:type="paragraph" w:customStyle="1" w:styleId="AllowPageBreak">
    <w:name w:val="AllowPageBreak"/>
    <w:rsid w:val="00C961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6100"/>
    <w:pPr>
      <w:tabs>
        <w:tab w:val="left" w:pos="680"/>
      </w:tabs>
      <w:spacing w:before="60" w:after="60"/>
      <w:ind w:left="680" w:hanging="340"/>
    </w:pPr>
  </w:style>
  <w:style w:type="character" w:customStyle="1" w:styleId="Heading2Char">
    <w:name w:val="Heading 2 Char"/>
    <w:basedOn w:val="DefaultParagraphFont"/>
    <w:link w:val="Heading2"/>
    <w:rsid w:val="00C961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1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1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1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1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61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6100"/>
    <w:rPr>
      <w:rFonts w:ascii="Courier New" w:eastAsia="Times New Roman" w:hAnsi="Courier New" w:cs="Times New Roman"/>
      <w:i/>
      <w:szCs w:val="20"/>
      <w:lang w:val="en-US" w:eastAsia="en-US"/>
    </w:rPr>
  </w:style>
  <w:style w:type="paragraph" w:customStyle="1" w:styleId="HeadingBase">
    <w:name w:val="Heading Base"/>
    <w:rsid w:val="00C96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100"/>
    <w:pPr>
      <w:tabs>
        <w:tab w:val="right" w:leader="dot" w:pos="9072"/>
      </w:tabs>
      <w:ind w:left="567"/>
    </w:pPr>
    <w:rPr>
      <w:szCs w:val="22"/>
    </w:rPr>
  </w:style>
  <w:style w:type="paragraph" w:customStyle="1" w:styleId="TOCBase">
    <w:name w:val="TOC Base"/>
    <w:rsid w:val="00C96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100"/>
    <w:pPr>
      <w:tabs>
        <w:tab w:val="right" w:leader="dot" w:pos="9072"/>
      </w:tabs>
      <w:spacing w:before="40" w:after="40"/>
      <w:ind w:left="284"/>
    </w:pPr>
    <w:rPr>
      <w:rFonts w:ascii="Times New Roman" w:hAnsi="Times New Roman"/>
    </w:rPr>
  </w:style>
  <w:style w:type="paragraph" w:styleId="TOC1">
    <w:name w:val="toc 1"/>
    <w:basedOn w:val="TOCBase"/>
    <w:next w:val="Normal"/>
    <w:rsid w:val="00C961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6100"/>
    <w:pPr>
      <w:spacing w:before="5040"/>
      <w:jc w:val="center"/>
    </w:pPr>
    <w:rPr>
      <w:sz w:val="48"/>
      <w:szCs w:val="72"/>
      <w:lang w:val="en-US"/>
    </w:rPr>
  </w:style>
  <w:style w:type="character" w:customStyle="1" w:styleId="TitleChar">
    <w:name w:val="Title Char"/>
    <w:basedOn w:val="DefaultParagraphFont"/>
    <w:link w:val="Title"/>
    <w:rsid w:val="00C96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100"/>
    <w:pPr>
      <w:tabs>
        <w:tab w:val="left" w:pos="3600"/>
        <w:tab w:val="left" w:pos="3958"/>
      </w:tabs>
    </w:pPr>
  </w:style>
  <w:style w:type="paragraph" w:customStyle="1" w:styleId="Note">
    <w:name w:val="Note"/>
    <w:basedOn w:val="BodyText"/>
    <w:rsid w:val="00C961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100"/>
    <w:pPr>
      <w:framePr w:wrap="auto" w:hAnchor="text" w:y="6049"/>
    </w:pPr>
    <w:rPr>
      <w:color w:val="000000"/>
      <w:sz w:val="40"/>
    </w:rPr>
  </w:style>
  <w:style w:type="paragraph" w:customStyle="1" w:styleId="TOCTitle">
    <w:name w:val="TOCTitle"/>
    <w:basedOn w:val="Heading1"/>
    <w:rsid w:val="00C96100"/>
    <w:pPr>
      <w:spacing w:after="240"/>
      <w:jc w:val="center"/>
      <w:outlineLvl w:val="9"/>
    </w:pPr>
    <w:rPr>
      <w:caps/>
    </w:rPr>
  </w:style>
  <w:style w:type="paragraph" w:customStyle="1" w:styleId="Version">
    <w:name w:val="Version"/>
    <w:rsid w:val="00C961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6100"/>
    <w:pPr>
      <w:numPr>
        <w:numId w:val="13"/>
      </w:numPr>
      <w:tabs>
        <w:tab w:val="clear" w:pos="680"/>
      </w:tabs>
    </w:pPr>
  </w:style>
  <w:style w:type="paragraph" w:styleId="Index1">
    <w:name w:val="index 1"/>
    <w:basedOn w:val="Normal"/>
    <w:next w:val="Normal"/>
    <w:semiHidden/>
    <w:rsid w:val="00C96100"/>
    <w:pPr>
      <w:keepNext w:val="0"/>
      <w:tabs>
        <w:tab w:val="right" w:pos="4176"/>
      </w:tabs>
      <w:ind w:left="198" w:hanging="198"/>
    </w:pPr>
    <w:rPr>
      <w:rFonts w:ascii="Garamond" w:hAnsi="Garamond"/>
    </w:rPr>
  </w:style>
  <w:style w:type="paragraph" w:styleId="IndexHeading">
    <w:name w:val="index heading"/>
    <w:basedOn w:val="Normal"/>
    <w:next w:val="Index1"/>
    <w:semiHidden/>
    <w:rsid w:val="00C96100"/>
    <w:pPr>
      <w:spacing w:before="120" w:after="120"/>
    </w:pPr>
    <w:rPr>
      <w:rFonts w:ascii="Arial" w:hAnsi="Arial"/>
      <w:b/>
      <w:color w:val="918585"/>
      <w:sz w:val="24"/>
    </w:rPr>
  </w:style>
  <w:style w:type="paragraph" w:customStyle="1" w:styleId="Chapter">
    <w:name w:val="Chapter"/>
    <w:basedOn w:val="Normal"/>
    <w:rsid w:val="00C96100"/>
    <w:pPr>
      <w:spacing w:before="240"/>
    </w:pPr>
    <w:rPr>
      <w:rFonts w:ascii="Times New Roman" w:hAnsi="Times New Roman"/>
      <w:smallCaps/>
      <w:spacing w:val="80"/>
      <w:sz w:val="28"/>
    </w:rPr>
  </w:style>
  <w:style w:type="paragraph" w:customStyle="1" w:styleId="InChapter">
    <w:name w:val="InChapter"/>
    <w:basedOn w:val="Heading3"/>
    <w:rsid w:val="00C96100"/>
    <w:pPr>
      <w:spacing w:after="240"/>
      <w:outlineLvl w:val="9"/>
    </w:pPr>
    <w:rPr>
      <w:noProof/>
    </w:rPr>
  </w:style>
  <w:style w:type="paragraph" w:styleId="Index2">
    <w:name w:val="index 2"/>
    <w:basedOn w:val="Normal"/>
    <w:next w:val="Normal"/>
    <w:semiHidden/>
    <w:rsid w:val="00C96100"/>
    <w:pPr>
      <w:tabs>
        <w:tab w:val="right" w:pos="4176"/>
      </w:tabs>
      <w:ind w:left="568" w:hanging="284"/>
    </w:pPr>
    <w:rPr>
      <w:rFonts w:ascii="Garamond" w:hAnsi="Garamond"/>
    </w:rPr>
  </w:style>
  <w:style w:type="paragraph" w:customStyle="1" w:styleId="Byline">
    <w:name w:val="Byline"/>
    <w:rsid w:val="00C96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100"/>
    <w:pPr>
      <w:tabs>
        <w:tab w:val="clear" w:pos="3600"/>
        <w:tab w:val="clear" w:pos="3958"/>
      </w:tabs>
      <w:jc w:val="right"/>
    </w:pPr>
  </w:style>
  <w:style w:type="character" w:styleId="Emphasis">
    <w:name w:val="Emphasis"/>
    <w:basedOn w:val="DefaultParagraphFont"/>
    <w:qFormat/>
    <w:rsid w:val="00C96100"/>
    <w:rPr>
      <w:i/>
    </w:rPr>
  </w:style>
  <w:style w:type="paragraph" w:styleId="Caption">
    <w:name w:val="caption"/>
    <w:basedOn w:val="BodyText"/>
    <w:next w:val="Normal"/>
    <w:qFormat/>
    <w:rsid w:val="00C96100"/>
    <w:pPr>
      <w:framePr w:w="2268" w:hSpace="181" w:vSpace="181" w:wrap="around" w:vAnchor="text" w:hAnchor="page" w:x="1135" w:y="285" w:anchorLock="1"/>
    </w:pPr>
    <w:rPr>
      <w:i/>
    </w:rPr>
  </w:style>
  <w:style w:type="paragraph" w:customStyle="1" w:styleId="MiniTOCTitle">
    <w:name w:val="MiniTOCTitle"/>
    <w:basedOn w:val="Heading4"/>
    <w:rsid w:val="00C96100"/>
    <w:pPr>
      <w:spacing w:before="240"/>
      <w:outlineLvl w:val="9"/>
    </w:pPr>
    <w:rPr>
      <w:noProof/>
      <w:sz w:val="24"/>
    </w:rPr>
  </w:style>
  <w:style w:type="paragraph" w:customStyle="1" w:styleId="MiniTOCItem">
    <w:name w:val="MiniTOCItem"/>
    <w:basedOn w:val="ListBullet"/>
    <w:rsid w:val="00C96100"/>
    <w:pPr>
      <w:numPr>
        <w:numId w:val="0"/>
      </w:numPr>
      <w:tabs>
        <w:tab w:val="right" w:leader="dot" w:pos="6521"/>
      </w:tabs>
      <w:spacing w:before="0" w:after="0"/>
    </w:pPr>
  </w:style>
  <w:style w:type="paragraph" w:customStyle="1" w:styleId="TOFTitle">
    <w:name w:val="TOFTitle"/>
    <w:basedOn w:val="TOCTitle"/>
    <w:rsid w:val="00C96100"/>
  </w:style>
  <w:style w:type="paragraph" w:styleId="TableofFigures">
    <w:name w:val="table of figures"/>
    <w:basedOn w:val="Normal"/>
    <w:next w:val="Normal"/>
    <w:semiHidden/>
    <w:rsid w:val="00C96100"/>
    <w:pPr>
      <w:tabs>
        <w:tab w:val="right" w:leader="dot" w:pos="9072"/>
      </w:tabs>
      <w:ind w:left="970" w:hanging="403"/>
    </w:pPr>
    <w:rPr>
      <w:rFonts w:ascii="Times New Roman" w:hAnsi="Times New Roman"/>
      <w:b/>
    </w:rPr>
  </w:style>
  <w:style w:type="paragraph" w:styleId="ListNumber">
    <w:name w:val="List Number"/>
    <w:basedOn w:val="List"/>
    <w:rsid w:val="00C96100"/>
    <w:pPr>
      <w:numPr>
        <w:numId w:val="10"/>
      </w:numPr>
    </w:pPr>
  </w:style>
  <w:style w:type="character" w:customStyle="1" w:styleId="WingdingSymbols">
    <w:name w:val="Wingding Symbols"/>
    <w:rsid w:val="00C96100"/>
    <w:rPr>
      <w:rFonts w:ascii="Wingdings" w:hAnsi="Wingdings"/>
    </w:rPr>
  </w:style>
  <w:style w:type="paragraph" w:customStyle="1" w:styleId="TableHeading">
    <w:name w:val="Table Heading"/>
    <w:basedOn w:val="HeadingBase"/>
    <w:rsid w:val="00C96100"/>
    <w:pPr>
      <w:keepLines/>
      <w:pBdr>
        <w:bottom w:val="single" w:sz="6" w:space="1" w:color="918585"/>
      </w:pBdr>
      <w:spacing w:before="240"/>
    </w:pPr>
  </w:style>
  <w:style w:type="character" w:customStyle="1" w:styleId="HotSpot">
    <w:name w:val="HotSpot"/>
    <w:rsid w:val="00C96100"/>
    <w:rPr>
      <w:color w:val="0033CC"/>
      <w:u w:val="none"/>
    </w:rPr>
  </w:style>
  <w:style w:type="paragraph" w:customStyle="1" w:styleId="BodyTextRight">
    <w:name w:val="Body Text Right"/>
    <w:basedOn w:val="BodyText"/>
    <w:rsid w:val="00C96100"/>
    <w:pPr>
      <w:spacing w:before="0" w:after="0"/>
      <w:jc w:val="right"/>
    </w:pPr>
  </w:style>
  <w:style w:type="paragraph" w:styleId="Index3">
    <w:name w:val="index 3"/>
    <w:basedOn w:val="ListNumber2"/>
    <w:next w:val="Normal"/>
    <w:semiHidden/>
    <w:rsid w:val="00C96100"/>
    <w:pPr>
      <w:numPr>
        <w:numId w:val="0"/>
      </w:numPr>
      <w:tabs>
        <w:tab w:val="right" w:leader="dot" w:pos="4176"/>
      </w:tabs>
    </w:pPr>
  </w:style>
  <w:style w:type="paragraph" w:styleId="ListNumber2">
    <w:name w:val="List Number 2"/>
    <w:basedOn w:val="List2"/>
    <w:rsid w:val="00C96100"/>
    <w:pPr>
      <w:numPr>
        <w:numId w:val="9"/>
      </w:numPr>
      <w:tabs>
        <w:tab w:val="clear" w:pos="1060"/>
      </w:tabs>
    </w:pPr>
  </w:style>
  <w:style w:type="paragraph" w:customStyle="1" w:styleId="MarginNote">
    <w:name w:val="Margin Note"/>
    <w:basedOn w:val="BodyText"/>
    <w:rsid w:val="00C96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1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6100"/>
    <w:rPr>
      <w:sz w:val="32"/>
    </w:rPr>
  </w:style>
  <w:style w:type="paragraph" w:customStyle="1" w:styleId="HeadingProcedure">
    <w:name w:val="Heading Procedure"/>
    <w:basedOn w:val="HeadingBase"/>
    <w:next w:val="Normal"/>
    <w:rsid w:val="00C96100"/>
    <w:pPr>
      <w:tabs>
        <w:tab w:val="left" w:pos="0"/>
      </w:tabs>
      <w:spacing w:before="120" w:after="60"/>
    </w:pPr>
    <w:rPr>
      <w:i/>
      <w:color w:val="918585"/>
      <w:sz w:val="22"/>
    </w:rPr>
  </w:style>
  <w:style w:type="paragraph" w:customStyle="1" w:styleId="TableBodyText">
    <w:name w:val="Table Body Text"/>
    <w:basedOn w:val="BodyText"/>
    <w:rsid w:val="00C96100"/>
    <w:pPr>
      <w:spacing w:before="60" w:after="60"/>
    </w:pPr>
  </w:style>
  <w:style w:type="paragraph" w:styleId="ListContinue">
    <w:name w:val="List Continue"/>
    <w:basedOn w:val="List"/>
    <w:rsid w:val="00C96100"/>
    <w:pPr>
      <w:ind w:firstLine="0"/>
    </w:pPr>
  </w:style>
  <w:style w:type="paragraph" w:customStyle="1" w:styleId="ListNote">
    <w:name w:val="List Note"/>
    <w:basedOn w:val="List"/>
    <w:rsid w:val="00C96100"/>
    <w:pPr>
      <w:pBdr>
        <w:top w:val="single" w:sz="6" w:space="2" w:color="918585"/>
        <w:bottom w:val="single" w:sz="6" w:space="2" w:color="918585"/>
      </w:pBdr>
      <w:tabs>
        <w:tab w:val="left" w:pos="1021"/>
      </w:tabs>
      <w:ind w:firstLine="0"/>
    </w:pPr>
  </w:style>
  <w:style w:type="paragraph" w:customStyle="1" w:styleId="Warning">
    <w:name w:val="Warning"/>
    <w:basedOn w:val="BodyText"/>
    <w:rsid w:val="00C96100"/>
    <w:pPr>
      <w:shd w:val="clear" w:color="auto" w:fill="D9D9D9"/>
      <w:tabs>
        <w:tab w:val="left" w:pos="992"/>
      </w:tabs>
      <w:ind w:left="119" w:right="119"/>
    </w:pPr>
    <w:rPr>
      <w:sz w:val="20"/>
    </w:rPr>
  </w:style>
  <w:style w:type="paragraph" w:customStyle="1" w:styleId="MarginIcons">
    <w:name w:val="Margin Icons"/>
    <w:basedOn w:val="BodyText"/>
    <w:rsid w:val="00C961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100"/>
    <w:rPr>
      <w:rFonts w:ascii="Courier New" w:hAnsi="Courier New"/>
    </w:rPr>
  </w:style>
  <w:style w:type="paragraph" w:customStyle="1" w:styleId="NoteBullet">
    <w:name w:val="Note Bullet"/>
    <w:basedOn w:val="Note"/>
    <w:rsid w:val="00C96100"/>
    <w:pPr>
      <w:tabs>
        <w:tab w:val="clear" w:pos="680"/>
      </w:tabs>
      <w:spacing w:before="60" w:after="60"/>
    </w:pPr>
  </w:style>
  <w:style w:type="paragraph" w:customStyle="1" w:styleId="SubHeading2">
    <w:name w:val="SubHeading2"/>
    <w:basedOn w:val="HeadingBase"/>
    <w:rsid w:val="00C96100"/>
    <w:pPr>
      <w:spacing w:before="240" w:after="60"/>
    </w:pPr>
    <w:rPr>
      <w:sz w:val="20"/>
    </w:rPr>
  </w:style>
  <w:style w:type="paragraph" w:customStyle="1" w:styleId="SubHeading1">
    <w:name w:val="SubHeading1"/>
    <w:basedOn w:val="HeadingBase"/>
    <w:rsid w:val="00C96100"/>
    <w:pPr>
      <w:spacing w:before="240" w:after="60"/>
    </w:pPr>
    <w:rPr>
      <w:color w:val="918585"/>
      <w:sz w:val="22"/>
    </w:rPr>
  </w:style>
  <w:style w:type="paragraph" w:customStyle="1" w:styleId="SideHeading">
    <w:name w:val="Side Heading"/>
    <w:basedOn w:val="HeadingBase"/>
    <w:rsid w:val="00C96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100"/>
    <w:pPr>
      <w:tabs>
        <w:tab w:val="num" w:pos="360"/>
      </w:tabs>
    </w:pPr>
  </w:style>
  <w:style w:type="paragraph" w:styleId="PlainText">
    <w:name w:val="Plain Text"/>
    <w:basedOn w:val="Normal"/>
    <w:link w:val="PlainTextChar"/>
    <w:rsid w:val="00C96100"/>
    <w:rPr>
      <w:sz w:val="20"/>
    </w:rPr>
  </w:style>
  <w:style w:type="character" w:customStyle="1" w:styleId="PlainTextChar">
    <w:name w:val="Plain Text Char"/>
    <w:basedOn w:val="DefaultParagraphFont"/>
    <w:link w:val="PlainText"/>
    <w:rsid w:val="00C961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6100"/>
    <w:rPr>
      <w:b/>
      <w:smallCaps/>
    </w:rPr>
  </w:style>
  <w:style w:type="paragraph" w:customStyle="1" w:styleId="TableListNumber">
    <w:name w:val="Table List Number"/>
    <w:basedOn w:val="ListNumber"/>
    <w:rsid w:val="00C96100"/>
    <w:pPr>
      <w:numPr>
        <w:numId w:val="0"/>
      </w:numPr>
    </w:pPr>
  </w:style>
  <w:style w:type="paragraph" w:styleId="TOC4">
    <w:name w:val="toc 4"/>
    <w:basedOn w:val="TOCBase"/>
    <w:next w:val="Normal"/>
    <w:semiHidden/>
    <w:rsid w:val="00C96100"/>
    <w:pPr>
      <w:tabs>
        <w:tab w:val="right" w:leader="dot" w:pos="9071"/>
      </w:tabs>
      <w:ind w:left="1701"/>
    </w:pPr>
  </w:style>
  <w:style w:type="paragraph" w:customStyle="1" w:styleId="ListAlpha">
    <w:name w:val="List Alpha"/>
    <w:basedOn w:val="List"/>
    <w:rsid w:val="00C96100"/>
    <w:pPr>
      <w:numPr>
        <w:numId w:val="8"/>
      </w:numPr>
    </w:pPr>
  </w:style>
  <w:style w:type="paragraph" w:customStyle="1" w:styleId="ListAlpha2">
    <w:name w:val="List Alpha 2"/>
    <w:basedOn w:val="List2"/>
    <w:rsid w:val="00C96100"/>
    <w:pPr>
      <w:numPr>
        <w:numId w:val="7"/>
      </w:numPr>
    </w:pPr>
  </w:style>
  <w:style w:type="paragraph" w:styleId="List3">
    <w:name w:val="List 3"/>
    <w:basedOn w:val="BodyText"/>
    <w:rsid w:val="00C96100"/>
    <w:pPr>
      <w:tabs>
        <w:tab w:val="left" w:pos="1021"/>
      </w:tabs>
      <w:spacing w:before="60" w:after="60"/>
      <w:ind w:left="1020" w:hanging="340"/>
    </w:pPr>
  </w:style>
  <w:style w:type="paragraph" w:styleId="List4">
    <w:name w:val="List 4"/>
    <w:basedOn w:val="BodyText"/>
    <w:rsid w:val="00C96100"/>
    <w:pPr>
      <w:tabs>
        <w:tab w:val="left" w:pos="1361"/>
      </w:tabs>
      <w:spacing w:before="60" w:after="60"/>
      <w:ind w:left="1361" w:hanging="340"/>
    </w:pPr>
  </w:style>
  <w:style w:type="paragraph" w:styleId="List5">
    <w:name w:val="List 5"/>
    <w:basedOn w:val="BodyText"/>
    <w:rsid w:val="00C96100"/>
    <w:pPr>
      <w:tabs>
        <w:tab w:val="left" w:pos="1701"/>
      </w:tabs>
      <w:spacing w:before="60" w:after="60"/>
      <w:ind w:left="1701" w:hanging="340"/>
    </w:pPr>
  </w:style>
  <w:style w:type="paragraph" w:styleId="ListBullet3">
    <w:name w:val="List Bullet 3"/>
    <w:basedOn w:val="List3"/>
    <w:rsid w:val="00C96100"/>
    <w:pPr>
      <w:numPr>
        <w:numId w:val="14"/>
      </w:numPr>
      <w:tabs>
        <w:tab w:val="clear" w:pos="1021"/>
      </w:tabs>
      <w:ind w:left="1037" w:hanging="357"/>
    </w:pPr>
  </w:style>
  <w:style w:type="paragraph" w:styleId="ListBullet4">
    <w:name w:val="List Bullet 4"/>
    <w:basedOn w:val="List4"/>
    <w:rsid w:val="00C96100"/>
    <w:pPr>
      <w:numPr>
        <w:numId w:val="2"/>
      </w:numPr>
    </w:pPr>
  </w:style>
  <w:style w:type="paragraph" w:styleId="ListBullet5">
    <w:name w:val="List Bullet 5"/>
    <w:basedOn w:val="List5"/>
    <w:rsid w:val="00C96100"/>
    <w:pPr>
      <w:numPr>
        <w:numId w:val="3"/>
      </w:numPr>
    </w:pPr>
  </w:style>
  <w:style w:type="paragraph" w:styleId="ListContinue2">
    <w:name w:val="List Continue 2"/>
    <w:basedOn w:val="List2"/>
    <w:rsid w:val="00C96100"/>
    <w:pPr>
      <w:ind w:firstLine="0"/>
    </w:pPr>
  </w:style>
  <w:style w:type="paragraph" w:styleId="ListContinue3">
    <w:name w:val="List Continue 3"/>
    <w:basedOn w:val="List3"/>
    <w:rsid w:val="00C96100"/>
    <w:pPr>
      <w:ind w:left="1021" w:firstLine="0"/>
    </w:pPr>
  </w:style>
  <w:style w:type="paragraph" w:styleId="ListContinue4">
    <w:name w:val="List Continue 4"/>
    <w:basedOn w:val="List4"/>
    <w:rsid w:val="00C96100"/>
    <w:pPr>
      <w:ind w:firstLine="0"/>
    </w:pPr>
  </w:style>
  <w:style w:type="paragraph" w:styleId="ListContinue5">
    <w:name w:val="List Continue 5"/>
    <w:basedOn w:val="List5"/>
    <w:rsid w:val="00C96100"/>
    <w:pPr>
      <w:ind w:firstLine="0"/>
    </w:pPr>
  </w:style>
  <w:style w:type="paragraph" w:styleId="ListNumber3">
    <w:name w:val="List Number 3"/>
    <w:basedOn w:val="List3"/>
    <w:rsid w:val="00C96100"/>
    <w:pPr>
      <w:numPr>
        <w:numId w:val="4"/>
      </w:numPr>
    </w:pPr>
  </w:style>
  <w:style w:type="paragraph" w:styleId="ListNumber4">
    <w:name w:val="List Number 4"/>
    <w:basedOn w:val="List4"/>
    <w:rsid w:val="00C96100"/>
    <w:pPr>
      <w:numPr>
        <w:numId w:val="5"/>
      </w:numPr>
    </w:pPr>
  </w:style>
  <w:style w:type="paragraph" w:styleId="ListNumber5">
    <w:name w:val="List Number 5"/>
    <w:basedOn w:val="List5"/>
    <w:rsid w:val="00C96100"/>
    <w:pPr>
      <w:numPr>
        <w:numId w:val="6"/>
      </w:numPr>
    </w:pPr>
  </w:style>
  <w:style w:type="paragraph" w:styleId="BlockText">
    <w:name w:val="Block Text"/>
    <w:basedOn w:val="Normal"/>
    <w:rsid w:val="00C96100"/>
    <w:pPr>
      <w:spacing w:after="120"/>
      <w:ind w:left="1440" w:right="1440"/>
    </w:pPr>
  </w:style>
  <w:style w:type="character" w:customStyle="1" w:styleId="Subscript">
    <w:name w:val="Subscript"/>
    <w:basedOn w:val="DefaultParagraphFont"/>
    <w:rsid w:val="00C96100"/>
    <w:rPr>
      <w:sz w:val="16"/>
      <w:vertAlign w:val="subscript"/>
    </w:rPr>
  </w:style>
  <w:style w:type="character" w:customStyle="1" w:styleId="Superscript">
    <w:name w:val="Superscript"/>
    <w:basedOn w:val="DefaultParagraphFont"/>
    <w:rsid w:val="00C96100"/>
    <w:rPr>
      <w:sz w:val="16"/>
      <w:vertAlign w:val="superscript"/>
    </w:rPr>
  </w:style>
  <w:style w:type="character" w:customStyle="1" w:styleId="Symbols">
    <w:name w:val="Symbols"/>
    <w:basedOn w:val="DefaultParagraphFont"/>
    <w:rsid w:val="00C96100"/>
    <w:rPr>
      <w:rFonts w:ascii="Symbol" w:hAnsi="Symbol"/>
    </w:rPr>
  </w:style>
  <w:style w:type="character" w:customStyle="1" w:styleId="MenuOptions">
    <w:name w:val="Menu Options"/>
    <w:basedOn w:val="DefaultParagraphFont"/>
    <w:rsid w:val="00C96100"/>
    <w:rPr>
      <w:rFonts w:ascii="Arial Narrow" w:hAnsi="Arial Narrow"/>
      <w:smallCaps/>
    </w:rPr>
  </w:style>
  <w:style w:type="character" w:customStyle="1" w:styleId="Buttons">
    <w:name w:val="Buttons"/>
    <w:basedOn w:val="DefaultParagraphFont"/>
    <w:rsid w:val="00C96100"/>
    <w:rPr>
      <w:b/>
    </w:rPr>
  </w:style>
  <w:style w:type="character" w:customStyle="1" w:styleId="Underlined">
    <w:name w:val="Underlined"/>
    <w:basedOn w:val="DefaultParagraphFont"/>
    <w:rsid w:val="00C96100"/>
    <w:rPr>
      <w:u w:val="single"/>
    </w:rPr>
  </w:style>
  <w:style w:type="paragraph" w:customStyle="1" w:styleId="TableBodyTextRight">
    <w:name w:val="Table Body Text Right"/>
    <w:basedOn w:val="TableBodyText"/>
    <w:rsid w:val="00C96100"/>
    <w:pPr>
      <w:widowControl w:val="0"/>
      <w:autoSpaceDE w:val="0"/>
      <w:autoSpaceDN w:val="0"/>
      <w:adjustRightInd w:val="0"/>
      <w:jc w:val="right"/>
    </w:pPr>
    <w:rPr>
      <w:rFonts w:cs="Arial"/>
      <w:szCs w:val="18"/>
    </w:rPr>
  </w:style>
  <w:style w:type="paragraph" w:customStyle="1" w:styleId="CopyrightText">
    <w:name w:val="Copyright Text"/>
    <w:basedOn w:val="BodyText"/>
    <w:rsid w:val="00C96100"/>
    <w:rPr>
      <w:sz w:val="18"/>
    </w:rPr>
  </w:style>
  <w:style w:type="paragraph" w:customStyle="1" w:styleId="BodySmallRight">
    <w:name w:val="Body Small Right"/>
    <w:basedOn w:val="BodyTextRight"/>
    <w:rsid w:val="00C96100"/>
    <w:rPr>
      <w:sz w:val="18"/>
      <w:szCs w:val="18"/>
    </w:rPr>
  </w:style>
  <w:style w:type="paragraph" w:customStyle="1" w:styleId="MarginEdition">
    <w:name w:val="Margin Edition"/>
    <w:basedOn w:val="MarginNote"/>
    <w:rsid w:val="00C96100"/>
    <w:pPr>
      <w:spacing w:before="0" w:after="0"/>
    </w:pPr>
    <w:rPr>
      <w:rFonts w:ascii="Times New Roman" w:hAnsi="Times New Roman"/>
      <w:color w:val="999999"/>
    </w:rPr>
  </w:style>
  <w:style w:type="paragraph" w:customStyle="1" w:styleId="Spacer">
    <w:name w:val="Spacer"/>
    <w:basedOn w:val="Normal"/>
    <w:rsid w:val="00C96100"/>
    <w:rPr>
      <w:sz w:val="2"/>
      <w:szCs w:val="2"/>
    </w:rPr>
  </w:style>
  <w:style w:type="character" w:customStyle="1" w:styleId="Small">
    <w:name w:val="Small"/>
    <w:basedOn w:val="DefaultParagraphFont"/>
    <w:rsid w:val="00C96100"/>
    <w:rPr>
      <w:sz w:val="16"/>
    </w:rPr>
  </w:style>
  <w:style w:type="paragraph" w:customStyle="1" w:styleId="WideTable">
    <w:name w:val="Wide Table"/>
    <w:basedOn w:val="Normal"/>
    <w:rsid w:val="00C96100"/>
    <w:pPr>
      <w:ind w:left="-1418"/>
    </w:pPr>
    <w:rPr>
      <w:sz w:val="2"/>
      <w:szCs w:val="2"/>
    </w:rPr>
  </w:style>
  <w:style w:type="character" w:styleId="PageNumber">
    <w:name w:val="page number"/>
    <w:basedOn w:val="DefaultParagraphFont"/>
    <w:rsid w:val="00C96100"/>
  </w:style>
  <w:style w:type="paragraph" w:styleId="Quote">
    <w:name w:val="Quote"/>
    <w:basedOn w:val="Heading1"/>
    <w:link w:val="QuoteChar"/>
    <w:qFormat/>
    <w:rsid w:val="00C96100"/>
    <w:rPr>
      <w:b w:val="0"/>
      <w:sz w:val="72"/>
      <w:szCs w:val="72"/>
      <w:lang w:val="en-NZ"/>
    </w:rPr>
  </w:style>
  <w:style w:type="character" w:customStyle="1" w:styleId="QuoteChar">
    <w:name w:val="Quote Char"/>
    <w:basedOn w:val="DefaultParagraphFont"/>
    <w:link w:val="Quote"/>
    <w:rsid w:val="00C96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100"/>
    <w:pPr>
      <w:pageBreakBefore/>
    </w:pPr>
  </w:style>
  <w:style w:type="paragraph" w:customStyle="1" w:styleId="Border">
    <w:name w:val="Border"/>
    <w:basedOn w:val="Normal"/>
    <w:qFormat/>
    <w:rsid w:val="00C961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100"/>
    <w:rPr>
      <w:b/>
      <w:bCs/>
      <w:i/>
      <w:iCs/>
      <w:color w:val="auto"/>
    </w:rPr>
  </w:style>
  <w:style w:type="paragraph" w:styleId="IntenseQuote">
    <w:name w:val="Intense Quote"/>
    <w:basedOn w:val="Normal"/>
    <w:next w:val="Normal"/>
    <w:link w:val="IntenseQuoteChar"/>
    <w:uiPriority w:val="30"/>
    <w:qFormat/>
    <w:rsid w:val="00C961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1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6100"/>
    <w:rPr>
      <w:smallCaps/>
      <w:color w:val="auto"/>
      <w:u w:val="single"/>
    </w:rPr>
  </w:style>
  <w:style w:type="character" w:styleId="IntenseReference">
    <w:name w:val="Intense Reference"/>
    <w:basedOn w:val="DefaultParagraphFont"/>
    <w:uiPriority w:val="32"/>
    <w:qFormat/>
    <w:rsid w:val="00C96100"/>
    <w:rPr>
      <w:b/>
      <w:bCs/>
      <w:smallCaps/>
      <w:color w:val="auto"/>
      <w:spacing w:val="5"/>
      <w:u w:val="single"/>
    </w:rPr>
  </w:style>
  <w:style w:type="paragraph" w:customStyle="1" w:styleId="2ColumnHeading">
    <w:name w:val="2Column Heading"/>
    <w:basedOn w:val="BodyText"/>
    <w:qFormat/>
    <w:rsid w:val="00C96100"/>
    <w:pPr>
      <w:spacing w:after="60"/>
      <w:ind w:left="-2268"/>
    </w:pPr>
    <w:rPr>
      <w:b/>
    </w:rPr>
  </w:style>
  <w:style w:type="paragraph" w:customStyle="1" w:styleId="Heading1TOC">
    <w:name w:val="Heading1 TOC"/>
    <w:basedOn w:val="Normal"/>
    <w:qFormat/>
    <w:rsid w:val="00C96100"/>
    <w:pPr>
      <w:spacing w:before="240" w:after="120"/>
    </w:pPr>
    <w:rPr>
      <w:rFonts w:ascii="Times New Roman" w:hAnsi="Times New Roman"/>
      <w:b/>
      <w:sz w:val="32"/>
    </w:rPr>
  </w:style>
  <w:style w:type="paragraph" w:customStyle="1" w:styleId="Heading2TOC">
    <w:name w:val="Heading2 TOC"/>
    <w:basedOn w:val="Normal"/>
    <w:qFormat/>
    <w:rsid w:val="00C96100"/>
    <w:pPr>
      <w:spacing w:before="240" w:after="60"/>
    </w:pPr>
    <w:rPr>
      <w:rFonts w:ascii="Times New Roman" w:hAnsi="Times New Roman"/>
      <w:b/>
      <w:sz w:val="28"/>
    </w:rPr>
  </w:style>
  <w:style w:type="character" w:customStyle="1" w:styleId="Underline">
    <w:name w:val="Underline"/>
    <w:basedOn w:val="DefaultParagraphFont"/>
    <w:qFormat/>
    <w:rsid w:val="00C96100"/>
    <w:rPr>
      <w:u w:val="single"/>
    </w:rPr>
  </w:style>
  <w:style w:type="character" w:customStyle="1" w:styleId="BoldandItalics">
    <w:name w:val="Bold and Italics"/>
    <w:qFormat/>
    <w:rsid w:val="00C96100"/>
    <w:rPr>
      <w:b/>
      <w:i/>
      <w:u w:val="none"/>
    </w:rPr>
  </w:style>
  <w:style w:type="paragraph" w:styleId="BalloonText">
    <w:name w:val="Balloon Text"/>
    <w:basedOn w:val="Normal"/>
    <w:link w:val="BalloonTextChar"/>
    <w:rsid w:val="00C96100"/>
    <w:rPr>
      <w:rFonts w:ascii="Tahoma" w:hAnsi="Tahoma" w:cs="Tahoma"/>
      <w:sz w:val="16"/>
      <w:szCs w:val="16"/>
    </w:rPr>
  </w:style>
  <w:style w:type="character" w:customStyle="1" w:styleId="BalloonTextChar">
    <w:name w:val="Balloon Text Char"/>
    <w:basedOn w:val="DefaultParagraphFont"/>
    <w:link w:val="BalloonText"/>
    <w:rsid w:val="00C961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61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61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1303</Words>
  <Characters>8334</Characters>
  <Application>Microsoft Office Word</Application>
  <DocSecurity>0</DocSecurity>
  <Lines>302</Lines>
  <Paragraphs>137</Paragraphs>
  <ScaleCrop>false</ScaleCrop>
  <Company>Author-it Software Corporation Ltd.</Company>
  <LinksUpToDate>false</LinksUpToDate>
  <CharactersWithSpaces>9523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MEM19018B Repair jewellery items</dc:title>
  <dc:subject>Approved</dc:subject>
  <dc:creator>Manufacturing Skills Australia</dc:creator>
  <cp:keywords>Release: 3</cp:keywords>
  <dc:description>Copyright © 1996-2007 Author-it Software Corporation Ltd., all rights reserved.</dc:description>
  <cp:lastModifiedBy>Craig Taylor</cp:lastModifiedBy>
  <cp:revision>3</cp:revision>
  <dcterms:created xsi:type="dcterms:W3CDTF">2012-05-27T02:00:00Z</dcterms:created>
  <dcterms:modified xsi:type="dcterms:W3CDTF">2012-05-27T02:00:00Z</dcterms:modified>
</cp:coreProperties>
</file>