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66FCA" w:rsidP="00D66FCA">
      <w:pPr>
        <w:pStyle w:val="Title"/>
      </w:pPr>
      <w:r>
        <w:fldChar w:fldCharType="begin"/>
      </w:r>
      <w:r>
        <w:instrText xml:space="preserve"> TITLE   \* MERGEFORMAT </w:instrText>
      </w:r>
      <w:r>
        <w:fldChar w:fldCharType="separate"/>
      </w:r>
      <w:r>
        <w:t>MEM19006B Replace watch batteries</w:t>
      </w:r>
      <w:r>
        <w:fldChar w:fldCharType="end"/>
      </w:r>
    </w:p>
    <w:p w:rsidR="00D66FCA" w:rsidP="00D66FCA">
      <w:pPr>
        <w:pStyle w:val="Version"/>
        <w:sectPr w:rsidSect="00AE1CF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E1CFF" w:rsidP="00AE1CFF">
      <w:pPr>
        <w:pStyle w:val="SuperHeading"/>
      </w:pPr>
      <w:r w:rsidRPr="00AE1CFF">
        <w:t>MEM19006B Replace watch batteries</w:t>
      </w:r>
    </w:p>
    <w:p w:rsidR="00000000" w:rsidRPr="00AE1CFF" w:rsidP="00AE1CFF">
      <w:pPr>
        <w:pStyle w:val="Heading1"/>
      </w:pPr>
      <w:bookmarkStart w:id="1" w:name="O_272313"/>
      <w:bookmarkEnd w:id="1"/>
      <w:r w:rsidRPr="00AE1CFF">
        <w:t>Modification History</w:t>
      </w:r>
    </w:p>
    <w:p w:rsidR="00000000" w:rsidRPr="00AE1CFF" w:rsidP="00AE1CFF">
      <w:pPr>
        <w:pStyle w:val="BodyText"/>
      </w:pPr>
      <w:r w:rsidRPr="00AE1CFF">
        <w:t>Not Applicable</w:t>
      </w:r>
    </w:p>
    <w:p w:rsidR="00000000" w:rsidRPr="00AE1CFF" w:rsidP="00AE1CFF">
      <w:pPr>
        <w:pStyle w:val="AllowPageBreak"/>
      </w:pPr>
    </w:p>
    <w:p w:rsidR="00000000" w:rsidRPr="00AE1CFF" w:rsidP="00AE1CFF">
      <w:pPr>
        <w:pStyle w:val="Heading1"/>
      </w:pPr>
      <w:bookmarkStart w:id="2" w:name="O_212629"/>
      <w:bookmarkEnd w:id="2"/>
      <w:r w:rsidRPr="00AE1CFF">
        <w:t>Unit Descriptor</w:t>
      </w:r>
    </w:p>
    <w:tbl>
      <w:tblPr>
        <w:tblW w:w="0" w:type="auto"/>
        <w:tblLayout w:type="fixed"/>
        <w:tblCellMar>
          <w:left w:w="62" w:type="dxa"/>
          <w:right w:w="62" w:type="dxa"/>
        </w:tblCellMar>
        <w:tblLook w:val="0000"/>
      </w:tblPr>
      <w:tblGrid>
        <w:gridCol w:w="2663"/>
        <w:gridCol w:w="5859"/>
      </w:tblGrid>
      <w:tr w:rsidTr="00D66FCA">
        <w:tblPrEx>
          <w:tblW w:w="0" w:type="auto"/>
          <w:tblLayout w:type="fixed"/>
          <w:tblCellMar>
            <w:left w:w="62" w:type="dxa"/>
            <w:right w:w="62" w:type="dxa"/>
          </w:tblCellMar>
          <w:tblLook w:val="0000"/>
        </w:tblPrEx>
        <w:trPr>
          <w:tblHeader/>
        </w:trPr>
        <w:tc>
          <w:tcPr>
            <w:tcW w:w="26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1CFF">
            <w:pPr>
              <w:pStyle w:val="BodyText"/>
              <w:rPr>
                <w:lang w:val="en-NZ"/>
              </w:rPr>
            </w:pPr>
            <w:r w:rsidRPr="00AE1CFF">
              <w:rPr>
                <w:rStyle w:val="SpecialBold"/>
              </w:rPr>
              <w:t>Unit descriptor</w:t>
            </w:r>
          </w:p>
        </w:tc>
        <w:tc>
          <w:tcPr>
            <w:tcW w:w="58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E1CFF" w:rsidP="00AE1CFF">
            <w:pPr>
              <w:pStyle w:val="BodyText"/>
            </w:pPr>
            <w:r w:rsidRPr="00AE1CFF">
              <w:t>This unit covers selecting and replacing digital/analogue watch power cells.</w:t>
            </w:r>
          </w:p>
        </w:tc>
      </w:tr>
    </w:tbl>
    <w:p w:rsidR="00D66FCA" w:rsidP="00AE1CFF">
      <w:pPr>
        <w:pStyle w:val="BodyText"/>
      </w:pPr>
    </w:p>
    <w:p w:rsidR="00D66FCA" w:rsidP="00AE1CFF">
      <w:pPr>
        <w:pStyle w:val="BodyText"/>
      </w:pPr>
    </w:p>
    <w:p w:rsidR="00000000" w:rsidRPr="00AE1CFF" w:rsidP="00AE1CFF">
      <w:pPr>
        <w:pStyle w:val="Heading1"/>
      </w:pPr>
      <w:bookmarkStart w:id="3" w:name="O_212633"/>
      <w:bookmarkEnd w:id="3"/>
      <w:r w:rsidRPr="00AE1CFF">
        <w:t>Application of the Unit</w:t>
      </w:r>
    </w:p>
    <w:tbl>
      <w:tblPr>
        <w:tblW w:w="0" w:type="auto"/>
        <w:tblLayout w:type="fixed"/>
        <w:tblCellMar>
          <w:left w:w="62" w:type="dxa"/>
          <w:right w:w="62" w:type="dxa"/>
        </w:tblCellMar>
        <w:tblLook w:val="0000"/>
      </w:tblPr>
      <w:tblGrid>
        <w:gridCol w:w="2722"/>
        <w:gridCol w:w="5800"/>
      </w:tblGrid>
      <w:tr w:rsidTr="00D66FCA">
        <w:tblPrEx>
          <w:tblW w:w="0" w:type="auto"/>
          <w:tblLayout w:type="fixed"/>
          <w:tblCellMar>
            <w:left w:w="62" w:type="dxa"/>
            <w:right w:w="62" w:type="dxa"/>
          </w:tblCellMar>
          <w:tblLook w:val="0000"/>
        </w:tblPrEx>
        <w:tc>
          <w:tcPr>
            <w:tcW w:w="27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1CFF">
            <w:pPr>
              <w:pStyle w:val="BodyText"/>
              <w:rPr>
                <w:lang w:val="en-NZ"/>
              </w:rPr>
            </w:pPr>
            <w:r w:rsidRPr="00AE1CFF">
              <w:rPr>
                <w:rStyle w:val="SpecialBold"/>
              </w:rPr>
              <w:t>Application of the unit</w:t>
            </w:r>
          </w:p>
        </w:tc>
        <w:tc>
          <w:tcPr>
            <w:tcW w:w="5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E1CFF" w:rsidP="00AE1CFF">
            <w:pPr>
              <w:pStyle w:val="BodyText"/>
            </w:pPr>
            <w:r w:rsidRPr="00AE1CFF">
              <w:t xml:space="preserve">This unit applies to the selection and replacement of digital/analogue watch power cells whilst operating in a jewellery/watch workshop environment with access to the appropriate equipment. </w:t>
            </w:r>
          </w:p>
          <w:p w:rsidR="00000000" w:rsidRPr="00AE1CFF" w:rsidP="00AE1CFF">
            <w:pPr>
              <w:pStyle w:val="BodyText"/>
            </w:pPr>
            <w:r w:rsidRPr="00AE1CFF">
              <w:t>Some knowledge of</w:t>
            </w:r>
            <w:r w:rsidRPr="00AE1CFF">
              <w:t xml:space="preserve"> watch glasses and seals is required, however specific replacement functions for these are not covered by this unit.  Testing functions relate only to the measurement of voltage, consumption and resistance.</w:t>
            </w:r>
          </w:p>
          <w:p w:rsidR="00000000" w:rsidRPr="00AE1CFF" w:rsidP="00AE1CFF">
            <w:pPr>
              <w:pStyle w:val="BodyText"/>
            </w:pPr>
            <w:r w:rsidRPr="00AE1CFF">
              <w:t>This competency does not apply to diver and other</w:t>
            </w:r>
            <w:r w:rsidRPr="00AE1CFF">
              <w:t xml:space="preserve"> water-resistant watch types. Water resistance and pressure testing is not covered by this unit, however identification of watches requiring testing as well as procedures for arranging testing are a requirement of this unit.</w:t>
            </w:r>
          </w:p>
          <w:p w:rsidR="00000000" w:rsidRPr="00AE1CFF" w:rsidP="00AE1CFF">
            <w:pPr>
              <w:pStyle w:val="BodyText"/>
            </w:pPr>
            <w:r w:rsidRPr="00AE1CFF">
              <w:t>Where power cell replacements i</w:t>
            </w:r>
            <w:r w:rsidRPr="00AE1CFF">
              <w:t>n these two categories are of common practice with associated testing, and/or identification/cleaning/supply/fitting of waterproofing/water resistance components, the appropriate horological units should be selected.</w:t>
            </w:r>
          </w:p>
          <w:p w:rsidR="00000000" w:rsidRPr="00AE1CFF" w:rsidP="00AE1CFF">
            <w:pPr>
              <w:pStyle w:val="BodyText"/>
            </w:pPr>
          </w:p>
          <w:p w:rsidR="00000000" w:rsidRPr="00AE1CFF" w:rsidP="00AE1CFF">
            <w:pPr>
              <w:pStyle w:val="BodyText"/>
            </w:pPr>
            <w:r w:rsidRPr="00AE1CFF">
              <w:rPr>
                <w:rStyle w:val="SpecialBold"/>
              </w:rPr>
              <w:t>Band</w:t>
            </w:r>
            <w:r w:rsidRPr="00AE1CFF">
              <w:t>:</w:t>
            </w:r>
            <w:r w:rsidRPr="00AE1CFF">
              <w:tab/>
            </w:r>
            <w:r w:rsidRPr="00AE1CFF">
              <w:rPr>
                <w:rStyle w:val="SpecialBold"/>
              </w:rPr>
              <w:t>A</w:t>
            </w:r>
          </w:p>
          <w:p w:rsidR="00000000" w:rsidRPr="00AE1CFF" w:rsidP="00AE1CFF">
            <w:pPr>
              <w:pStyle w:val="BodyText"/>
            </w:pPr>
            <w:r w:rsidRPr="00AE1CFF">
              <w:rPr>
                <w:rStyle w:val="SpecialBold"/>
              </w:rPr>
              <w:t>Unit Weight</w:t>
            </w:r>
            <w:r w:rsidRPr="00AE1CFF">
              <w:t>:</w:t>
            </w:r>
            <w:r w:rsidRPr="00AE1CFF">
              <w:tab/>
            </w:r>
            <w:r w:rsidRPr="00AE1CFF">
              <w:rPr>
                <w:rStyle w:val="SpecialBold"/>
              </w:rPr>
              <w:t>1</w:t>
            </w:r>
          </w:p>
        </w:tc>
      </w:tr>
    </w:tbl>
    <w:p w:rsidR="00D66FCA" w:rsidP="00AE1CFF">
      <w:pPr>
        <w:pStyle w:val="BodyText"/>
      </w:pPr>
    </w:p>
    <w:p w:rsidR="00D66FCA" w:rsidP="00AE1CFF">
      <w:pPr>
        <w:pStyle w:val="BodyText"/>
      </w:pPr>
    </w:p>
    <w:p w:rsidR="00000000" w:rsidRPr="00AE1CFF" w:rsidP="00AE1CFF">
      <w:pPr>
        <w:pStyle w:val="Heading1"/>
      </w:pPr>
      <w:bookmarkStart w:id="4" w:name="O_280573"/>
      <w:bookmarkEnd w:id="4"/>
      <w:r w:rsidRPr="00AE1CFF">
        <w:t>Licensing/Regulatory Information</w:t>
      </w:r>
    </w:p>
    <w:p w:rsidR="00000000" w:rsidRPr="00AE1CFF" w:rsidP="00AE1CFF">
      <w:pPr>
        <w:pStyle w:val="BodyText"/>
      </w:pPr>
      <w:r w:rsidRPr="00AE1CFF">
        <w:t>Not Applicable</w:t>
      </w:r>
    </w:p>
    <w:p w:rsidR="00000000" w:rsidRPr="00AE1CFF" w:rsidP="00AE1CFF">
      <w:pPr>
        <w:pStyle w:val="AllowPageBreak"/>
      </w:pPr>
    </w:p>
    <w:p w:rsidR="00000000" w:rsidRPr="00AE1CFF" w:rsidP="00AE1CFF">
      <w:pPr>
        <w:pStyle w:val="Heading1"/>
      </w:pPr>
      <w:bookmarkStart w:id="5" w:name="O_212631"/>
      <w:bookmarkEnd w:id="5"/>
      <w:r w:rsidRPr="00AE1CFF">
        <w:t>Pre-Requisites</w:t>
      </w:r>
    </w:p>
    <w:tbl>
      <w:tblPr>
        <w:tblW w:w="0" w:type="auto"/>
        <w:tblLayout w:type="fixed"/>
        <w:tblCellMar>
          <w:left w:w="62" w:type="dxa"/>
          <w:right w:w="62" w:type="dxa"/>
        </w:tblCellMar>
        <w:tblLook w:val="0000"/>
      </w:tblPr>
      <w:tblGrid>
        <w:gridCol w:w="2722"/>
        <w:gridCol w:w="2207"/>
        <w:gridCol w:w="3593"/>
      </w:tblGrid>
      <w:tr w:rsidTr="00D66FCA">
        <w:tblPrEx>
          <w:tblW w:w="0" w:type="auto"/>
          <w:tblLayout w:type="fixed"/>
          <w:tblCellMar>
            <w:left w:w="62" w:type="dxa"/>
            <w:right w:w="62" w:type="dxa"/>
          </w:tblCellMar>
          <w:tblLook w:val="0000"/>
        </w:tblPrEx>
        <w:trPr>
          <w:tblHeader/>
        </w:trPr>
        <w:tc>
          <w:tcPr>
            <w:tcW w:w="27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1CFF">
            <w:pPr>
              <w:pStyle w:val="BodyText"/>
              <w:rPr>
                <w:lang w:val="en-NZ"/>
              </w:rPr>
            </w:pPr>
            <w:r w:rsidRPr="00AE1CFF">
              <w:rPr>
                <w:rStyle w:val="SpecialBold"/>
              </w:rPr>
              <w:t>Prerequisite units</w:t>
            </w:r>
          </w:p>
        </w:tc>
        <w:tc>
          <w:tcPr>
            <w:tcW w:w="580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1CFF">
            <w:pPr>
              <w:pStyle w:val="BodyText"/>
              <w:rPr>
                <w:lang w:val="en-NZ"/>
              </w:rPr>
            </w:pPr>
          </w:p>
        </w:tc>
      </w:tr>
      <w:tr w:rsidTr="00D66FCA">
        <w:tblPrEx>
          <w:tblW w:w="0" w:type="auto"/>
          <w:tblLayout w:type="fixed"/>
          <w:tblCellMar>
            <w:left w:w="62" w:type="dxa"/>
            <w:right w:w="62" w:type="dxa"/>
          </w:tblCellMar>
          <w:tblLook w:val="0000"/>
        </w:tblPrEx>
        <w:tc>
          <w:tcPr>
            <w:tcW w:w="27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1CFF">
            <w:pPr>
              <w:pStyle w:val="BodyText"/>
              <w:rPr>
                <w:lang w:val="en-NZ"/>
              </w:rPr>
            </w:pPr>
            <w:r w:rsidRPr="00AE1CFF">
              <w:rPr>
                <w:rStyle w:val="SpecialBold"/>
              </w:rPr>
              <w:t>Path 1</w:t>
            </w: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1CFF">
            <w:pPr>
              <w:pStyle w:val="BodyText"/>
              <w:rPr>
                <w:lang w:val="en-NZ"/>
              </w:rPr>
            </w:pPr>
            <w:r w:rsidRPr="00AE1CFF">
              <w:t>MEM18001C</w:t>
            </w:r>
          </w:p>
        </w:tc>
        <w:tc>
          <w:tcPr>
            <w:tcW w:w="35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1CFF">
            <w:pPr>
              <w:pStyle w:val="BodyText"/>
              <w:rPr>
                <w:lang w:val="en-NZ"/>
              </w:rPr>
            </w:pPr>
            <w:r w:rsidRPr="00AE1CFF">
              <w:t>Use hand tools</w:t>
            </w:r>
          </w:p>
        </w:tc>
      </w:tr>
      <w:tr w:rsidTr="00D66FCA">
        <w:tblPrEx>
          <w:tblW w:w="0" w:type="auto"/>
          <w:tblLayout w:type="fixed"/>
          <w:tblCellMar>
            <w:left w:w="62" w:type="dxa"/>
            <w:right w:w="62" w:type="dxa"/>
          </w:tblCellMar>
          <w:tblLook w:val="0000"/>
        </w:tblPrEx>
        <w:tc>
          <w:tcPr>
            <w:tcW w:w="27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E1CFF" w:rsidP="00AE1CFF">
            <w:pPr>
              <w:pStyle w:val="BodyText"/>
            </w:pPr>
          </w:p>
        </w:tc>
      </w:tr>
    </w:tbl>
    <w:p w:rsidR="00D66FCA" w:rsidP="00AE1CFF">
      <w:pPr>
        <w:pStyle w:val="BodyText"/>
      </w:pPr>
    </w:p>
    <w:p w:rsidR="00D66FCA" w:rsidP="00AE1CFF">
      <w:pPr>
        <w:pStyle w:val="BodyText"/>
      </w:pPr>
    </w:p>
    <w:p w:rsidR="00000000" w:rsidRPr="00AE1CFF" w:rsidP="00AE1CFF">
      <w:pPr>
        <w:pStyle w:val="Heading1"/>
      </w:pPr>
      <w:bookmarkStart w:id="6" w:name="O_212630"/>
      <w:bookmarkEnd w:id="6"/>
      <w:r w:rsidRPr="00AE1CFF">
        <w:t>Employability Skills Information</w:t>
      </w:r>
    </w:p>
    <w:tbl>
      <w:tblPr>
        <w:tblW w:w="0" w:type="auto"/>
        <w:tblLayout w:type="fixed"/>
        <w:tblCellMar>
          <w:left w:w="62" w:type="dxa"/>
          <w:right w:w="62" w:type="dxa"/>
        </w:tblCellMar>
        <w:tblLook w:val="0000"/>
      </w:tblPr>
      <w:tblGrid>
        <w:gridCol w:w="2802"/>
        <w:gridCol w:w="5720"/>
      </w:tblGrid>
      <w:tr w:rsidTr="00D66FCA">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1CFF">
            <w:pPr>
              <w:pStyle w:val="BodyText"/>
              <w:rPr>
                <w:lang w:val="en-NZ"/>
              </w:rPr>
            </w:pPr>
            <w:r w:rsidRPr="00AE1CFF">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E1CFF" w:rsidP="00AE1CFF">
            <w:pPr>
              <w:pStyle w:val="BodyText"/>
            </w:pPr>
            <w:r w:rsidRPr="00AE1CFF">
              <w:t>This unit contains employability skills.</w:t>
            </w:r>
          </w:p>
        </w:tc>
      </w:tr>
    </w:tbl>
    <w:p w:rsidR="00D66FCA" w:rsidP="00AE1CFF">
      <w:pPr>
        <w:pStyle w:val="BodyText"/>
      </w:pPr>
    </w:p>
    <w:p w:rsidR="00D66FCA" w:rsidP="00AE1CFF">
      <w:pPr>
        <w:pStyle w:val="BodyText"/>
      </w:pPr>
    </w:p>
    <w:p w:rsidR="00000000" w:rsidRPr="00AE1CFF" w:rsidP="00AE1CFF">
      <w:pPr>
        <w:pStyle w:val="Heading1"/>
      </w:pPr>
      <w:bookmarkStart w:id="7" w:name="O_290359"/>
      <w:bookmarkEnd w:id="7"/>
      <w:r w:rsidRPr="00AE1CFF">
        <w:t>Elements and Performance Criteria Pre-Content</w:t>
      </w:r>
    </w:p>
    <w:tbl>
      <w:tblPr>
        <w:tblW w:w="0" w:type="auto"/>
        <w:tblLayout w:type="fixed"/>
        <w:tblCellMar>
          <w:left w:w="62" w:type="dxa"/>
          <w:right w:w="62" w:type="dxa"/>
        </w:tblCellMar>
        <w:tblLook w:val="0000"/>
      </w:tblPr>
      <w:tblGrid>
        <w:gridCol w:w="2548"/>
        <w:gridCol w:w="5974"/>
      </w:tblGrid>
      <w:tr w:rsidTr="00D66FCA">
        <w:tblPrEx>
          <w:tblW w:w="0" w:type="auto"/>
          <w:tblLayout w:type="fixed"/>
          <w:tblCellMar>
            <w:left w:w="62" w:type="dxa"/>
            <w:right w:w="62" w:type="dxa"/>
          </w:tblCellMar>
          <w:tblLook w:val="0000"/>
        </w:tblPrEx>
        <w:tc>
          <w:tcPr>
            <w:tcW w:w="25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1CFF">
            <w:pPr>
              <w:pStyle w:val="BodyText"/>
              <w:rPr>
                <w:lang w:val="en-NZ"/>
              </w:rPr>
            </w:pPr>
            <w:r w:rsidRPr="00AE1CFF">
              <w:t>Elements describe the essential outcomes of a unit of competency.</w:t>
            </w:r>
          </w:p>
        </w:tc>
        <w:tc>
          <w:tcPr>
            <w:tcW w:w="59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E1CFF" w:rsidP="00AE1CFF">
            <w:pPr>
              <w:pStyle w:val="BodyText"/>
            </w:pPr>
            <w:r w:rsidRPr="00AE1CFF">
              <w:t>Performance criteria describe the performance needed to demonstrate achievement of the element. Where bold italicised text is used, further information is detailed in the required skills and knowledge section and the range statement. Assessment of performa</w:t>
            </w:r>
            <w:r w:rsidRPr="00AE1CFF">
              <w:t>nce is to be consistent with the evidence guide.</w:t>
            </w:r>
          </w:p>
        </w:tc>
      </w:tr>
    </w:tbl>
    <w:p w:rsidR="00000000" w:rsidRPr="00AE1CFF" w:rsidP="00AE1CFF">
      <w:pPr>
        <w:pStyle w:val="BodyText"/>
      </w:pPr>
    </w:p>
    <w:p w:rsidR="00000000" w:rsidRPr="00AE1CFF" w:rsidP="00AE1CFF">
      <w:pPr>
        <w:pStyle w:val="AllowPageBreak"/>
      </w:pPr>
    </w:p>
    <w:p w:rsidR="00000000" w:rsidRPr="00AE1CFF" w:rsidP="00AE1CFF">
      <w:pPr>
        <w:pStyle w:val="Heading1"/>
      </w:pPr>
      <w:bookmarkStart w:id="8" w:name="O_237026"/>
      <w:bookmarkEnd w:id="8"/>
      <w:r w:rsidRPr="00AE1CFF">
        <w:t>Elements and Performance Criteria</w:t>
      </w:r>
    </w:p>
    <w:tbl>
      <w:tblPr>
        <w:tblW w:w="0" w:type="auto"/>
        <w:tblLayout w:type="fixed"/>
        <w:tblCellMar>
          <w:left w:w="62" w:type="dxa"/>
          <w:right w:w="62" w:type="dxa"/>
        </w:tblCellMar>
        <w:tblLook w:val="0000"/>
      </w:tblPr>
      <w:tblGrid>
        <w:gridCol w:w="2548"/>
        <w:gridCol w:w="5974"/>
      </w:tblGrid>
      <w:tr w:rsidTr="00D66FCA">
        <w:tblPrEx>
          <w:tblW w:w="0" w:type="auto"/>
          <w:tblLayout w:type="fixed"/>
          <w:tblCellMar>
            <w:left w:w="62" w:type="dxa"/>
            <w:right w:w="62" w:type="dxa"/>
          </w:tblCellMar>
          <w:tblLook w:val="0000"/>
        </w:tblPrEx>
        <w:trPr>
          <w:tblHeader/>
        </w:trPr>
        <w:tc>
          <w:tcPr>
            <w:tcW w:w="25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E1CFF" w:rsidP="00AE1CFF">
            <w:pPr>
              <w:pStyle w:val="BodyText"/>
            </w:pPr>
            <w:r w:rsidRPr="00AE1CFF">
              <w:rPr>
                <w:rStyle w:val="SpecialBold"/>
              </w:rPr>
              <w:t>ELEMENT</w:t>
            </w:r>
          </w:p>
        </w:tc>
        <w:tc>
          <w:tcPr>
            <w:tcW w:w="59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1CFF">
            <w:pPr>
              <w:pStyle w:val="BodyText"/>
              <w:rPr>
                <w:lang w:val="en-NZ"/>
              </w:rPr>
            </w:pPr>
            <w:r w:rsidRPr="00AE1CFF">
              <w:rPr>
                <w:rStyle w:val="SpecialBold"/>
              </w:rPr>
              <w:t>PERFORMANCE CRITERIA</w:t>
            </w:r>
          </w:p>
        </w:tc>
      </w:tr>
      <w:tr w:rsidTr="00D66FCA">
        <w:tblPrEx>
          <w:tblW w:w="0" w:type="auto"/>
          <w:tblLayout w:type="fixed"/>
          <w:tblCellMar>
            <w:left w:w="62" w:type="dxa"/>
            <w:right w:w="62" w:type="dxa"/>
          </w:tblCellMar>
          <w:tblLook w:val="0000"/>
        </w:tblPrEx>
        <w:tc>
          <w:tcPr>
            <w:tcW w:w="25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1CFF">
            <w:pPr>
              <w:pStyle w:val="List"/>
              <w:rPr>
                <w:lang w:val="en-NZ"/>
              </w:rPr>
            </w:pPr>
            <w:r w:rsidRPr="00AE1CFF">
              <w:t>1.</w:t>
            </w:r>
            <w:r w:rsidRPr="00AE1CFF">
              <w:tab/>
              <w:t>Identify watch case construction</w:t>
            </w:r>
          </w:p>
        </w:tc>
        <w:tc>
          <w:tcPr>
            <w:tcW w:w="59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E1CFF" w:rsidP="00AE1CFF">
            <w:pPr>
              <w:pStyle w:val="List2"/>
            </w:pPr>
            <w:r w:rsidRPr="00AE1CFF">
              <w:t>1.1.</w:t>
            </w:r>
            <w:r w:rsidRPr="00AE1CFF">
              <w:tab/>
              <w:t>Case material and construction is identified.</w:t>
            </w:r>
          </w:p>
          <w:p w:rsidR="00000000" w:rsidRPr="00AE1CFF" w:rsidP="00AE1CFF">
            <w:pPr>
              <w:pStyle w:val="List2"/>
            </w:pPr>
            <w:r w:rsidRPr="00AE1CFF">
              <w:t>1.2.</w:t>
            </w:r>
            <w:r w:rsidRPr="00AE1CFF">
              <w:tab/>
              <w:t>Case types and their functions a</w:t>
            </w:r>
            <w:r w:rsidRPr="00AE1CFF">
              <w:t>re identified.</w:t>
            </w:r>
          </w:p>
          <w:p w:rsidR="00000000" w:rsidP="00AE1CFF">
            <w:pPr>
              <w:pStyle w:val="List2"/>
              <w:rPr>
                <w:lang w:val="en-NZ"/>
              </w:rPr>
            </w:pPr>
            <w:r w:rsidRPr="00AE1CFF">
              <w:t>1.3.</w:t>
            </w:r>
            <w:r w:rsidRPr="00AE1CFF">
              <w:tab/>
              <w:t>Associated parts and consumables are identified.</w:t>
            </w:r>
          </w:p>
        </w:tc>
      </w:tr>
      <w:tr w:rsidTr="00D66FCA">
        <w:tblPrEx>
          <w:tblW w:w="0" w:type="auto"/>
          <w:tblLayout w:type="fixed"/>
          <w:tblCellMar>
            <w:left w:w="62" w:type="dxa"/>
            <w:right w:w="62" w:type="dxa"/>
          </w:tblCellMar>
          <w:tblLook w:val="0000"/>
        </w:tblPrEx>
        <w:tc>
          <w:tcPr>
            <w:tcW w:w="25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1CFF">
            <w:pPr>
              <w:pStyle w:val="List"/>
              <w:rPr>
                <w:lang w:val="en-NZ"/>
              </w:rPr>
            </w:pPr>
            <w:r w:rsidRPr="00AE1CFF">
              <w:t>2.</w:t>
            </w:r>
            <w:r w:rsidRPr="00AE1CFF">
              <w:tab/>
              <w:t>Open and close watches</w:t>
            </w:r>
          </w:p>
        </w:tc>
        <w:tc>
          <w:tcPr>
            <w:tcW w:w="59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E1CFF" w:rsidP="00AE1CFF">
            <w:pPr>
              <w:pStyle w:val="List2"/>
            </w:pPr>
            <w:r w:rsidRPr="00AE1CFF">
              <w:t>2.1.</w:t>
            </w:r>
            <w:r w:rsidRPr="00AE1CFF">
              <w:tab/>
              <w:t>Workshop tools and equipment are selected and used appropriately.</w:t>
            </w:r>
          </w:p>
          <w:p w:rsidR="00000000" w:rsidRPr="00AE1CFF" w:rsidP="00AE1CFF">
            <w:pPr>
              <w:pStyle w:val="List2"/>
            </w:pPr>
            <w:r w:rsidRPr="00AE1CFF">
              <w:t>2.2.</w:t>
            </w:r>
            <w:r w:rsidRPr="00AE1CFF">
              <w:tab/>
              <w:t>Watch cases are opened and closed correctly.</w:t>
            </w:r>
          </w:p>
          <w:p w:rsidR="00000000" w:rsidP="00AE1CFF">
            <w:pPr>
              <w:pStyle w:val="List2"/>
              <w:rPr>
                <w:lang w:val="en-NZ"/>
              </w:rPr>
            </w:pPr>
            <w:r w:rsidRPr="00AE1CFF">
              <w:t>2.3.</w:t>
            </w:r>
            <w:r w:rsidRPr="00AE1CFF">
              <w:tab/>
            </w:r>
            <w:r w:rsidRPr="00AE1CFF">
              <w:t>Parts are inspected and results are reported and/or recorded.</w:t>
            </w:r>
          </w:p>
        </w:tc>
      </w:tr>
      <w:tr w:rsidTr="00D66FCA">
        <w:tblPrEx>
          <w:tblW w:w="0" w:type="auto"/>
          <w:tblLayout w:type="fixed"/>
          <w:tblCellMar>
            <w:left w:w="62" w:type="dxa"/>
            <w:right w:w="62" w:type="dxa"/>
          </w:tblCellMar>
          <w:tblLook w:val="0000"/>
        </w:tblPrEx>
        <w:tc>
          <w:tcPr>
            <w:tcW w:w="25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1CFF">
            <w:pPr>
              <w:pStyle w:val="List"/>
              <w:rPr>
                <w:lang w:val="en-NZ"/>
              </w:rPr>
            </w:pPr>
            <w:r w:rsidRPr="00AE1CFF">
              <w:t>3.</w:t>
            </w:r>
            <w:r w:rsidRPr="00AE1CFF">
              <w:tab/>
              <w:t>Select power cells</w:t>
            </w:r>
          </w:p>
        </w:tc>
        <w:tc>
          <w:tcPr>
            <w:tcW w:w="59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1CFF">
            <w:pPr>
              <w:pStyle w:val="List2"/>
              <w:rPr>
                <w:lang w:val="en-NZ"/>
              </w:rPr>
            </w:pPr>
            <w:r w:rsidRPr="00AE1CFF">
              <w:t>3.1.</w:t>
            </w:r>
            <w:r w:rsidRPr="00AE1CFF">
              <w:tab/>
              <w:t>Appropriate batteries/power cells are selected.</w:t>
            </w:r>
          </w:p>
        </w:tc>
      </w:tr>
      <w:tr w:rsidTr="00D66FCA">
        <w:tblPrEx>
          <w:tblW w:w="0" w:type="auto"/>
          <w:tblLayout w:type="fixed"/>
          <w:tblCellMar>
            <w:left w:w="62" w:type="dxa"/>
            <w:right w:w="62" w:type="dxa"/>
          </w:tblCellMar>
          <w:tblLook w:val="0000"/>
        </w:tblPrEx>
        <w:tc>
          <w:tcPr>
            <w:tcW w:w="25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1CFF">
            <w:pPr>
              <w:pStyle w:val="List"/>
              <w:rPr>
                <w:lang w:val="en-NZ"/>
              </w:rPr>
            </w:pPr>
            <w:r w:rsidRPr="00AE1CFF">
              <w:t>4.</w:t>
            </w:r>
            <w:r w:rsidRPr="00AE1CFF">
              <w:tab/>
              <w:t>Replace power cells</w:t>
            </w:r>
          </w:p>
        </w:tc>
        <w:tc>
          <w:tcPr>
            <w:tcW w:w="59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E1CFF" w:rsidP="00AE1CFF">
            <w:pPr>
              <w:pStyle w:val="List2"/>
            </w:pPr>
            <w:r w:rsidRPr="00AE1CFF">
              <w:t>4.1.</w:t>
            </w:r>
            <w:r w:rsidRPr="00AE1CFF">
              <w:tab/>
              <w:t>General inspection of surface/contact areas is performed.</w:t>
            </w:r>
          </w:p>
          <w:p w:rsidR="00000000" w:rsidRPr="00AE1CFF" w:rsidP="00AE1CFF">
            <w:pPr>
              <w:pStyle w:val="List2"/>
            </w:pPr>
            <w:r w:rsidRPr="00AE1CFF">
              <w:t>4.2.</w:t>
            </w:r>
            <w:r w:rsidRPr="00AE1CFF">
              <w:tab/>
              <w:t>Appropriate batteries/powe</w:t>
            </w:r>
            <w:r w:rsidRPr="00AE1CFF">
              <w:t>r cells are selected and installed.</w:t>
            </w:r>
          </w:p>
          <w:p w:rsidR="00000000" w:rsidRPr="00AE1CFF" w:rsidP="00AE1CFF">
            <w:pPr>
              <w:pStyle w:val="List2"/>
            </w:pPr>
            <w:r w:rsidRPr="00AE1CFF">
              <w:t>4.3.</w:t>
            </w:r>
            <w:r w:rsidRPr="00AE1CFF">
              <w:tab/>
              <w:t>Voltage, consumption and resistance are measured.</w:t>
            </w:r>
          </w:p>
          <w:p w:rsidR="00000000" w:rsidP="00AE1CFF">
            <w:pPr>
              <w:pStyle w:val="List2"/>
              <w:rPr>
                <w:lang w:val="en-NZ"/>
              </w:rPr>
            </w:pPr>
            <w:r w:rsidRPr="00AE1CFF">
              <w:t>4.4.</w:t>
            </w:r>
            <w:r w:rsidRPr="00AE1CFF">
              <w:tab/>
              <w:t>Power cells are handled and stored correctly.</w:t>
            </w:r>
          </w:p>
        </w:tc>
      </w:tr>
      <w:tr w:rsidTr="00D66FCA">
        <w:tblPrEx>
          <w:tblW w:w="0" w:type="auto"/>
          <w:tblLayout w:type="fixed"/>
          <w:tblCellMar>
            <w:left w:w="62" w:type="dxa"/>
            <w:right w:w="62" w:type="dxa"/>
          </w:tblCellMar>
          <w:tblLook w:val="0000"/>
        </w:tblPrEx>
        <w:tc>
          <w:tcPr>
            <w:tcW w:w="25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1CFF">
            <w:pPr>
              <w:pStyle w:val="List"/>
              <w:rPr>
                <w:lang w:val="en-NZ"/>
              </w:rPr>
            </w:pPr>
            <w:r w:rsidRPr="00AE1CFF">
              <w:t>5.</w:t>
            </w:r>
            <w:r w:rsidRPr="00AE1CFF">
              <w:tab/>
              <w:t>Arrange water resistance and pressure testing</w:t>
            </w:r>
          </w:p>
        </w:tc>
        <w:tc>
          <w:tcPr>
            <w:tcW w:w="59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E1CFF" w:rsidP="00AE1CFF">
            <w:pPr>
              <w:pStyle w:val="List2"/>
            </w:pPr>
            <w:r w:rsidRPr="00AE1CFF">
              <w:t>5.1.</w:t>
            </w:r>
            <w:r w:rsidRPr="00AE1CFF">
              <w:tab/>
              <w:t xml:space="preserve">Watches requiring water resistance and/or pressure testing </w:t>
            </w:r>
            <w:r w:rsidRPr="00AE1CFF">
              <w:t>are identified.</w:t>
            </w:r>
          </w:p>
          <w:p w:rsidR="00000000" w:rsidRPr="00AE1CFF" w:rsidP="00AE1CFF">
            <w:pPr>
              <w:pStyle w:val="List2"/>
            </w:pPr>
            <w:r w:rsidRPr="00AE1CFF">
              <w:t>5.2.</w:t>
            </w:r>
            <w:r w:rsidRPr="00AE1CFF">
              <w:tab/>
              <w:t>Water resistance and pressure testing is arranged.</w:t>
            </w:r>
          </w:p>
        </w:tc>
      </w:tr>
    </w:tbl>
    <w:p w:rsidR="00D66FCA" w:rsidP="00AE1CFF">
      <w:pPr>
        <w:pStyle w:val="BodyText"/>
      </w:pPr>
    </w:p>
    <w:p w:rsidR="00D66FCA" w:rsidP="00AE1CFF">
      <w:pPr>
        <w:pStyle w:val="BodyText"/>
      </w:pPr>
    </w:p>
    <w:p w:rsidR="00000000" w:rsidRPr="00AE1CFF" w:rsidP="00AE1CFF">
      <w:pPr>
        <w:pStyle w:val="Heading1"/>
      </w:pPr>
      <w:bookmarkStart w:id="9" w:name="O_260976"/>
      <w:bookmarkEnd w:id="9"/>
      <w:r w:rsidRPr="00AE1CFF">
        <w:t>Required Skills and Knowledge</w:t>
      </w:r>
    </w:p>
    <w:tbl>
      <w:tblPr>
        <w:tblW w:w="0" w:type="auto"/>
        <w:tblLayout w:type="fixed"/>
        <w:tblCellMar>
          <w:left w:w="62" w:type="dxa"/>
          <w:right w:w="62" w:type="dxa"/>
        </w:tblCellMar>
        <w:tblLook w:val="0000"/>
      </w:tblPr>
      <w:tblGrid>
        <w:gridCol w:w="8522"/>
      </w:tblGrid>
      <w:tr w:rsidTr="00D66FCA">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AE1CFF">
            <w:pPr>
              <w:pStyle w:val="BodyText"/>
              <w:rPr>
                <w:lang w:val="en-NZ"/>
              </w:rPr>
            </w:pPr>
            <w:r w:rsidRPr="00AE1CFF">
              <w:rPr>
                <w:rStyle w:val="SpecialBold"/>
              </w:rPr>
              <w:t>REQUIRED SKILLS AND KNOWLEDGE</w:t>
            </w:r>
          </w:p>
        </w:tc>
      </w:tr>
      <w:tr w:rsidTr="00D66FCA">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AE1CFF">
            <w:pPr>
              <w:pStyle w:val="BodyText"/>
              <w:rPr>
                <w:lang w:val="en-NZ"/>
              </w:rPr>
            </w:pPr>
            <w:r w:rsidRPr="00AE1CFF">
              <w:t>This section describes the skills and knowledge required for this unit.</w:t>
            </w:r>
          </w:p>
        </w:tc>
      </w:tr>
      <w:tr w:rsidTr="00D66FC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1CFF">
            <w:pPr>
              <w:pStyle w:val="BodyText"/>
              <w:rPr>
                <w:lang w:val="en-NZ"/>
              </w:rPr>
            </w:pPr>
            <w:r w:rsidRPr="00AE1CFF">
              <w:rPr>
                <w:rStyle w:val="SpecialBold"/>
              </w:rPr>
              <w:t>Required skills</w:t>
            </w:r>
          </w:p>
        </w:tc>
      </w:tr>
      <w:tr w:rsidTr="00D66FC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E1CFF" w:rsidP="00AE1CFF">
            <w:pPr>
              <w:pStyle w:val="BodyText"/>
            </w:pPr>
            <w:r w:rsidRPr="00AE1CFF">
              <w:t>Look for evidence that confirms skills in:</w:t>
            </w:r>
          </w:p>
          <w:p w:rsidR="00000000" w:rsidRPr="00AE1CFF" w:rsidP="00AE1CFF">
            <w:pPr>
              <w:pStyle w:val="ListBullet"/>
            </w:pPr>
            <w:r w:rsidRPr="00AE1CFF">
              <w:t>handling case, movement and other watch parts</w:t>
            </w:r>
          </w:p>
          <w:p w:rsidR="00000000" w:rsidRPr="00AE1CFF" w:rsidP="00AE1CFF">
            <w:pPr>
              <w:pStyle w:val="ListBullet"/>
            </w:pPr>
            <w:r w:rsidRPr="00AE1CFF">
              <w:t>cleaning case and watch parts</w:t>
            </w:r>
          </w:p>
          <w:p w:rsidR="00000000" w:rsidRPr="00AE1CFF" w:rsidP="00AE1CFF">
            <w:pPr>
              <w:pStyle w:val="ListBullet"/>
            </w:pPr>
            <w:r w:rsidRPr="00AE1CFF">
              <w:t>opening/closing watch cases</w:t>
            </w:r>
          </w:p>
          <w:p w:rsidR="00000000" w:rsidRPr="00AE1CFF" w:rsidP="00AE1CFF">
            <w:pPr>
              <w:pStyle w:val="ListBullet"/>
            </w:pPr>
            <w:r w:rsidRPr="00AE1CFF">
              <w:t>inspecting for obvious damage/wear and/or moisture intrusion.</w:t>
            </w:r>
          </w:p>
          <w:p w:rsidR="00000000" w:rsidRPr="00AE1CFF" w:rsidP="00AE1CFF">
            <w:pPr>
              <w:pStyle w:val="ListBullet"/>
            </w:pPr>
            <w:r w:rsidRPr="00AE1CFF">
              <w:t>inserting and removing batteries</w:t>
            </w:r>
          </w:p>
          <w:p w:rsidR="00000000" w:rsidRPr="00AE1CFF" w:rsidP="00AE1CFF">
            <w:pPr>
              <w:pStyle w:val="ListBullet"/>
            </w:pPr>
            <w:r w:rsidRPr="00AE1CFF">
              <w:t>interpreting charts and information sheets</w:t>
            </w:r>
          </w:p>
          <w:p w:rsidR="00000000" w:rsidRPr="00AE1CFF" w:rsidP="00AE1CFF">
            <w:pPr>
              <w:pStyle w:val="ListBullet"/>
            </w:pPr>
            <w:r w:rsidRPr="00AE1CFF">
              <w:t>measuring voltage/ resistance/consumption</w:t>
            </w:r>
          </w:p>
          <w:p w:rsidR="00000000" w:rsidP="00AE1CFF">
            <w:pPr>
              <w:pStyle w:val="ListBullet"/>
              <w:rPr>
                <w:lang w:val="en-NZ"/>
              </w:rPr>
            </w:pPr>
            <w:r w:rsidRPr="00AE1CFF">
              <w:t>reading and interpreting routine information on written job instructions, specifications and standard operating procedures. May include drawings</w:t>
            </w:r>
          </w:p>
        </w:tc>
      </w:tr>
      <w:tr w:rsidTr="00D66FC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1CFF">
            <w:pPr>
              <w:pStyle w:val="BodyText"/>
              <w:rPr>
                <w:lang w:val="en-NZ"/>
              </w:rPr>
            </w:pPr>
            <w:r w:rsidRPr="00AE1CFF">
              <w:rPr>
                <w:rStyle w:val="SpecialBold"/>
              </w:rPr>
              <w:t>Required knowledge</w:t>
            </w:r>
          </w:p>
        </w:tc>
      </w:tr>
      <w:tr w:rsidTr="00D66FC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E1CFF" w:rsidP="00AE1CFF">
            <w:pPr>
              <w:pStyle w:val="BodyText"/>
            </w:pPr>
            <w:r w:rsidRPr="00AE1CFF">
              <w:t xml:space="preserve">Look </w:t>
            </w:r>
            <w:r w:rsidRPr="00AE1CFF">
              <w:t>for evidence that confirms knowledge of:</w:t>
            </w:r>
          </w:p>
          <w:p w:rsidR="00000000" w:rsidRPr="00AE1CFF" w:rsidP="00AE1CFF">
            <w:pPr>
              <w:pStyle w:val="ListBullet"/>
            </w:pPr>
            <w:r w:rsidRPr="00AE1CFF">
              <w:t>applicable horological terminology</w:t>
            </w:r>
          </w:p>
          <w:p w:rsidR="00000000" w:rsidRPr="00AE1CFF" w:rsidP="00AE1CFF">
            <w:pPr>
              <w:pStyle w:val="ListBullet"/>
            </w:pPr>
            <w:r w:rsidRPr="00AE1CFF">
              <w:t>design of case types and their functions</w:t>
            </w:r>
          </w:p>
          <w:p w:rsidR="00000000" w:rsidRPr="00AE1CFF" w:rsidP="00AE1CFF">
            <w:pPr>
              <w:pStyle w:val="ListBullet"/>
            </w:pPr>
            <w:r w:rsidRPr="00AE1CFF">
              <w:t>types of batteries/power cells and their functions</w:t>
            </w:r>
          </w:p>
          <w:p w:rsidR="00000000" w:rsidRPr="00AE1CFF" w:rsidP="00AE1CFF">
            <w:pPr>
              <w:pStyle w:val="ListBullet"/>
            </w:pPr>
            <w:r w:rsidRPr="00AE1CFF">
              <w:t>battery cell construction</w:t>
            </w:r>
          </w:p>
          <w:p w:rsidR="00000000" w:rsidRPr="00AE1CFF" w:rsidP="00AE1CFF">
            <w:pPr>
              <w:pStyle w:val="ListBullet"/>
            </w:pPr>
            <w:r w:rsidRPr="00AE1CFF">
              <w:t>cases including water resistant, dustproof and diver's</w:t>
            </w:r>
          </w:p>
          <w:p w:rsidR="00000000" w:rsidRPr="00AE1CFF" w:rsidP="00AE1CFF">
            <w:pPr>
              <w:pStyle w:val="ListBullet"/>
            </w:pPr>
            <w:r w:rsidRPr="00AE1CFF">
              <w:t>analog, digital, multi-function and mechanical watch functions</w:t>
            </w:r>
          </w:p>
          <w:p w:rsidR="00000000" w:rsidRPr="00AE1CFF" w:rsidP="00AE1CFF">
            <w:pPr>
              <w:pStyle w:val="ListBullet"/>
            </w:pPr>
            <w:r w:rsidRPr="00AE1CFF">
              <w:t>wear and the possible effects on glass and adjustors</w:t>
            </w:r>
          </w:p>
          <w:p w:rsidR="00000000" w:rsidRPr="00AE1CFF" w:rsidP="00AE1CFF">
            <w:pPr>
              <w:pStyle w:val="ListBullet"/>
            </w:pPr>
            <w:r w:rsidRPr="00AE1CFF">
              <w:t>the watch-specific tools and equipment</w:t>
            </w:r>
          </w:p>
          <w:p w:rsidR="00000000" w:rsidRPr="00AE1CFF" w:rsidP="00AE1CFF">
            <w:pPr>
              <w:pStyle w:val="ListBullet"/>
            </w:pPr>
            <w:r w:rsidRPr="00AE1CFF">
              <w:t>manufacturers' information/specifications/procedures</w:t>
            </w:r>
          </w:p>
          <w:p w:rsidR="00000000" w:rsidRPr="00AE1CFF" w:rsidP="00AE1CFF">
            <w:pPr>
              <w:pStyle w:val="ListBullet"/>
            </w:pPr>
            <w:r w:rsidRPr="00AE1CFF">
              <w:t>location and cause of moisture and corrosion eff</w:t>
            </w:r>
            <w:r w:rsidRPr="00AE1CFF">
              <w:t>ects</w:t>
            </w:r>
          </w:p>
          <w:p w:rsidR="00000000" w:rsidRPr="00AE1CFF" w:rsidP="00AE1CFF">
            <w:pPr>
              <w:pStyle w:val="ListBullet"/>
            </w:pPr>
            <w:r w:rsidRPr="00AE1CFF">
              <w:t>handling/cleaning/adjustment procedures</w:t>
            </w:r>
          </w:p>
          <w:p w:rsidR="00000000" w:rsidRPr="00AE1CFF" w:rsidP="00AE1CFF">
            <w:pPr>
              <w:pStyle w:val="ListBullet"/>
            </w:pPr>
            <w:r w:rsidRPr="00AE1CFF">
              <w:t>OH&amp;S issues for mercury and lithium batteries</w:t>
            </w:r>
          </w:p>
          <w:p w:rsidR="00000000" w:rsidRPr="00AE1CFF" w:rsidP="00AE1CFF">
            <w:pPr>
              <w:pStyle w:val="ListBullet"/>
            </w:pPr>
            <w:r w:rsidRPr="00AE1CFF">
              <w:t>appropriate symbols and other identifying relevant standards information and their location</w:t>
            </w:r>
          </w:p>
          <w:p w:rsidR="00000000" w:rsidRPr="00AE1CFF" w:rsidP="00AE1CFF">
            <w:pPr>
              <w:pStyle w:val="ListBullet"/>
            </w:pPr>
            <w:r w:rsidRPr="00AE1CFF">
              <w:t>relevant internal and/or external water resistance and pressure testing b</w:t>
            </w:r>
            <w:r w:rsidRPr="00AE1CFF">
              <w:t>odies/personnel</w:t>
            </w:r>
          </w:p>
          <w:p w:rsidR="00000000" w:rsidRPr="00AE1CFF" w:rsidP="00AE1CFF">
            <w:pPr>
              <w:pStyle w:val="ListBullet"/>
            </w:pPr>
            <w:r w:rsidRPr="00AE1CFF">
              <w:t>arrangements/procedures for dispatch and receipt of watches</w:t>
            </w:r>
          </w:p>
          <w:p w:rsidR="00000000" w:rsidRPr="00AE1CFF" w:rsidP="00AE1CFF">
            <w:pPr>
              <w:pStyle w:val="ListBullet"/>
            </w:pPr>
            <w:r w:rsidRPr="00AE1CFF">
              <w:t>battery features and identification codes</w:t>
            </w:r>
          </w:p>
          <w:p w:rsidR="00000000" w:rsidRPr="00AE1CFF" w:rsidP="00AE1CFF">
            <w:pPr>
              <w:pStyle w:val="ListBullet"/>
            </w:pPr>
            <w:r w:rsidRPr="00AE1CFF">
              <w:t>parts associated with power cell function</w:t>
            </w:r>
          </w:p>
          <w:p w:rsidR="00000000" w:rsidRPr="00AE1CFF" w:rsidP="00AE1CFF">
            <w:pPr>
              <w:pStyle w:val="ListBullet"/>
            </w:pPr>
            <w:r w:rsidRPr="00AE1CFF">
              <w:t>location and cause of moisture and corrosion effects</w:t>
            </w:r>
          </w:p>
          <w:p w:rsidR="00000000" w:rsidRPr="00AE1CFF" w:rsidP="00AE1CFF">
            <w:pPr>
              <w:pStyle w:val="ListBullet"/>
            </w:pPr>
            <w:r w:rsidRPr="00AE1CFF">
              <w:t>watch functions</w:t>
            </w:r>
          </w:p>
          <w:p w:rsidR="00000000" w:rsidRPr="00AE1CFF" w:rsidP="00AE1CFF">
            <w:pPr>
              <w:pStyle w:val="ListBullet"/>
            </w:pPr>
            <w:r w:rsidRPr="00AE1CFF">
              <w:t>procedures to confirm power</w:t>
            </w:r>
            <w:r w:rsidRPr="00AE1CFF">
              <w:t xml:space="preserve"> cell status</w:t>
            </w:r>
          </w:p>
        </w:tc>
      </w:tr>
    </w:tbl>
    <w:p w:rsidR="00D66FCA" w:rsidP="00AE1CFF">
      <w:pPr>
        <w:pStyle w:val="BodyText"/>
      </w:pPr>
    </w:p>
    <w:p w:rsidR="00D66FCA" w:rsidP="00AE1CFF">
      <w:pPr>
        <w:pStyle w:val="BodyText"/>
      </w:pPr>
    </w:p>
    <w:p w:rsidR="00000000" w:rsidRPr="00AE1CFF" w:rsidP="00AE1CFF">
      <w:pPr>
        <w:pStyle w:val="AllowPageBreak"/>
      </w:pPr>
    </w:p>
    <w:p w:rsidR="00000000" w:rsidRPr="00AE1CFF" w:rsidP="00AE1CFF">
      <w:pPr>
        <w:pStyle w:val="Heading1"/>
      </w:pPr>
      <w:bookmarkStart w:id="10" w:name="O_245010"/>
      <w:bookmarkEnd w:id="10"/>
      <w:r w:rsidRPr="00AE1CFF">
        <w:t>Evidence Guide</w:t>
      </w:r>
    </w:p>
    <w:tbl>
      <w:tblPr>
        <w:tblW w:w="9570" w:type="dxa"/>
        <w:tblLayout w:type="fixed"/>
        <w:tblCellMar>
          <w:left w:w="62" w:type="dxa"/>
          <w:right w:w="62" w:type="dxa"/>
        </w:tblCellMar>
        <w:tblLook w:val="0000"/>
      </w:tblPr>
      <w:tblGrid>
        <w:gridCol w:w="3908"/>
        <w:gridCol w:w="5662"/>
      </w:tblGrid>
      <w:tr w:rsidTr="00D66FCA">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1CFF">
            <w:pPr>
              <w:pStyle w:val="BodyText"/>
              <w:rPr>
                <w:lang w:val="en-NZ"/>
              </w:rPr>
            </w:pPr>
            <w:r w:rsidRPr="00AE1CFF">
              <w:rPr>
                <w:rStyle w:val="SpecialBold"/>
              </w:rPr>
              <w:t>EVIDENCE GUIDE</w:t>
            </w:r>
          </w:p>
        </w:tc>
      </w:tr>
      <w:tr w:rsidTr="00D66FCA">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1CFF">
            <w:pPr>
              <w:pStyle w:val="BodyText"/>
              <w:rPr>
                <w:lang w:val="en-NZ"/>
              </w:rPr>
            </w:pPr>
            <w:r w:rsidRPr="00AE1CFF">
              <w:t xml:space="preserve">The evidence guide provides advice on assessment and must be read in conjunction with the performance criteria, required skills and knowledge, </w:t>
            </w:r>
            <w:r w:rsidRPr="00AE1CFF">
              <w:t>range statement and the Assessment Guidelines for the Training Package.</w:t>
            </w:r>
          </w:p>
        </w:tc>
      </w:tr>
      <w:tr w:rsidTr="00D66FC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1CFF">
            <w:pPr>
              <w:pStyle w:val="BodyText"/>
              <w:rPr>
                <w:lang w:val="en-NZ"/>
              </w:rPr>
            </w:pPr>
            <w:r w:rsidRPr="00AE1CFF">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1CFF">
            <w:pPr>
              <w:pStyle w:val="BodyText"/>
              <w:rPr>
                <w:lang w:val="en-NZ"/>
              </w:rPr>
            </w:pPr>
            <w:r w:rsidRPr="00AE1CFF">
              <w:t>A person who demonstrates competency in this unit must be able to replace digital/analogue watch power cells. Competency in this unit cannot be claimed until a</w:t>
            </w:r>
            <w:r w:rsidRPr="00AE1CFF">
              <w:t>ll prerequisites have been satisfied.</w:t>
            </w:r>
          </w:p>
        </w:tc>
      </w:tr>
      <w:tr w:rsidTr="00D66FC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1CFF">
            <w:pPr>
              <w:pStyle w:val="BodyText"/>
              <w:rPr>
                <w:lang w:val="en-NZ"/>
              </w:rPr>
            </w:pPr>
            <w:r w:rsidRPr="00AE1CFF">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1CFF">
            <w:pPr>
              <w:pStyle w:val="BodyText"/>
              <w:rPr>
                <w:lang w:val="en-NZ"/>
              </w:rPr>
            </w:pPr>
            <w:r w:rsidRPr="00AE1CFF">
              <w:t>Assessors must be satisfied that the candidate can competently and consistently perform all elements of the unit as specifie</w:t>
            </w:r>
            <w:r w:rsidRPr="00AE1CFF">
              <w:t>d by the criteria, including required knowledge, and be capable of applying the competency in new and different situations and contexts.</w:t>
            </w:r>
          </w:p>
        </w:tc>
      </w:tr>
      <w:tr w:rsidTr="00D66FC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1CFF">
            <w:pPr>
              <w:pStyle w:val="BodyText"/>
              <w:rPr>
                <w:lang w:val="en-NZ"/>
              </w:rPr>
            </w:pPr>
            <w:r w:rsidRPr="00AE1CFF">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E1CFF" w:rsidP="00AE1CFF">
            <w:pPr>
              <w:pStyle w:val="BodyText"/>
            </w:pPr>
            <w:r w:rsidRPr="00AE1CFF">
              <w:t>This unit may be assessed on the job, off the job or a combination of both on and off the job. Where assessment occurs off the job, that is the candidate is not in productive work, then an appropriate simulation must be used where the range of conditions r</w:t>
            </w:r>
            <w:r w:rsidRPr="00AE1CFF">
              <w:t xml:space="preserve">eflects realistic workplace situations. The competencies covered by this unit would be demonstrated by an individual working alone or as part of a team. The assessment environment should not disadvantage the candidate. </w:t>
            </w:r>
          </w:p>
          <w:p w:rsidR="00000000" w:rsidP="00AE1CFF">
            <w:pPr>
              <w:pStyle w:val="BodyText"/>
              <w:rPr>
                <w:lang w:val="en-NZ"/>
              </w:rPr>
            </w:pPr>
            <w:r w:rsidRPr="00AE1CFF">
              <w:t>This unit could be assessed in conju</w:t>
            </w:r>
            <w:r w:rsidRPr="00AE1CFF">
              <w:t>nction with any other units addressing the safety, quality, communication, materials handling, recording and reporting associated with battery replacement or other units requiring the exercise of the skills and knowledge covered by this unit.</w:t>
            </w:r>
          </w:p>
        </w:tc>
      </w:tr>
      <w:tr w:rsidTr="00D66FC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1CFF">
            <w:pPr>
              <w:pStyle w:val="BodyText"/>
              <w:rPr>
                <w:lang w:val="en-NZ"/>
              </w:rPr>
            </w:pPr>
            <w:r w:rsidRPr="00AE1CFF">
              <w:rPr>
                <w:rStyle w:val="SpecialBold"/>
              </w:rPr>
              <w:t>Method of as</w:t>
            </w:r>
            <w:r w:rsidRPr="00AE1CFF">
              <w:rPr>
                <w:rStyle w:val="SpecialBold"/>
              </w:rPr>
              <w:t>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1CFF">
            <w:pPr>
              <w:pStyle w:val="BodyText"/>
              <w:rPr>
                <w:lang w:val="en-NZ"/>
              </w:rPr>
            </w:pPr>
            <w:r w:rsidRPr="00AE1CFF">
              <w:t>Assessors should gather a range of evidence that is valid, sufficient, current and authentic. Evidence can be gathered through a variety of ways including direct observation, supervisor's reports, project work, samples and questioning. Questioning</w:t>
            </w:r>
            <w:r w:rsidRPr="00AE1CFF">
              <w:t xml:space="preserve"> techniques should not require language, literacy and numeracy skills beyond those required in this unit of competency. The candidate must have access to all tools, equipment, materials and documentation required. The candidate must be permitted to refer t</w:t>
            </w:r>
            <w:r w:rsidRPr="00AE1CFF">
              <w:t>o any relevant workplace procedures, product and manufacturing specifications, codes, standards, manuals and reference materials.</w:t>
            </w:r>
          </w:p>
        </w:tc>
      </w:tr>
      <w:tr w:rsidTr="00D66FC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1CFF">
            <w:pPr>
              <w:pStyle w:val="BodyText"/>
              <w:rPr>
                <w:lang w:val="en-NZ"/>
              </w:rPr>
            </w:pPr>
            <w:r w:rsidRPr="00AE1CFF">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E1CFF" w:rsidP="00AE1CFF">
            <w:pPr>
              <w:pStyle w:val="BodyText"/>
            </w:pPr>
          </w:p>
        </w:tc>
      </w:tr>
    </w:tbl>
    <w:p w:rsidR="00D66FCA" w:rsidP="00AE1CFF">
      <w:pPr>
        <w:pStyle w:val="BodyText"/>
      </w:pPr>
    </w:p>
    <w:p w:rsidR="00D66FCA" w:rsidP="00AE1CFF">
      <w:pPr>
        <w:pStyle w:val="BodyText"/>
      </w:pPr>
    </w:p>
    <w:p w:rsidR="00000000" w:rsidRPr="00AE1CFF" w:rsidP="00AE1CFF">
      <w:pPr>
        <w:pStyle w:val="Heading1"/>
      </w:pPr>
      <w:bookmarkStart w:id="11" w:name="O_252993"/>
      <w:bookmarkEnd w:id="11"/>
      <w:r w:rsidRPr="00AE1CFF">
        <w:t>Range Statement</w:t>
      </w:r>
    </w:p>
    <w:tbl>
      <w:tblPr>
        <w:tblW w:w="0" w:type="auto"/>
        <w:tblLayout w:type="fixed"/>
        <w:tblCellMar>
          <w:left w:w="62" w:type="dxa"/>
          <w:right w:w="62" w:type="dxa"/>
        </w:tblCellMar>
        <w:tblLook w:val="0000"/>
      </w:tblPr>
      <w:tblGrid>
        <w:gridCol w:w="3513"/>
        <w:gridCol w:w="5009"/>
      </w:tblGrid>
      <w:tr w:rsidTr="00D66FCA">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1CFF">
            <w:pPr>
              <w:pStyle w:val="BodyText"/>
              <w:rPr>
                <w:lang w:val="en-NZ"/>
              </w:rPr>
            </w:pPr>
            <w:r w:rsidRPr="00AE1CFF">
              <w:rPr>
                <w:rStyle w:val="SpecialBold"/>
              </w:rPr>
              <w:t>RANGE STATEMENT</w:t>
            </w:r>
          </w:p>
        </w:tc>
      </w:tr>
      <w:tr w:rsidTr="00D66FCA">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1CFF">
            <w:pPr>
              <w:pStyle w:val="BodyText"/>
              <w:rPr>
                <w:lang w:val="en-NZ"/>
              </w:rPr>
            </w:pPr>
            <w:r w:rsidRPr="00AE1CFF">
              <w:t>The range statement relates to the unit of competency as a whole. It allows for different work environments and situations that may affect performance. Bold italicised wording, if used in the performance criteria, is detailed below. Essential operating con</w:t>
            </w:r>
            <w:r w:rsidRPr="00AE1CFF">
              <w:t>ditions that may be present with training and assessment (depending on the work situation, needs of the candidate, accessibility of the item, and local industry and regional contexts) may also be included.</w:t>
            </w:r>
          </w:p>
        </w:tc>
      </w:tr>
      <w:tr w:rsidTr="00D66FCA">
        <w:tblPrEx>
          <w:tblW w:w="0" w:type="auto"/>
          <w:tblLayout w:type="fixed"/>
          <w:tblCellMar>
            <w:left w:w="62" w:type="dxa"/>
            <w:right w:w="62" w:type="dxa"/>
          </w:tblCellMar>
          <w:tblLook w:val="0000"/>
        </w:tblPrEx>
        <w:tc>
          <w:tcPr>
            <w:tcW w:w="35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1CFF">
            <w:pPr>
              <w:pStyle w:val="BodyText"/>
              <w:rPr>
                <w:lang w:val="en-NZ"/>
              </w:rPr>
            </w:pPr>
            <w:r w:rsidRPr="00AE1CFF">
              <w:rPr>
                <w:rStyle w:val="SpecialBold"/>
              </w:rPr>
              <w:t>Tools and equipment</w:t>
            </w:r>
          </w:p>
        </w:tc>
        <w:tc>
          <w:tcPr>
            <w:tcW w:w="50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E1CFF" w:rsidP="00AE1CFF">
            <w:pPr>
              <w:pStyle w:val="BodyText"/>
            </w:pPr>
            <w:r w:rsidRPr="00AE1CFF">
              <w:t>All hand and power tools app</w:t>
            </w:r>
            <w:r w:rsidRPr="00AE1CFF">
              <w:t>ropriate to construction and repair of jewellery items and personal protective equipment</w:t>
            </w:r>
          </w:p>
        </w:tc>
      </w:tr>
    </w:tbl>
    <w:p w:rsidR="00D66FCA" w:rsidP="00AE1CFF">
      <w:pPr>
        <w:pStyle w:val="BodyText"/>
      </w:pPr>
    </w:p>
    <w:p w:rsidR="00D66FCA" w:rsidP="00AE1CFF">
      <w:pPr>
        <w:pStyle w:val="BodyText"/>
      </w:pPr>
    </w:p>
    <w:p w:rsidR="00000000" w:rsidRPr="00AE1CFF" w:rsidP="00AE1CFF">
      <w:pPr>
        <w:pStyle w:val="Heading1"/>
      </w:pPr>
      <w:bookmarkStart w:id="12" w:name="O_212635"/>
      <w:bookmarkEnd w:id="12"/>
      <w:r w:rsidRPr="00AE1CFF">
        <w:t>Unit Sector(s)</w:t>
      </w:r>
    </w:p>
    <w:tbl>
      <w:tblPr>
        <w:tblW w:w="0" w:type="auto"/>
        <w:tblLayout w:type="fixed"/>
        <w:tblCellMar>
          <w:left w:w="62" w:type="dxa"/>
          <w:right w:w="62" w:type="dxa"/>
        </w:tblCellMar>
        <w:tblLook w:val="0000"/>
      </w:tblPr>
      <w:tblGrid>
        <w:gridCol w:w="2654"/>
        <w:gridCol w:w="5868"/>
      </w:tblGrid>
      <w:tr w:rsidTr="00D66FCA">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1CFF">
            <w:pPr>
              <w:pStyle w:val="BodyText"/>
              <w:rPr>
                <w:lang w:val="en-NZ"/>
              </w:rPr>
            </w:pPr>
            <w:r w:rsidRPr="00AE1CFF">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E1CFF" w:rsidP="00AE1CFF">
            <w:pPr>
              <w:pStyle w:val="BodyText"/>
            </w:pPr>
          </w:p>
        </w:tc>
      </w:tr>
    </w:tbl>
    <w:p w:rsidR="00D66FCA" w:rsidP="00AE1CFF">
      <w:pPr>
        <w:pStyle w:val="BodyText"/>
      </w:pPr>
    </w:p>
    <w:p w:rsidR="00D66FCA" w:rsidP="00AE1CFF">
      <w:pPr>
        <w:pStyle w:val="BodyText"/>
      </w:pPr>
    </w:p>
    <w:p w:rsidR="00000000" w:rsidRPr="00AE1CFF" w:rsidP="00AE1CFF">
      <w:pPr>
        <w:pStyle w:val="Heading1"/>
      </w:pPr>
      <w:bookmarkStart w:id="13" w:name="O_212632"/>
      <w:bookmarkEnd w:id="13"/>
      <w:r w:rsidRPr="00AE1CFF">
        <w:t>Co-requisite units</w:t>
      </w:r>
    </w:p>
    <w:tbl>
      <w:tblPr>
        <w:tblW w:w="0" w:type="auto"/>
        <w:tblLayout w:type="fixed"/>
        <w:tblCellMar>
          <w:left w:w="62" w:type="dxa"/>
          <w:right w:w="62" w:type="dxa"/>
        </w:tblCellMar>
        <w:tblLook w:val="0000"/>
      </w:tblPr>
      <w:tblGrid>
        <w:gridCol w:w="2641"/>
        <w:gridCol w:w="1322"/>
        <w:gridCol w:w="4559"/>
      </w:tblGrid>
      <w:tr w:rsidTr="00D66FCA">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1CFF">
            <w:pPr>
              <w:pStyle w:val="BodyText"/>
              <w:rPr>
                <w:lang w:val="en-NZ"/>
              </w:rPr>
            </w:pPr>
            <w:r w:rsidRPr="00AE1CFF">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1CFF">
            <w:pPr>
              <w:pStyle w:val="BodyText"/>
              <w:rPr>
                <w:lang w:val="en-NZ"/>
              </w:rPr>
            </w:pPr>
          </w:p>
        </w:tc>
      </w:tr>
      <w:tr w:rsidTr="00D66FCA">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1CFF">
            <w:pPr>
              <w:pStyle w:val="BodyText"/>
              <w:rPr>
                <w:lang w:val="en-NZ"/>
              </w:rPr>
            </w:pPr>
          </w:p>
        </w:tc>
      </w:tr>
      <w:tr w:rsidTr="00D66FCA">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E1CFF" w:rsidP="00AE1CFF">
            <w:pPr>
              <w:pStyle w:val="BodyText"/>
            </w:pPr>
          </w:p>
        </w:tc>
      </w:tr>
    </w:tbl>
    <w:p w:rsidR="00D66FCA" w:rsidP="00AE1CFF">
      <w:pPr>
        <w:pStyle w:val="BodyText"/>
      </w:pPr>
    </w:p>
    <w:p w:rsidR="00D66FCA" w:rsidP="00AE1CFF">
      <w:pPr>
        <w:pStyle w:val="BodyText"/>
      </w:pPr>
    </w:p>
    <w:p w:rsidR="00000000" w:rsidRPr="00AE1CFF" w:rsidP="00AE1CFF">
      <w:pPr>
        <w:pStyle w:val="Heading1"/>
      </w:pPr>
      <w:bookmarkStart w:id="14" w:name="O_212634"/>
      <w:bookmarkEnd w:id="14"/>
      <w:r w:rsidRPr="00AE1CFF">
        <w:t>Competency field</w:t>
      </w:r>
    </w:p>
    <w:tbl>
      <w:tblPr>
        <w:tblW w:w="0" w:type="auto"/>
        <w:tblLayout w:type="fixed"/>
        <w:tblCellMar>
          <w:left w:w="62" w:type="dxa"/>
          <w:right w:w="62" w:type="dxa"/>
        </w:tblCellMar>
        <w:tblLook w:val="0000"/>
      </w:tblPr>
      <w:tblGrid>
        <w:gridCol w:w="2777"/>
        <w:gridCol w:w="5745"/>
      </w:tblGrid>
      <w:tr w:rsidTr="00D66FCA">
        <w:tblPrEx>
          <w:tblW w:w="0" w:type="auto"/>
          <w:tblLayout w:type="fixed"/>
          <w:tblCellMar>
            <w:left w:w="62" w:type="dxa"/>
            <w:right w:w="62" w:type="dxa"/>
          </w:tblCellMar>
          <w:tblLook w:val="0000"/>
        </w:tblPrEx>
        <w:trPr>
          <w:tblHeader/>
        </w:trPr>
        <w:tc>
          <w:tcPr>
            <w:tcW w:w="27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1CFF">
            <w:pPr>
              <w:pStyle w:val="BodyText"/>
              <w:rPr>
                <w:lang w:val="en-NZ"/>
              </w:rPr>
            </w:pPr>
            <w:r w:rsidRPr="00AE1CFF">
              <w:rPr>
                <w:rStyle w:val="SpecialBold"/>
              </w:rPr>
              <w:t>Competency field</w:t>
            </w:r>
          </w:p>
        </w:tc>
        <w:tc>
          <w:tcPr>
            <w:tcW w:w="5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E1CFF" w:rsidP="00AE1CFF">
            <w:pPr>
              <w:pStyle w:val="BodyText"/>
            </w:pPr>
            <w:r w:rsidRPr="00AE1CFF">
              <w:t>Jewellery and horological</w:t>
            </w:r>
          </w:p>
        </w:tc>
      </w:tr>
    </w:tbl>
    <w:p w:rsidR="00D66FCA" w:rsidP="00AE1CFF">
      <w:pPr>
        <w:pStyle w:val="BodyText"/>
      </w:pPr>
    </w:p>
    <w:p w:rsidR="00D66FCA" w:rsidP="00AE1CFF">
      <w:pPr>
        <w:pStyle w:val="BodyText"/>
      </w:pPr>
    </w:p>
    <w:p w:rsidR="00000000" w:rsidRPr="00AE1CFF" w:rsidP="00AE1CFF"/>
    <w:sectPr w:rsidSect="00AE1CF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1CF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66FCA" w:rsidP="00D66FC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1CF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6FCA" w:rsidP="00AE1CF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D66FCA" w:rsidP="00AE1CF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D66FCA" w:rsidP="00AE1CFF">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1CF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66FCA" w:rsidP="00D66FCA">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1CF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6FCA" w:rsidP="00AE1CFF">
    <w:pPr>
      <w:pStyle w:val="Header"/>
      <w:framePr w:wrap="around"/>
    </w:pPr>
    <w:r>
      <w:fldChar w:fldCharType="begin"/>
    </w:r>
    <w:r>
      <w:instrText xml:space="preserve"> TITLE   \* MERGEFORMAT </w:instrText>
    </w:r>
    <w:r>
      <w:fldChar w:fldCharType="separate"/>
    </w:r>
    <w:r>
      <w:t>MEM19006B Replace watch batteries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D66FCA" w:rsidP="00AE1CFF">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8130A3A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CAA0EAB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E1CFF"/>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AE1CFF"/>
    <w:pPr>
      <w:spacing w:before="360" w:after="60"/>
      <w:outlineLvl w:val="0"/>
    </w:pPr>
    <w:rPr>
      <w:sz w:val="32"/>
    </w:rPr>
  </w:style>
  <w:style w:type="paragraph" w:styleId="Heading2">
    <w:name w:val="heading 2"/>
    <w:basedOn w:val="HeadingBase"/>
    <w:next w:val="BodyText"/>
    <w:link w:val="Heading2Char"/>
    <w:qFormat/>
    <w:rsid w:val="00AE1CFF"/>
    <w:pPr>
      <w:keepLines/>
      <w:spacing w:before="240" w:after="120"/>
      <w:outlineLvl w:val="1"/>
    </w:pPr>
    <w:rPr>
      <w:sz w:val="28"/>
      <w:szCs w:val="40"/>
    </w:rPr>
  </w:style>
  <w:style w:type="paragraph" w:styleId="Heading3">
    <w:name w:val="heading 3"/>
    <w:basedOn w:val="HeadingBase"/>
    <w:next w:val="BodyText"/>
    <w:link w:val="Heading3Char"/>
    <w:qFormat/>
    <w:rsid w:val="00AE1CFF"/>
    <w:pPr>
      <w:spacing w:before="180" w:after="120"/>
      <w:outlineLvl w:val="2"/>
    </w:pPr>
    <w:rPr>
      <w:spacing w:val="-10"/>
      <w:kern w:val="32"/>
    </w:rPr>
  </w:style>
  <w:style w:type="paragraph" w:styleId="Heading4">
    <w:name w:val="heading 4"/>
    <w:basedOn w:val="HeadingBase"/>
    <w:next w:val="BodyText"/>
    <w:link w:val="Heading4Char"/>
    <w:qFormat/>
    <w:rsid w:val="00AE1CFF"/>
    <w:pPr>
      <w:spacing w:before="160" w:after="120"/>
      <w:outlineLvl w:val="3"/>
    </w:pPr>
    <w:rPr>
      <w:sz w:val="22"/>
    </w:rPr>
  </w:style>
  <w:style w:type="paragraph" w:styleId="Heading5">
    <w:name w:val="heading 5"/>
    <w:basedOn w:val="HeadingBase"/>
    <w:next w:val="Normal"/>
    <w:link w:val="Heading5Char"/>
    <w:qFormat/>
    <w:rsid w:val="00AE1CFF"/>
    <w:pPr>
      <w:spacing w:before="80"/>
      <w:outlineLvl w:val="4"/>
    </w:pPr>
    <w:rPr>
      <w:color w:val="918585"/>
      <w:sz w:val="20"/>
    </w:rPr>
  </w:style>
  <w:style w:type="paragraph" w:styleId="Heading6">
    <w:name w:val="heading 6"/>
    <w:basedOn w:val="HeadingBase"/>
    <w:next w:val="Normal"/>
    <w:link w:val="Heading6Char"/>
    <w:qFormat/>
    <w:rsid w:val="00AE1CFF"/>
    <w:pPr>
      <w:spacing w:before="60"/>
      <w:outlineLvl w:val="5"/>
    </w:pPr>
    <w:rPr>
      <w:color w:val="918585"/>
      <w:sz w:val="20"/>
    </w:rPr>
  </w:style>
  <w:style w:type="paragraph" w:styleId="Heading7">
    <w:name w:val="heading 7"/>
    <w:basedOn w:val="Normal"/>
    <w:next w:val="Normal"/>
    <w:link w:val="Heading7Char"/>
    <w:qFormat/>
    <w:rsid w:val="00AE1CFF"/>
    <w:pPr>
      <w:ind w:left="720"/>
      <w:outlineLvl w:val="6"/>
    </w:pPr>
    <w:rPr>
      <w:i/>
    </w:rPr>
  </w:style>
  <w:style w:type="paragraph" w:styleId="Heading8">
    <w:name w:val="heading 8"/>
    <w:basedOn w:val="Normal"/>
    <w:next w:val="Normal"/>
    <w:link w:val="Heading8Char"/>
    <w:qFormat/>
    <w:rsid w:val="00AE1CFF"/>
    <w:pPr>
      <w:ind w:left="720"/>
      <w:outlineLvl w:val="7"/>
    </w:pPr>
    <w:rPr>
      <w:i/>
    </w:rPr>
  </w:style>
  <w:style w:type="paragraph" w:styleId="Heading9">
    <w:name w:val="heading 9"/>
    <w:basedOn w:val="Normal"/>
    <w:next w:val="Normal"/>
    <w:link w:val="Heading9Char"/>
    <w:qFormat/>
    <w:rsid w:val="00AE1CFF"/>
    <w:pPr>
      <w:ind w:left="720"/>
      <w:outlineLvl w:val="8"/>
    </w:pPr>
    <w:rPr>
      <w:i/>
    </w:rPr>
  </w:style>
  <w:style w:type="character" w:default="1" w:styleId="DefaultParagraphFont">
    <w:name w:val="Default Paragraph Font"/>
    <w:uiPriority w:val="1"/>
    <w:unhideWhenUsed/>
    <w:rsid w:val="00AE1CF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E1CFF"/>
  </w:style>
  <w:style w:type="character" w:customStyle="1" w:styleId="Heading1Char">
    <w:name w:val="Heading 1 Char"/>
    <w:basedOn w:val="DefaultParagraphFont"/>
    <w:link w:val="Heading1"/>
    <w:rsid w:val="00AE1CFF"/>
    <w:rPr>
      <w:rFonts w:ascii="Times New Roman" w:eastAsia="Times New Roman" w:hAnsi="Times New Roman" w:cs="Times New Roman"/>
      <w:b/>
      <w:sz w:val="32"/>
      <w:szCs w:val="20"/>
      <w:lang w:eastAsia="en-US"/>
    </w:rPr>
  </w:style>
  <w:style w:type="paragraph" w:styleId="BodyText">
    <w:name w:val="Body Text"/>
    <w:basedOn w:val="Normal"/>
    <w:link w:val="BodyTextChar"/>
    <w:rsid w:val="00AE1CF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E1CFF"/>
    <w:rPr>
      <w:rFonts w:ascii="Times New Roman" w:eastAsia="Times New Roman" w:hAnsi="Times New Roman" w:cs="Times New Roman"/>
      <w:sz w:val="24"/>
      <w:lang w:val="en-US" w:eastAsia="en-US"/>
    </w:rPr>
  </w:style>
  <w:style w:type="paragraph" w:styleId="Footer">
    <w:name w:val="footer"/>
    <w:basedOn w:val="Normal"/>
    <w:link w:val="FooterChar"/>
    <w:rsid w:val="00AE1CF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E1CFF"/>
    <w:rPr>
      <w:rFonts w:ascii="Times New Roman" w:eastAsia="Times New Roman" w:hAnsi="Times New Roman" w:cs="Times New Roman"/>
      <w:sz w:val="16"/>
      <w:lang w:val="en-US" w:eastAsia="en-US"/>
    </w:rPr>
  </w:style>
  <w:style w:type="paragraph" w:styleId="List">
    <w:name w:val="List"/>
    <w:basedOn w:val="BodyText"/>
    <w:next w:val="BodyText"/>
    <w:rsid w:val="00AE1CFF"/>
    <w:pPr>
      <w:tabs>
        <w:tab w:val="left" w:pos="340"/>
      </w:tabs>
      <w:spacing w:before="60" w:after="60"/>
      <w:ind w:left="340" w:hanging="340"/>
    </w:pPr>
  </w:style>
  <w:style w:type="paragraph" w:styleId="ListBullet">
    <w:name w:val="List Bullet"/>
    <w:basedOn w:val="List"/>
    <w:rsid w:val="00AE1CFF"/>
    <w:pPr>
      <w:numPr>
        <w:numId w:val="12"/>
      </w:numPr>
      <w:tabs>
        <w:tab w:val="clear" w:pos="340"/>
      </w:tabs>
      <w:spacing w:before="40" w:after="40"/>
    </w:pPr>
  </w:style>
  <w:style w:type="character" w:customStyle="1" w:styleId="SpecialBold">
    <w:name w:val="Special Bold"/>
    <w:basedOn w:val="DefaultParagraphFont"/>
    <w:rsid w:val="00AE1CFF"/>
    <w:rPr>
      <w:b/>
      <w:spacing w:val="0"/>
    </w:rPr>
  </w:style>
  <w:style w:type="paragraph" w:styleId="Header">
    <w:name w:val="header"/>
    <w:basedOn w:val="Normal"/>
    <w:link w:val="HeaderChar"/>
    <w:rsid w:val="00AE1CF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E1CFF"/>
    <w:rPr>
      <w:rFonts w:ascii="Times New Roman" w:eastAsia="Times New Roman" w:hAnsi="Times New Roman" w:cs="Times New Roman"/>
      <w:sz w:val="16"/>
      <w:szCs w:val="20"/>
      <w:lang w:val="en-GB" w:eastAsia="en-US"/>
    </w:rPr>
  </w:style>
  <w:style w:type="paragraph" w:customStyle="1" w:styleId="SuperHeading">
    <w:name w:val="SuperHeading"/>
    <w:basedOn w:val="Normal"/>
    <w:rsid w:val="00AE1CFF"/>
    <w:pPr>
      <w:spacing w:before="240" w:after="120"/>
      <w:outlineLvl w:val="0"/>
    </w:pPr>
    <w:rPr>
      <w:rFonts w:ascii="Times New Roman" w:hAnsi="Times New Roman"/>
      <w:b/>
      <w:sz w:val="28"/>
    </w:rPr>
  </w:style>
  <w:style w:type="paragraph" w:customStyle="1" w:styleId="AllowPageBreak">
    <w:name w:val="AllowPageBreak"/>
    <w:rsid w:val="00AE1CFF"/>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AE1CFF"/>
    <w:pPr>
      <w:tabs>
        <w:tab w:val="left" w:pos="680"/>
      </w:tabs>
      <w:spacing w:before="60" w:after="60"/>
      <w:ind w:left="680" w:hanging="340"/>
    </w:pPr>
  </w:style>
  <w:style w:type="character" w:customStyle="1" w:styleId="Heading2Char">
    <w:name w:val="Heading 2 Char"/>
    <w:basedOn w:val="DefaultParagraphFont"/>
    <w:link w:val="Heading2"/>
    <w:rsid w:val="00AE1CF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E1CF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E1CF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E1CF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E1CF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E1CFF"/>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AE1CFF"/>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AE1CFF"/>
    <w:rPr>
      <w:rFonts w:ascii="Courier New" w:eastAsia="Times New Roman" w:hAnsi="Courier New" w:cs="Times New Roman"/>
      <w:i/>
      <w:szCs w:val="20"/>
      <w:lang w:val="en-US" w:eastAsia="en-US"/>
    </w:rPr>
  </w:style>
  <w:style w:type="paragraph" w:customStyle="1" w:styleId="HeadingBase">
    <w:name w:val="Heading Base"/>
    <w:rsid w:val="00AE1CF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E1CFF"/>
    <w:pPr>
      <w:tabs>
        <w:tab w:val="right" w:leader="dot" w:pos="9072"/>
      </w:tabs>
      <w:ind w:left="567"/>
    </w:pPr>
    <w:rPr>
      <w:szCs w:val="22"/>
    </w:rPr>
  </w:style>
  <w:style w:type="paragraph" w:customStyle="1" w:styleId="TOCBase">
    <w:name w:val="TOC Base"/>
    <w:rsid w:val="00AE1CF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E1CFF"/>
    <w:pPr>
      <w:tabs>
        <w:tab w:val="right" w:leader="dot" w:pos="9072"/>
      </w:tabs>
      <w:spacing w:before="40" w:after="40"/>
      <w:ind w:left="284"/>
    </w:pPr>
    <w:rPr>
      <w:rFonts w:ascii="Times New Roman" w:hAnsi="Times New Roman"/>
    </w:rPr>
  </w:style>
  <w:style w:type="paragraph" w:styleId="TOC1">
    <w:name w:val="toc 1"/>
    <w:basedOn w:val="TOCBase"/>
    <w:next w:val="Normal"/>
    <w:rsid w:val="00AE1CFF"/>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E1CFF"/>
    <w:pPr>
      <w:spacing w:before="5040"/>
      <w:jc w:val="center"/>
    </w:pPr>
    <w:rPr>
      <w:sz w:val="48"/>
      <w:szCs w:val="72"/>
      <w:lang w:val="en-US"/>
    </w:rPr>
  </w:style>
  <w:style w:type="character" w:customStyle="1" w:styleId="TitleChar">
    <w:name w:val="Title Char"/>
    <w:basedOn w:val="DefaultParagraphFont"/>
    <w:link w:val="Title"/>
    <w:rsid w:val="00AE1CF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E1CFF"/>
    <w:pPr>
      <w:tabs>
        <w:tab w:val="left" w:pos="3600"/>
        <w:tab w:val="left" w:pos="3958"/>
      </w:tabs>
    </w:pPr>
  </w:style>
  <w:style w:type="paragraph" w:customStyle="1" w:styleId="Note">
    <w:name w:val="Note"/>
    <w:basedOn w:val="BodyText"/>
    <w:rsid w:val="00AE1CF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E1CFF"/>
    <w:pPr>
      <w:framePr w:wrap="auto" w:hAnchor="text" w:y="6049"/>
    </w:pPr>
    <w:rPr>
      <w:color w:val="000000"/>
      <w:sz w:val="40"/>
    </w:rPr>
  </w:style>
  <w:style w:type="paragraph" w:customStyle="1" w:styleId="TOCTitle">
    <w:name w:val="TOCTitle"/>
    <w:basedOn w:val="Heading1"/>
    <w:rsid w:val="00AE1CFF"/>
    <w:pPr>
      <w:spacing w:after="240"/>
      <w:jc w:val="center"/>
      <w:outlineLvl w:val="9"/>
    </w:pPr>
    <w:rPr>
      <w:caps/>
    </w:rPr>
  </w:style>
  <w:style w:type="paragraph" w:customStyle="1" w:styleId="Version">
    <w:name w:val="Version"/>
    <w:rsid w:val="00AE1CF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E1CFF"/>
    <w:pPr>
      <w:numPr>
        <w:numId w:val="13"/>
      </w:numPr>
      <w:tabs>
        <w:tab w:val="clear" w:pos="680"/>
      </w:tabs>
    </w:pPr>
  </w:style>
  <w:style w:type="paragraph" w:styleId="Index1">
    <w:name w:val="index 1"/>
    <w:basedOn w:val="Normal"/>
    <w:next w:val="Normal"/>
    <w:semiHidden/>
    <w:rsid w:val="00AE1CFF"/>
    <w:pPr>
      <w:keepNext w:val="0"/>
      <w:tabs>
        <w:tab w:val="right" w:pos="4176"/>
      </w:tabs>
      <w:ind w:left="198" w:hanging="198"/>
    </w:pPr>
    <w:rPr>
      <w:rFonts w:ascii="Garamond" w:hAnsi="Garamond"/>
    </w:rPr>
  </w:style>
  <w:style w:type="paragraph" w:styleId="IndexHeading">
    <w:name w:val="index heading"/>
    <w:basedOn w:val="Normal"/>
    <w:next w:val="Index1"/>
    <w:semiHidden/>
    <w:rsid w:val="00AE1CFF"/>
    <w:pPr>
      <w:spacing w:before="120" w:after="120"/>
    </w:pPr>
    <w:rPr>
      <w:rFonts w:ascii="Arial" w:hAnsi="Arial"/>
      <w:b/>
      <w:color w:val="918585"/>
      <w:sz w:val="24"/>
    </w:rPr>
  </w:style>
  <w:style w:type="paragraph" w:customStyle="1" w:styleId="Chapter">
    <w:name w:val="Chapter"/>
    <w:basedOn w:val="Normal"/>
    <w:rsid w:val="00AE1CFF"/>
    <w:pPr>
      <w:spacing w:before="240"/>
    </w:pPr>
    <w:rPr>
      <w:rFonts w:ascii="Times New Roman" w:hAnsi="Times New Roman"/>
      <w:smallCaps/>
      <w:spacing w:val="80"/>
      <w:sz w:val="28"/>
    </w:rPr>
  </w:style>
  <w:style w:type="paragraph" w:customStyle="1" w:styleId="InChapter">
    <w:name w:val="InChapter"/>
    <w:basedOn w:val="Heading3"/>
    <w:rsid w:val="00AE1CFF"/>
    <w:pPr>
      <w:spacing w:after="240"/>
      <w:outlineLvl w:val="9"/>
    </w:pPr>
    <w:rPr>
      <w:noProof/>
    </w:rPr>
  </w:style>
  <w:style w:type="paragraph" w:styleId="Index2">
    <w:name w:val="index 2"/>
    <w:basedOn w:val="Normal"/>
    <w:next w:val="Normal"/>
    <w:semiHidden/>
    <w:rsid w:val="00AE1CFF"/>
    <w:pPr>
      <w:tabs>
        <w:tab w:val="right" w:pos="4176"/>
      </w:tabs>
      <w:ind w:left="568" w:hanging="284"/>
    </w:pPr>
    <w:rPr>
      <w:rFonts w:ascii="Garamond" w:hAnsi="Garamond"/>
    </w:rPr>
  </w:style>
  <w:style w:type="paragraph" w:customStyle="1" w:styleId="Byline">
    <w:name w:val="Byline"/>
    <w:rsid w:val="00AE1CF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E1CFF"/>
    <w:pPr>
      <w:tabs>
        <w:tab w:val="clear" w:pos="3600"/>
        <w:tab w:val="clear" w:pos="3958"/>
      </w:tabs>
      <w:jc w:val="right"/>
    </w:pPr>
  </w:style>
  <w:style w:type="character" w:styleId="Emphasis">
    <w:name w:val="Emphasis"/>
    <w:basedOn w:val="DefaultParagraphFont"/>
    <w:qFormat/>
    <w:rsid w:val="00AE1CFF"/>
    <w:rPr>
      <w:i/>
    </w:rPr>
  </w:style>
  <w:style w:type="paragraph" w:styleId="Caption">
    <w:name w:val="caption"/>
    <w:basedOn w:val="BodyText"/>
    <w:next w:val="Normal"/>
    <w:qFormat/>
    <w:rsid w:val="00AE1CFF"/>
    <w:pPr>
      <w:framePr w:w="2268" w:hSpace="181" w:vSpace="181" w:wrap="around" w:vAnchor="text" w:hAnchor="page" w:x="1135" w:y="285" w:anchorLock="1"/>
    </w:pPr>
    <w:rPr>
      <w:i/>
    </w:rPr>
  </w:style>
  <w:style w:type="paragraph" w:customStyle="1" w:styleId="MiniTOCTitle">
    <w:name w:val="MiniTOCTitle"/>
    <w:basedOn w:val="Heading4"/>
    <w:rsid w:val="00AE1CFF"/>
    <w:pPr>
      <w:spacing w:before="240"/>
      <w:outlineLvl w:val="9"/>
    </w:pPr>
    <w:rPr>
      <w:noProof/>
      <w:sz w:val="24"/>
    </w:rPr>
  </w:style>
  <w:style w:type="paragraph" w:customStyle="1" w:styleId="MiniTOCItem">
    <w:name w:val="MiniTOCItem"/>
    <w:basedOn w:val="ListBullet"/>
    <w:rsid w:val="00AE1CFF"/>
    <w:pPr>
      <w:numPr>
        <w:numId w:val="0"/>
      </w:numPr>
      <w:tabs>
        <w:tab w:val="right" w:leader="dot" w:pos="6521"/>
      </w:tabs>
      <w:spacing w:before="0" w:after="0"/>
    </w:pPr>
  </w:style>
  <w:style w:type="paragraph" w:customStyle="1" w:styleId="TOFTitle">
    <w:name w:val="TOFTitle"/>
    <w:basedOn w:val="TOCTitle"/>
    <w:rsid w:val="00AE1CFF"/>
  </w:style>
  <w:style w:type="paragraph" w:styleId="TableofFigures">
    <w:name w:val="table of figures"/>
    <w:basedOn w:val="Normal"/>
    <w:next w:val="Normal"/>
    <w:semiHidden/>
    <w:rsid w:val="00AE1CFF"/>
    <w:pPr>
      <w:tabs>
        <w:tab w:val="right" w:leader="dot" w:pos="9072"/>
      </w:tabs>
      <w:ind w:left="970" w:hanging="403"/>
    </w:pPr>
    <w:rPr>
      <w:rFonts w:ascii="Times New Roman" w:hAnsi="Times New Roman"/>
      <w:b/>
    </w:rPr>
  </w:style>
  <w:style w:type="paragraph" w:styleId="ListNumber">
    <w:name w:val="List Number"/>
    <w:basedOn w:val="List"/>
    <w:rsid w:val="00AE1CFF"/>
    <w:pPr>
      <w:numPr>
        <w:numId w:val="10"/>
      </w:numPr>
    </w:pPr>
  </w:style>
  <w:style w:type="character" w:customStyle="1" w:styleId="WingdingSymbols">
    <w:name w:val="Wingding Symbols"/>
    <w:rsid w:val="00AE1CFF"/>
    <w:rPr>
      <w:rFonts w:ascii="Wingdings" w:hAnsi="Wingdings"/>
    </w:rPr>
  </w:style>
  <w:style w:type="paragraph" w:customStyle="1" w:styleId="TableHeading">
    <w:name w:val="Table Heading"/>
    <w:basedOn w:val="HeadingBase"/>
    <w:rsid w:val="00AE1CFF"/>
    <w:pPr>
      <w:keepLines/>
      <w:pBdr>
        <w:bottom w:val="single" w:sz="6" w:space="1" w:color="918585"/>
      </w:pBdr>
      <w:spacing w:before="240"/>
    </w:pPr>
  </w:style>
  <w:style w:type="character" w:customStyle="1" w:styleId="HotSpot">
    <w:name w:val="HotSpot"/>
    <w:rsid w:val="00AE1CFF"/>
    <w:rPr>
      <w:color w:val="0033CC"/>
      <w:u w:val="none"/>
    </w:rPr>
  </w:style>
  <w:style w:type="paragraph" w:customStyle="1" w:styleId="BodyTextRight">
    <w:name w:val="Body Text Right"/>
    <w:basedOn w:val="BodyText"/>
    <w:rsid w:val="00AE1CFF"/>
    <w:pPr>
      <w:spacing w:before="0" w:after="0"/>
      <w:jc w:val="right"/>
    </w:pPr>
  </w:style>
  <w:style w:type="paragraph" w:styleId="Index3">
    <w:name w:val="index 3"/>
    <w:basedOn w:val="ListNumber2"/>
    <w:next w:val="Normal"/>
    <w:semiHidden/>
    <w:rsid w:val="00AE1CFF"/>
    <w:pPr>
      <w:numPr>
        <w:numId w:val="0"/>
      </w:numPr>
      <w:tabs>
        <w:tab w:val="right" w:leader="dot" w:pos="4176"/>
      </w:tabs>
    </w:pPr>
  </w:style>
  <w:style w:type="paragraph" w:styleId="ListNumber2">
    <w:name w:val="List Number 2"/>
    <w:basedOn w:val="List2"/>
    <w:rsid w:val="00AE1CFF"/>
    <w:pPr>
      <w:numPr>
        <w:numId w:val="9"/>
      </w:numPr>
      <w:tabs>
        <w:tab w:val="clear" w:pos="1060"/>
      </w:tabs>
    </w:pPr>
  </w:style>
  <w:style w:type="paragraph" w:customStyle="1" w:styleId="MarginNote">
    <w:name w:val="Margin Note"/>
    <w:basedOn w:val="BodyText"/>
    <w:rsid w:val="00AE1CF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E1CF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E1CFF"/>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AE1CFF"/>
    <w:rPr>
      <w:sz w:val="32"/>
    </w:rPr>
  </w:style>
  <w:style w:type="paragraph" w:customStyle="1" w:styleId="HeadingProcedure">
    <w:name w:val="Heading Procedure"/>
    <w:basedOn w:val="HeadingBase"/>
    <w:next w:val="Normal"/>
    <w:rsid w:val="00AE1CFF"/>
    <w:pPr>
      <w:tabs>
        <w:tab w:val="left" w:pos="0"/>
      </w:tabs>
      <w:spacing w:before="120" w:after="60"/>
    </w:pPr>
    <w:rPr>
      <w:i/>
      <w:color w:val="918585"/>
      <w:sz w:val="22"/>
    </w:rPr>
  </w:style>
  <w:style w:type="paragraph" w:customStyle="1" w:styleId="TableBodyText">
    <w:name w:val="Table Body Text"/>
    <w:basedOn w:val="BodyText"/>
    <w:rsid w:val="00AE1CFF"/>
    <w:pPr>
      <w:spacing w:before="60" w:after="60"/>
    </w:pPr>
  </w:style>
  <w:style w:type="paragraph" w:styleId="ListContinue">
    <w:name w:val="List Continue"/>
    <w:basedOn w:val="List"/>
    <w:rsid w:val="00AE1CFF"/>
    <w:pPr>
      <w:ind w:firstLine="0"/>
    </w:pPr>
  </w:style>
  <w:style w:type="paragraph" w:customStyle="1" w:styleId="ListNote">
    <w:name w:val="List Note"/>
    <w:basedOn w:val="List"/>
    <w:rsid w:val="00AE1CFF"/>
    <w:pPr>
      <w:pBdr>
        <w:top w:val="single" w:sz="6" w:space="2" w:color="918585"/>
        <w:bottom w:val="single" w:sz="6" w:space="2" w:color="918585"/>
      </w:pBdr>
      <w:tabs>
        <w:tab w:val="left" w:pos="1021"/>
      </w:tabs>
      <w:ind w:firstLine="0"/>
    </w:pPr>
  </w:style>
  <w:style w:type="paragraph" w:customStyle="1" w:styleId="Warning">
    <w:name w:val="Warning"/>
    <w:basedOn w:val="BodyText"/>
    <w:rsid w:val="00AE1CFF"/>
    <w:pPr>
      <w:shd w:val="clear" w:color="auto" w:fill="D9D9D9"/>
      <w:tabs>
        <w:tab w:val="left" w:pos="992"/>
      </w:tabs>
      <w:ind w:left="119" w:right="119"/>
    </w:pPr>
    <w:rPr>
      <w:sz w:val="20"/>
    </w:rPr>
  </w:style>
  <w:style w:type="paragraph" w:customStyle="1" w:styleId="MarginIcons">
    <w:name w:val="Margin Icons"/>
    <w:basedOn w:val="BodyText"/>
    <w:rsid w:val="00AE1CF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E1CFF"/>
    <w:rPr>
      <w:rFonts w:ascii="Courier New" w:hAnsi="Courier New"/>
    </w:rPr>
  </w:style>
  <w:style w:type="paragraph" w:customStyle="1" w:styleId="NoteBullet">
    <w:name w:val="Note Bullet"/>
    <w:basedOn w:val="Note"/>
    <w:rsid w:val="00AE1CFF"/>
    <w:pPr>
      <w:tabs>
        <w:tab w:val="clear" w:pos="680"/>
      </w:tabs>
      <w:spacing w:before="60" w:after="60"/>
    </w:pPr>
  </w:style>
  <w:style w:type="paragraph" w:customStyle="1" w:styleId="SubHeading2">
    <w:name w:val="SubHeading2"/>
    <w:basedOn w:val="HeadingBase"/>
    <w:rsid w:val="00AE1CFF"/>
    <w:pPr>
      <w:spacing w:before="240" w:after="60"/>
    </w:pPr>
    <w:rPr>
      <w:sz w:val="20"/>
    </w:rPr>
  </w:style>
  <w:style w:type="paragraph" w:customStyle="1" w:styleId="SubHeading1">
    <w:name w:val="SubHeading1"/>
    <w:basedOn w:val="HeadingBase"/>
    <w:rsid w:val="00AE1CFF"/>
    <w:pPr>
      <w:spacing w:before="240" w:after="60"/>
    </w:pPr>
    <w:rPr>
      <w:color w:val="918585"/>
      <w:sz w:val="22"/>
    </w:rPr>
  </w:style>
  <w:style w:type="paragraph" w:customStyle="1" w:styleId="SideHeading">
    <w:name w:val="Side Heading"/>
    <w:basedOn w:val="HeadingBase"/>
    <w:rsid w:val="00AE1CF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E1CFF"/>
    <w:pPr>
      <w:tabs>
        <w:tab w:val="num" w:pos="360"/>
      </w:tabs>
    </w:pPr>
  </w:style>
  <w:style w:type="paragraph" w:styleId="PlainText">
    <w:name w:val="Plain Text"/>
    <w:basedOn w:val="Normal"/>
    <w:link w:val="PlainTextChar"/>
    <w:rsid w:val="00AE1CFF"/>
    <w:rPr>
      <w:sz w:val="20"/>
    </w:rPr>
  </w:style>
  <w:style w:type="character" w:customStyle="1" w:styleId="PlainTextChar">
    <w:name w:val="Plain Text Char"/>
    <w:basedOn w:val="DefaultParagraphFont"/>
    <w:link w:val="PlainText"/>
    <w:rsid w:val="00AE1CFF"/>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AE1CFF"/>
    <w:rPr>
      <w:b/>
      <w:smallCaps/>
    </w:rPr>
  </w:style>
  <w:style w:type="paragraph" w:customStyle="1" w:styleId="TableListNumber">
    <w:name w:val="Table List Number"/>
    <w:basedOn w:val="ListNumber"/>
    <w:rsid w:val="00AE1CFF"/>
    <w:pPr>
      <w:numPr>
        <w:numId w:val="0"/>
      </w:numPr>
    </w:pPr>
  </w:style>
  <w:style w:type="paragraph" w:styleId="TOC4">
    <w:name w:val="toc 4"/>
    <w:basedOn w:val="TOCBase"/>
    <w:next w:val="Normal"/>
    <w:semiHidden/>
    <w:rsid w:val="00AE1CFF"/>
    <w:pPr>
      <w:tabs>
        <w:tab w:val="right" w:leader="dot" w:pos="9071"/>
      </w:tabs>
      <w:ind w:left="1701"/>
    </w:pPr>
  </w:style>
  <w:style w:type="paragraph" w:customStyle="1" w:styleId="ListAlpha">
    <w:name w:val="List Alpha"/>
    <w:basedOn w:val="List"/>
    <w:rsid w:val="00AE1CFF"/>
    <w:pPr>
      <w:numPr>
        <w:numId w:val="8"/>
      </w:numPr>
    </w:pPr>
  </w:style>
  <w:style w:type="paragraph" w:customStyle="1" w:styleId="ListAlpha2">
    <w:name w:val="List Alpha 2"/>
    <w:basedOn w:val="List2"/>
    <w:rsid w:val="00AE1CFF"/>
    <w:pPr>
      <w:numPr>
        <w:numId w:val="7"/>
      </w:numPr>
    </w:pPr>
  </w:style>
  <w:style w:type="paragraph" w:styleId="List3">
    <w:name w:val="List 3"/>
    <w:basedOn w:val="BodyText"/>
    <w:rsid w:val="00AE1CFF"/>
    <w:pPr>
      <w:tabs>
        <w:tab w:val="left" w:pos="1021"/>
      </w:tabs>
      <w:spacing w:before="60" w:after="60"/>
      <w:ind w:left="1020" w:hanging="340"/>
    </w:pPr>
  </w:style>
  <w:style w:type="paragraph" w:styleId="List4">
    <w:name w:val="List 4"/>
    <w:basedOn w:val="BodyText"/>
    <w:rsid w:val="00AE1CFF"/>
    <w:pPr>
      <w:tabs>
        <w:tab w:val="left" w:pos="1361"/>
      </w:tabs>
      <w:spacing w:before="60" w:after="60"/>
      <w:ind w:left="1361" w:hanging="340"/>
    </w:pPr>
  </w:style>
  <w:style w:type="paragraph" w:styleId="List5">
    <w:name w:val="List 5"/>
    <w:basedOn w:val="BodyText"/>
    <w:rsid w:val="00AE1CFF"/>
    <w:pPr>
      <w:tabs>
        <w:tab w:val="left" w:pos="1701"/>
      </w:tabs>
      <w:spacing w:before="60" w:after="60"/>
      <w:ind w:left="1701" w:hanging="340"/>
    </w:pPr>
  </w:style>
  <w:style w:type="paragraph" w:styleId="ListBullet3">
    <w:name w:val="List Bullet 3"/>
    <w:basedOn w:val="List3"/>
    <w:rsid w:val="00AE1CFF"/>
    <w:pPr>
      <w:numPr>
        <w:numId w:val="14"/>
      </w:numPr>
      <w:tabs>
        <w:tab w:val="clear" w:pos="1021"/>
      </w:tabs>
      <w:ind w:left="1037" w:hanging="357"/>
    </w:pPr>
  </w:style>
  <w:style w:type="paragraph" w:styleId="ListBullet4">
    <w:name w:val="List Bullet 4"/>
    <w:basedOn w:val="List4"/>
    <w:rsid w:val="00AE1CFF"/>
    <w:pPr>
      <w:numPr>
        <w:numId w:val="2"/>
      </w:numPr>
    </w:pPr>
  </w:style>
  <w:style w:type="paragraph" w:styleId="ListBullet5">
    <w:name w:val="List Bullet 5"/>
    <w:basedOn w:val="List5"/>
    <w:rsid w:val="00AE1CFF"/>
    <w:pPr>
      <w:numPr>
        <w:numId w:val="3"/>
      </w:numPr>
    </w:pPr>
  </w:style>
  <w:style w:type="paragraph" w:styleId="ListContinue2">
    <w:name w:val="List Continue 2"/>
    <w:basedOn w:val="List2"/>
    <w:rsid w:val="00AE1CFF"/>
    <w:pPr>
      <w:ind w:firstLine="0"/>
    </w:pPr>
  </w:style>
  <w:style w:type="paragraph" w:styleId="ListContinue3">
    <w:name w:val="List Continue 3"/>
    <w:basedOn w:val="List3"/>
    <w:rsid w:val="00AE1CFF"/>
    <w:pPr>
      <w:ind w:left="1021" w:firstLine="0"/>
    </w:pPr>
  </w:style>
  <w:style w:type="paragraph" w:styleId="ListContinue4">
    <w:name w:val="List Continue 4"/>
    <w:basedOn w:val="List4"/>
    <w:rsid w:val="00AE1CFF"/>
    <w:pPr>
      <w:ind w:firstLine="0"/>
    </w:pPr>
  </w:style>
  <w:style w:type="paragraph" w:styleId="ListContinue5">
    <w:name w:val="List Continue 5"/>
    <w:basedOn w:val="List5"/>
    <w:rsid w:val="00AE1CFF"/>
    <w:pPr>
      <w:ind w:firstLine="0"/>
    </w:pPr>
  </w:style>
  <w:style w:type="paragraph" w:styleId="ListNumber3">
    <w:name w:val="List Number 3"/>
    <w:basedOn w:val="List3"/>
    <w:rsid w:val="00AE1CFF"/>
    <w:pPr>
      <w:numPr>
        <w:numId w:val="4"/>
      </w:numPr>
    </w:pPr>
  </w:style>
  <w:style w:type="paragraph" w:styleId="ListNumber4">
    <w:name w:val="List Number 4"/>
    <w:basedOn w:val="List4"/>
    <w:rsid w:val="00AE1CFF"/>
    <w:pPr>
      <w:numPr>
        <w:numId w:val="5"/>
      </w:numPr>
    </w:pPr>
  </w:style>
  <w:style w:type="paragraph" w:styleId="ListNumber5">
    <w:name w:val="List Number 5"/>
    <w:basedOn w:val="List5"/>
    <w:rsid w:val="00AE1CFF"/>
    <w:pPr>
      <w:numPr>
        <w:numId w:val="6"/>
      </w:numPr>
    </w:pPr>
  </w:style>
  <w:style w:type="paragraph" w:styleId="BlockText">
    <w:name w:val="Block Text"/>
    <w:basedOn w:val="Normal"/>
    <w:rsid w:val="00AE1CFF"/>
    <w:pPr>
      <w:spacing w:after="120"/>
      <w:ind w:left="1440" w:right="1440"/>
    </w:pPr>
  </w:style>
  <w:style w:type="character" w:customStyle="1" w:styleId="Subscript">
    <w:name w:val="Subscript"/>
    <w:basedOn w:val="DefaultParagraphFont"/>
    <w:rsid w:val="00AE1CFF"/>
    <w:rPr>
      <w:sz w:val="16"/>
      <w:vertAlign w:val="subscript"/>
    </w:rPr>
  </w:style>
  <w:style w:type="character" w:customStyle="1" w:styleId="Superscript">
    <w:name w:val="Superscript"/>
    <w:basedOn w:val="DefaultParagraphFont"/>
    <w:rsid w:val="00AE1CFF"/>
    <w:rPr>
      <w:sz w:val="16"/>
      <w:vertAlign w:val="superscript"/>
    </w:rPr>
  </w:style>
  <w:style w:type="character" w:customStyle="1" w:styleId="Symbols">
    <w:name w:val="Symbols"/>
    <w:basedOn w:val="DefaultParagraphFont"/>
    <w:rsid w:val="00AE1CFF"/>
    <w:rPr>
      <w:rFonts w:ascii="Symbol" w:hAnsi="Symbol"/>
    </w:rPr>
  </w:style>
  <w:style w:type="character" w:customStyle="1" w:styleId="MenuOptions">
    <w:name w:val="Menu Options"/>
    <w:basedOn w:val="DefaultParagraphFont"/>
    <w:rsid w:val="00AE1CFF"/>
    <w:rPr>
      <w:rFonts w:ascii="Arial Narrow" w:hAnsi="Arial Narrow"/>
      <w:smallCaps/>
    </w:rPr>
  </w:style>
  <w:style w:type="character" w:customStyle="1" w:styleId="Buttons">
    <w:name w:val="Buttons"/>
    <w:basedOn w:val="DefaultParagraphFont"/>
    <w:rsid w:val="00AE1CFF"/>
    <w:rPr>
      <w:b/>
    </w:rPr>
  </w:style>
  <w:style w:type="character" w:customStyle="1" w:styleId="Underlined">
    <w:name w:val="Underlined"/>
    <w:basedOn w:val="DefaultParagraphFont"/>
    <w:rsid w:val="00AE1CFF"/>
    <w:rPr>
      <w:u w:val="single"/>
    </w:rPr>
  </w:style>
  <w:style w:type="paragraph" w:customStyle="1" w:styleId="TableBodyTextRight">
    <w:name w:val="Table Body Text Right"/>
    <w:basedOn w:val="TableBodyText"/>
    <w:rsid w:val="00AE1CFF"/>
    <w:pPr>
      <w:widowControl w:val="0"/>
      <w:autoSpaceDE w:val="0"/>
      <w:autoSpaceDN w:val="0"/>
      <w:adjustRightInd w:val="0"/>
      <w:jc w:val="right"/>
    </w:pPr>
    <w:rPr>
      <w:rFonts w:cs="Arial"/>
      <w:szCs w:val="18"/>
    </w:rPr>
  </w:style>
  <w:style w:type="paragraph" w:customStyle="1" w:styleId="CopyrightText">
    <w:name w:val="Copyright Text"/>
    <w:basedOn w:val="BodyText"/>
    <w:rsid w:val="00AE1CFF"/>
    <w:rPr>
      <w:sz w:val="18"/>
    </w:rPr>
  </w:style>
  <w:style w:type="paragraph" w:customStyle="1" w:styleId="BodySmallRight">
    <w:name w:val="Body Small Right"/>
    <w:basedOn w:val="BodyTextRight"/>
    <w:rsid w:val="00AE1CFF"/>
    <w:rPr>
      <w:sz w:val="18"/>
      <w:szCs w:val="18"/>
    </w:rPr>
  </w:style>
  <w:style w:type="paragraph" w:customStyle="1" w:styleId="MarginEdition">
    <w:name w:val="Margin Edition"/>
    <w:basedOn w:val="MarginNote"/>
    <w:rsid w:val="00AE1CFF"/>
    <w:pPr>
      <w:spacing w:before="0" w:after="0"/>
    </w:pPr>
    <w:rPr>
      <w:rFonts w:ascii="Times New Roman" w:hAnsi="Times New Roman"/>
      <w:color w:val="999999"/>
    </w:rPr>
  </w:style>
  <w:style w:type="paragraph" w:customStyle="1" w:styleId="Spacer">
    <w:name w:val="Spacer"/>
    <w:basedOn w:val="Normal"/>
    <w:rsid w:val="00AE1CFF"/>
    <w:rPr>
      <w:sz w:val="2"/>
      <w:szCs w:val="2"/>
    </w:rPr>
  </w:style>
  <w:style w:type="character" w:customStyle="1" w:styleId="Small">
    <w:name w:val="Small"/>
    <w:basedOn w:val="DefaultParagraphFont"/>
    <w:rsid w:val="00AE1CFF"/>
    <w:rPr>
      <w:sz w:val="16"/>
    </w:rPr>
  </w:style>
  <w:style w:type="paragraph" w:customStyle="1" w:styleId="WideTable">
    <w:name w:val="Wide Table"/>
    <w:basedOn w:val="Normal"/>
    <w:rsid w:val="00AE1CFF"/>
    <w:pPr>
      <w:ind w:left="-1418"/>
    </w:pPr>
    <w:rPr>
      <w:sz w:val="2"/>
      <w:szCs w:val="2"/>
    </w:rPr>
  </w:style>
  <w:style w:type="character" w:styleId="PageNumber">
    <w:name w:val="page number"/>
    <w:basedOn w:val="DefaultParagraphFont"/>
    <w:rsid w:val="00AE1CFF"/>
  </w:style>
  <w:style w:type="paragraph" w:styleId="Quote">
    <w:name w:val="Quote"/>
    <w:basedOn w:val="Heading1"/>
    <w:link w:val="QuoteChar"/>
    <w:qFormat/>
    <w:rsid w:val="00AE1CFF"/>
    <w:rPr>
      <w:b w:val="0"/>
      <w:sz w:val="72"/>
      <w:szCs w:val="72"/>
      <w:lang w:val="en-NZ"/>
    </w:rPr>
  </w:style>
  <w:style w:type="character" w:customStyle="1" w:styleId="QuoteChar">
    <w:name w:val="Quote Char"/>
    <w:basedOn w:val="DefaultParagraphFont"/>
    <w:link w:val="Quote"/>
    <w:rsid w:val="00AE1CF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E1CFF"/>
    <w:pPr>
      <w:pageBreakBefore/>
    </w:pPr>
  </w:style>
  <w:style w:type="paragraph" w:customStyle="1" w:styleId="Border">
    <w:name w:val="Border"/>
    <w:basedOn w:val="Normal"/>
    <w:qFormat/>
    <w:rsid w:val="00AE1CF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E1CFF"/>
    <w:rPr>
      <w:b/>
      <w:bCs/>
      <w:i/>
      <w:iCs/>
      <w:color w:val="auto"/>
    </w:rPr>
  </w:style>
  <w:style w:type="paragraph" w:styleId="IntenseQuote">
    <w:name w:val="Intense Quote"/>
    <w:basedOn w:val="Normal"/>
    <w:next w:val="Normal"/>
    <w:link w:val="IntenseQuoteChar"/>
    <w:uiPriority w:val="30"/>
    <w:qFormat/>
    <w:rsid w:val="00AE1CF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E1CFF"/>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AE1CFF"/>
    <w:rPr>
      <w:smallCaps/>
      <w:color w:val="auto"/>
      <w:u w:val="single"/>
    </w:rPr>
  </w:style>
  <w:style w:type="character" w:styleId="IntenseReference">
    <w:name w:val="Intense Reference"/>
    <w:basedOn w:val="DefaultParagraphFont"/>
    <w:uiPriority w:val="32"/>
    <w:qFormat/>
    <w:rsid w:val="00AE1CFF"/>
    <w:rPr>
      <w:b/>
      <w:bCs/>
      <w:smallCaps/>
      <w:color w:val="auto"/>
      <w:spacing w:val="5"/>
      <w:u w:val="single"/>
    </w:rPr>
  </w:style>
  <w:style w:type="paragraph" w:customStyle="1" w:styleId="2ColumnHeading">
    <w:name w:val="2Column Heading"/>
    <w:basedOn w:val="BodyText"/>
    <w:qFormat/>
    <w:rsid w:val="00AE1CFF"/>
    <w:pPr>
      <w:spacing w:after="60"/>
      <w:ind w:left="-2268"/>
    </w:pPr>
    <w:rPr>
      <w:b/>
    </w:rPr>
  </w:style>
  <w:style w:type="paragraph" w:customStyle="1" w:styleId="Heading1TOC">
    <w:name w:val="Heading1 TOC"/>
    <w:basedOn w:val="Normal"/>
    <w:qFormat/>
    <w:rsid w:val="00AE1CFF"/>
    <w:pPr>
      <w:spacing w:before="240" w:after="120"/>
    </w:pPr>
    <w:rPr>
      <w:rFonts w:ascii="Times New Roman" w:hAnsi="Times New Roman"/>
      <w:b/>
      <w:sz w:val="32"/>
    </w:rPr>
  </w:style>
  <w:style w:type="paragraph" w:customStyle="1" w:styleId="Heading2TOC">
    <w:name w:val="Heading2 TOC"/>
    <w:basedOn w:val="Normal"/>
    <w:qFormat/>
    <w:rsid w:val="00AE1CFF"/>
    <w:pPr>
      <w:spacing w:before="240" w:after="60"/>
    </w:pPr>
    <w:rPr>
      <w:rFonts w:ascii="Times New Roman" w:hAnsi="Times New Roman"/>
      <w:b/>
      <w:sz w:val="28"/>
    </w:rPr>
  </w:style>
  <w:style w:type="character" w:customStyle="1" w:styleId="Underline">
    <w:name w:val="Underline"/>
    <w:basedOn w:val="DefaultParagraphFont"/>
    <w:qFormat/>
    <w:rsid w:val="00AE1CFF"/>
    <w:rPr>
      <w:u w:val="single"/>
    </w:rPr>
  </w:style>
  <w:style w:type="character" w:customStyle="1" w:styleId="BoldandItalics">
    <w:name w:val="Bold and Italics"/>
    <w:qFormat/>
    <w:rsid w:val="00AE1CFF"/>
    <w:rPr>
      <w:b/>
      <w:i/>
      <w:u w:val="none"/>
    </w:rPr>
  </w:style>
  <w:style w:type="paragraph" w:styleId="BalloonText">
    <w:name w:val="Balloon Text"/>
    <w:basedOn w:val="Normal"/>
    <w:link w:val="BalloonTextChar"/>
    <w:rsid w:val="00AE1CFF"/>
    <w:rPr>
      <w:rFonts w:ascii="Tahoma" w:hAnsi="Tahoma" w:cs="Tahoma"/>
      <w:sz w:val="16"/>
      <w:szCs w:val="16"/>
    </w:rPr>
  </w:style>
  <w:style w:type="character" w:customStyle="1" w:styleId="BalloonTextChar">
    <w:name w:val="Balloon Text Char"/>
    <w:basedOn w:val="DefaultParagraphFont"/>
    <w:link w:val="BalloonText"/>
    <w:rsid w:val="00AE1CFF"/>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AE1CF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E1CFF"/>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1048</Words>
  <Characters>6567</Characters>
  <Application>Microsoft Office Word</Application>
  <DocSecurity>0</DocSecurity>
  <Lines>229</Lines>
  <Paragraphs>110</Paragraphs>
  <ScaleCrop>false</ScaleCrop>
  <Company>Author-it Software Corporation Ltd.</Company>
  <LinksUpToDate>false</LinksUpToDate>
  <CharactersWithSpaces>7535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MEM19006B Replace watch batteries</dc:title>
  <dc:subject>Approved</dc:subject>
  <dc:creator>Manufacturing Skills Australia</dc:creator>
  <cp:keywords>Release: 1</cp:keywords>
  <dc:description>Copyright © 1996-2007 Author-it Software Corporation Ltd., all rights reserved.</dc:description>
  <cp:lastModifiedBy>Windows User</cp:lastModifiedBy>
  <cp:revision>3</cp:revision>
  <dcterms:created xsi:type="dcterms:W3CDTF">2012-05-27T01:59:00Z</dcterms:created>
  <dcterms:modified xsi:type="dcterms:W3CDTF">2012-05-27T01:59:00Z</dcterms:modified>
</cp:coreProperties>
</file>