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A8F" w:rsidP="00D73A8F">
      <w:pPr>
        <w:pStyle w:val="Title"/>
      </w:pPr>
      <w:bookmarkStart w:id="0" w:name="_GoBack"/>
      <w:bookmarkEnd w:id="0"/>
      <w:r>
        <w:fldChar w:fldCharType="begin"/>
      </w:r>
      <w:r>
        <w:instrText xml:space="preserve"> TITLE   \* MERGEFORMAT </w:instrText>
      </w:r>
      <w:r>
        <w:fldChar w:fldCharType="separate"/>
      </w:r>
      <w:r>
        <w:t>MEM18098A Prepare to perform work associated with fuel system installation and servicing</w:t>
      </w:r>
      <w:r>
        <w:fldChar w:fldCharType="end"/>
      </w:r>
    </w:p>
    <w:p w:rsidR="00D73A8F" w:rsidP="00D73A8F">
      <w:pPr>
        <w:pStyle w:val="Version"/>
        <w:sectPr w:rsidSect="00A220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2025" w:rsidP="00A22025">
      <w:pPr>
        <w:pStyle w:val="SuperHeading"/>
      </w:pPr>
      <w:r w:rsidRPr="00A22025">
        <w:t>MEM18098A Prepare to perform work associated with fuel system installation and servicing</w:t>
      </w:r>
    </w:p>
    <w:p w:rsidR="00000000" w:rsidRPr="00A22025" w:rsidP="00A22025">
      <w:pPr>
        <w:pStyle w:val="Heading1"/>
      </w:pPr>
      <w:bookmarkStart w:id="1" w:name="O_338299"/>
      <w:bookmarkEnd w:id="1"/>
      <w:r w:rsidRPr="00A22025">
        <w:t>Modification History</w:t>
      </w:r>
    </w:p>
    <w:p w:rsidR="00000000" w:rsidRPr="00A22025" w:rsidP="00A22025">
      <w:pPr>
        <w:pStyle w:val="BodyText"/>
      </w:pPr>
      <w:r w:rsidRPr="00A22025">
        <w:t>Not applicable.</w:t>
      </w:r>
    </w:p>
    <w:p w:rsidR="00000000" w:rsidRPr="00A22025" w:rsidP="00A22025">
      <w:pPr>
        <w:pStyle w:val="AllowPageBreak"/>
      </w:pPr>
    </w:p>
    <w:p w:rsidR="00000000" w:rsidRPr="00A22025" w:rsidP="00A22025">
      <w:pPr>
        <w:pStyle w:val="Heading1"/>
      </w:pPr>
      <w:bookmarkStart w:id="2" w:name="O_338300"/>
      <w:bookmarkEnd w:id="2"/>
      <w:r w:rsidRPr="00A22025">
        <w:t>Unit De</w:t>
      </w:r>
      <w:r w:rsidRPr="00A22025">
        <w:t>scriptor</w:t>
      </w:r>
    </w:p>
    <w:tbl>
      <w:tblPr>
        <w:tblW w:w="0" w:type="auto"/>
        <w:tblCellMar>
          <w:left w:w="62" w:type="dxa"/>
          <w:right w:w="62" w:type="dxa"/>
        </w:tblCellMar>
        <w:tblLook w:val="0000"/>
      </w:tblPr>
      <w:tblGrid>
        <w:gridCol w:w="9196"/>
      </w:tblGrid>
      <w:tr w:rsidTr="00D73A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025" w:rsidP="00A22025">
            <w:pPr>
              <w:pStyle w:val="BodyText"/>
            </w:pPr>
            <w:r w:rsidRPr="00A22025">
              <w:t>This unit of competency covers the skills and knowledge required to prepare for work associated with fuel system installation and servicing. It complements other relevant general occupational health and safety (OHS) and any required technical unit</w:t>
            </w:r>
            <w:r w:rsidRPr="00A22025">
              <w:t>s.</w:t>
            </w:r>
          </w:p>
        </w:tc>
      </w:tr>
    </w:tbl>
    <w:p w:rsidR="00000000" w:rsidRPr="00A22025" w:rsidP="00A22025">
      <w:pPr>
        <w:pStyle w:val="BodyText"/>
      </w:pPr>
    </w:p>
    <w:p w:rsidR="00000000" w:rsidRPr="00A22025" w:rsidP="00A22025">
      <w:pPr>
        <w:pStyle w:val="AllowPageBreak"/>
      </w:pPr>
    </w:p>
    <w:p w:rsidR="00000000" w:rsidRPr="00A22025" w:rsidP="00A22025">
      <w:pPr>
        <w:pStyle w:val="Heading1"/>
      </w:pPr>
      <w:bookmarkStart w:id="3" w:name="O_338301"/>
      <w:bookmarkEnd w:id="3"/>
      <w:r w:rsidRPr="00A22025">
        <w:t>Application of the Unit</w:t>
      </w:r>
    </w:p>
    <w:tbl>
      <w:tblPr>
        <w:tblW w:w="0" w:type="auto"/>
        <w:tblCellMar>
          <w:left w:w="62" w:type="dxa"/>
          <w:right w:w="62" w:type="dxa"/>
        </w:tblCellMar>
        <w:tblLook w:val="0000"/>
      </w:tblPr>
      <w:tblGrid>
        <w:gridCol w:w="9196"/>
      </w:tblGrid>
      <w:tr w:rsidTr="00D73A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025" w:rsidP="00A22025">
            <w:pPr>
              <w:pStyle w:val="BodyText"/>
            </w:pPr>
            <w:r w:rsidRPr="00A22025">
              <w:t xml:space="preserve">This unit applies to personnel who install or service fuel systems and equipment. They will typically undertake this in a service station forecourt which may be operational </w:t>
            </w:r>
            <w:r w:rsidRPr="00A22025">
              <w:t>or be shut down for refurbishment or under construction.</w:t>
            </w:r>
          </w:p>
          <w:p w:rsidR="00000000" w:rsidRPr="00A22025" w:rsidP="00A22025">
            <w:pPr>
              <w:pStyle w:val="BodyText"/>
            </w:pPr>
            <w:r w:rsidRPr="00A22025">
              <w:t>Work associated with installation and servicing may be undertaken by a person working autonomously or in a team.</w:t>
            </w:r>
          </w:p>
          <w:p w:rsidR="00000000" w:rsidRPr="00A22025" w:rsidP="00A22025">
            <w:pPr>
              <w:pStyle w:val="BodyText"/>
            </w:pPr>
            <w:r w:rsidRPr="00A22025">
              <w:t>The skills and knowledge needed to undertake the work are covered by relevant technica</w:t>
            </w:r>
            <w:r w:rsidRPr="00A22025">
              <w:t>l units of competency.</w:t>
            </w:r>
          </w:p>
          <w:p w:rsidR="00000000" w:rsidRPr="00A22025" w:rsidP="00A22025">
            <w:pPr>
              <w:pStyle w:val="BodyText"/>
            </w:pPr>
            <w:r w:rsidRPr="00A22025">
              <w:t>Band:  A</w:t>
            </w:r>
          </w:p>
          <w:p w:rsidR="00000000" w:rsidRPr="00A22025" w:rsidP="00A22025">
            <w:pPr>
              <w:pStyle w:val="BodyText"/>
            </w:pPr>
            <w:r w:rsidRPr="00A22025">
              <w:t>Unit weight:  2</w:t>
            </w:r>
          </w:p>
        </w:tc>
      </w:tr>
    </w:tbl>
    <w:p w:rsidR="00000000" w:rsidRPr="00A22025" w:rsidP="00A22025">
      <w:pPr>
        <w:pStyle w:val="BodyText"/>
      </w:pPr>
    </w:p>
    <w:p w:rsidR="00000000" w:rsidRPr="00A22025" w:rsidP="00A22025">
      <w:pPr>
        <w:pStyle w:val="AllowPageBreak"/>
      </w:pPr>
    </w:p>
    <w:p w:rsidR="00000000" w:rsidRPr="00A22025" w:rsidP="00A22025">
      <w:pPr>
        <w:pStyle w:val="Heading1"/>
      </w:pPr>
      <w:bookmarkStart w:id="4" w:name="O_338302"/>
      <w:bookmarkEnd w:id="4"/>
      <w:r w:rsidRPr="00A22025">
        <w:t>Licensing/Regulatory Information</w:t>
      </w:r>
    </w:p>
    <w:p w:rsidR="00000000" w:rsidRPr="00A22025" w:rsidP="00A22025">
      <w:pPr>
        <w:pStyle w:val="BodyText"/>
      </w:pPr>
      <w:r w:rsidRPr="00A22025">
        <w:t>Not applicable.</w:t>
      </w:r>
    </w:p>
    <w:p w:rsidR="00000000" w:rsidRPr="00A22025" w:rsidP="00A22025">
      <w:pPr>
        <w:pStyle w:val="AllowPageBreak"/>
      </w:pPr>
    </w:p>
    <w:p w:rsidR="00000000" w:rsidRPr="00A22025" w:rsidP="00A22025">
      <w:pPr>
        <w:pStyle w:val="Heading1"/>
      </w:pPr>
      <w:bookmarkStart w:id="5" w:name="O_338303"/>
      <w:bookmarkEnd w:id="5"/>
      <w:r w:rsidRPr="00A22025">
        <w:t>Pre-Requisites</w:t>
      </w:r>
    </w:p>
    <w:tbl>
      <w:tblPr>
        <w:tblW w:w="0" w:type="auto"/>
        <w:tblLayout w:type="fixed"/>
        <w:tblCellMar>
          <w:left w:w="62" w:type="dxa"/>
          <w:right w:w="62" w:type="dxa"/>
        </w:tblCellMar>
        <w:tblLook w:val="0000"/>
      </w:tblPr>
      <w:tblGrid>
        <w:gridCol w:w="1546"/>
        <w:gridCol w:w="5262"/>
      </w:tblGrid>
      <w:tr w:rsidTr="00A22025">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025">
            <w:pPr>
              <w:pStyle w:val="BodyText"/>
              <w:rPr>
                <w:lang w:val="en-NZ"/>
              </w:rPr>
            </w:pPr>
            <w:r w:rsidRPr="00A22025">
              <w:t>MEM09002B</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025" w:rsidP="00A22025">
            <w:pPr>
              <w:pStyle w:val="BodyText"/>
            </w:pPr>
            <w:r w:rsidRPr="00A22025">
              <w:t>Interpret technical drawing</w:t>
            </w:r>
          </w:p>
        </w:tc>
      </w:tr>
    </w:tbl>
    <w:p w:rsidR="00000000" w:rsidRPr="00A22025" w:rsidP="00A22025">
      <w:pPr>
        <w:pStyle w:val="BodyText"/>
      </w:pPr>
    </w:p>
    <w:p w:rsidR="00000000" w:rsidRPr="00A22025" w:rsidP="00A22025">
      <w:pPr>
        <w:pStyle w:val="AllowPageBreak"/>
      </w:pPr>
    </w:p>
    <w:p w:rsidR="00000000" w:rsidRPr="00A22025" w:rsidP="00A22025">
      <w:pPr>
        <w:pStyle w:val="Heading1"/>
      </w:pPr>
      <w:bookmarkStart w:id="6" w:name="O_338304"/>
      <w:bookmarkEnd w:id="6"/>
      <w:r w:rsidRPr="00A22025">
        <w:t>Employability Skills Information</w:t>
      </w:r>
    </w:p>
    <w:p w:rsidR="00000000" w:rsidRPr="00A22025" w:rsidP="00A22025">
      <w:pPr>
        <w:pStyle w:val="BodyText"/>
      </w:pPr>
      <w:r w:rsidRPr="00A22025">
        <w:t>This unit contains employability skills</w:t>
      </w:r>
    </w:p>
    <w:p w:rsidR="00000000" w:rsidRPr="00A22025" w:rsidP="00A22025">
      <w:pPr>
        <w:pStyle w:val="AllowPageBreak"/>
      </w:pPr>
    </w:p>
    <w:p w:rsidR="00000000" w:rsidRPr="00A22025" w:rsidP="00A22025">
      <w:pPr>
        <w:pStyle w:val="Heading1"/>
      </w:pPr>
      <w:bookmarkStart w:id="7" w:name="O_338305"/>
      <w:bookmarkEnd w:id="7"/>
      <w:r w:rsidRPr="00A22025">
        <w:t>Elements and Performance Criteria Pre-Content</w:t>
      </w:r>
    </w:p>
    <w:p w:rsidR="00000000" w:rsidRPr="00A22025" w:rsidP="00A22025">
      <w:pPr>
        <w:pStyle w:val="BodyText"/>
      </w:pPr>
      <w:r w:rsidRPr="00A22025">
        <w:t>Not applicable.</w:t>
      </w:r>
    </w:p>
    <w:p w:rsidR="00000000" w:rsidRPr="00A22025" w:rsidP="00A22025">
      <w:pPr>
        <w:pStyle w:val="AllowPageBreak"/>
      </w:pPr>
    </w:p>
    <w:p w:rsidR="00000000" w:rsidRPr="00A22025" w:rsidP="00A22025">
      <w:pPr>
        <w:pStyle w:val="Heading1"/>
      </w:pPr>
      <w:bookmarkStart w:id="8" w:name="O_338306"/>
      <w:bookmarkEnd w:id="8"/>
      <w:r w:rsidRPr="00A22025">
        <w:t>Elements and Performance Criteria</w:t>
      </w:r>
    </w:p>
    <w:tbl>
      <w:tblPr>
        <w:tblW w:w="0" w:type="auto"/>
        <w:tblCellMar>
          <w:left w:w="62" w:type="dxa"/>
          <w:right w:w="62" w:type="dxa"/>
        </w:tblCellMar>
        <w:tblLook w:val="0000"/>
      </w:tblPr>
      <w:tblGrid>
        <w:gridCol w:w="577"/>
        <w:gridCol w:w="2695"/>
        <w:gridCol w:w="577"/>
        <w:gridCol w:w="5347"/>
      </w:tblGrid>
      <w:tr w:rsidTr="00D73A8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22025" w:rsidP="00A22025">
            <w:pPr>
              <w:pStyle w:val="BodyText"/>
            </w:pPr>
            <w:r w:rsidRPr="00A22025">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A22025" w:rsidP="00A22025">
            <w:pPr>
              <w:pStyle w:val="BodyText"/>
            </w:pPr>
            <w:r w:rsidRPr="00A22025">
              <w:t xml:space="preserve">Plan and prepare for installation or servicing task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1.1</w:t>
            </w: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Clarify job requirements,</w:t>
            </w:r>
            <w:r w:rsidRPr="00A22025">
              <w:t xml:space="preserve"> as appropriate</w:t>
            </w:r>
          </w:p>
        </w:tc>
      </w:tr>
      <w:tr w:rsidTr="00D73A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1.2</w:t>
            </w: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Clarify variations to work plan and take appropriate action</w:t>
            </w:r>
          </w:p>
        </w:tc>
      </w:tr>
      <w:tr w:rsidTr="00D73A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1.3</w:t>
            </w: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Obtain required work permits</w:t>
            </w:r>
          </w:p>
        </w:tc>
      </w:tr>
      <w:tr w:rsidTr="00D73A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1.4</w:t>
            </w: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Identify and comply with emergency and safety procedures for worksite</w:t>
            </w:r>
          </w:p>
        </w:tc>
      </w:tr>
      <w:tr w:rsidTr="00D73A8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22025" w:rsidP="00A22025">
            <w:pPr>
              <w:pStyle w:val="BodyText"/>
            </w:pPr>
            <w:r w:rsidRPr="00A22025">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A22025" w:rsidP="00A22025">
            <w:pPr>
              <w:pStyle w:val="BodyText"/>
            </w:pPr>
            <w:r w:rsidRPr="00A22025">
              <w:t>Confirm location and nature of key fuel system components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2.1</w:t>
            </w: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Identify and locate above and below ground storage components</w:t>
            </w:r>
          </w:p>
        </w:tc>
      </w:tr>
      <w:tr w:rsidTr="00D73A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2.2</w:t>
            </w: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Identify and locate fuel conveying systems</w:t>
            </w:r>
          </w:p>
        </w:tc>
      </w:tr>
      <w:tr w:rsidTr="00D73A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2.3</w:t>
            </w: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Identify and locate pumps and pump systems</w:t>
            </w:r>
          </w:p>
        </w:tc>
      </w:tr>
      <w:tr w:rsidTr="00D73A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2.4</w:t>
            </w: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Identify and locate dispensing systems</w:t>
            </w:r>
          </w:p>
        </w:tc>
      </w:tr>
      <w:tr w:rsidTr="00D73A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2.5</w:t>
            </w: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 xml:space="preserve">Confirm location of fuel system components with site plan </w:t>
            </w:r>
          </w:p>
        </w:tc>
      </w:tr>
      <w:tr w:rsidTr="00D73A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2.6</w:t>
            </w: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 xml:space="preserve">Identify and report any hazards and/or inconsistencies with site plan, equipment drawings and regulatory requirements </w:t>
            </w:r>
          </w:p>
        </w:tc>
      </w:tr>
      <w:tr w:rsidTr="00D73A8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22025" w:rsidP="00A22025">
            <w:pPr>
              <w:pStyle w:val="BodyText"/>
            </w:pPr>
            <w:r w:rsidRPr="00A22025">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A22025" w:rsidP="00A22025">
            <w:pPr>
              <w:pStyle w:val="BodyText"/>
            </w:pPr>
            <w:r w:rsidRPr="00A22025">
              <w:t>Assess and manage risks associated with the work</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3.1</w:t>
            </w: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Identify fuels and other hazardous materials on site</w:t>
            </w:r>
          </w:p>
        </w:tc>
      </w:tr>
      <w:tr w:rsidTr="00D73A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3.2</w:t>
            </w: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 xml:space="preserve">Identify other hazards </w:t>
            </w:r>
          </w:p>
        </w:tc>
      </w:tr>
      <w:tr w:rsidTr="00D73A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3.3</w:t>
            </w: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 xml:space="preserve">Identify and confirm shut-off procedures, details of evacuation plan and location of emergency equipment </w:t>
            </w:r>
          </w:p>
        </w:tc>
      </w:tr>
      <w:tr w:rsidTr="00D73A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3.4</w:t>
            </w: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Assess hazards and determine risks</w:t>
            </w:r>
          </w:p>
        </w:tc>
      </w:tr>
      <w:tr w:rsidTr="00D73A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3.5</w:t>
            </w: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Determine appropriate control measures to control risks</w:t>
            </w:r>
          </w:p>
        </w:tc>
      </w:tr>
      <w:tr w:rsidTr="00D73A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3.6</w:t>
            </w: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Select appropriate tools and equipment to be used on the job</w:t>
            </w:r>
          </w:p>
        </w:tc>
      </w:tr>
      <w:tr w:rsidTr="00D73A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3.7</w:t>
            </w: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Identify nature and location of required isolations</w:t>
            </w:r>
          </w:p>
        </w:tc>
      </w:tr>
      <w:tr w:rsidTr="00D73A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22025">
            <w:pPr>
              <w:pStyle w:val="BodyText"/>
              <w:rPr>
                <w:lang w:val="en-NZ"/>
              </w:rPr>
            </w:pPr>
            <w:r w:rsidRPr="00A22025">
              <w:t>3.8</w:t>
            </w:r>
          </w:p>
        </w:tc>
        <w:tc>
          <w:tcPr>
            <w:tcW w:w="0" w:type="auto"/>
            <w:tcBorders>
              <w:top w:val="nil"/>
              <w:left w:val="nil"/>
              <w:bottom w:val="nil"/>
              <w:right w:val="nil"/>
            </w:tcBorders>
            <w:tcMar>
              <w:top w:w="0" w:type="dxa"/>
              <w:left w:w="62" w:type="dxa"/>
              <w:bottom w:w="0" w:type="dxa"/>
              <w:right w:w="62" w:type="dxa"/>
            </w:tcMar>
          </w:tcPr>
          <w:p w:rsidR="00000000" w:rsidRPr="00A22025" w:rsidP="00A22025">
            <w:pPr>
              <w:pStyle w:val="BodyText"/>
            </w:pPr>
            <w:r w:rsidRPr="00A22025">
              <w:t>Determine the type of, and appropriate locations for, barriers to prevent unauthorised access to the work location and put them in place before job commencement</w:t>
            </w:r>
          </w:p>
        </w:tc>
      </w:tr>
    </w:tbl>
    <w:p w:rsidR="00000000" w:rsidRPr="00A22025" w:rsidP="00A22025">
      <w:pPr>
        <w:pStyle w:val="BodyText"/>
      </w:pPr>
    </w:p>
    <w:p w:rsidR="00000000" w:rsidRPr="00A22025" w:rsidP="00A22025">
      <w:pPr>
        <w:pStyle w:val="AllowPageBreak"/>
      </w:pPr>
    </w:p>
    <w:p w:rsidR="00000000" w:rsidRPr="00A22025" w:rsidP="00A22025">
      <w:pPr>
        <w:pStyle w:val="Heading1"/>
      </w:pPr>
      <w:bookmarkStart w:id="9" w:name="O_338307"/>
      <w:bookmarkEnd w:id="9"/>
      <w:r w:rsidRPr="00A22025">
        <w:t>Required Skills and Knowledge</w:t>
      </w:r>
    </w:p>
    <w:tbl>
      <w:tblPr>
        <w:tblW w:w="0" w:type="auto"/>
        <w:tblCellMar>
          <w:left w:w="62" w:type="dxa"/>
          <w:right w:w="62" w:type="dxa"/>
        </w:tblCellMar>
        <w:tblLook w:val="0000"/>
      </w:tblPr>
      <w:tblGrid>
        <w:gridCol w:w="9196"/>
      </w:tblGrid>
      <w:tr w:rsidTr="00D73A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025" w:rsidP="00A22025">
            <w:pPr>
              <w:pStyle w:val="BodyText"/>
            </w:pPr>
            <w:r w:rsidRPr="00A22025">
              <w:t>Required knowledge includes:</w:t>
            </w:r>
          </w:p>
          <w:p w:rsidR="00000000" w:rsidRPr="00A22025" w:rsidP="00A22025">
            <w:pPr>
              <w:pStyle w:val="ListBullet"/>
            </w:pPr>
            <w:r w:rsidRPr="00A22025">
              <w:t>types of fuels an</w:t>
            </w:r>
            <w:r w:rsidRPr="00A22025">
              <w:t>d their associated hazards</w:t>
            </w:r>
          </w:p>
          <w:p w:rsidR="00000000" w:rsidRPr="00A22025" w:rsidP="00A22025">
            <w:pPr>
              <w:pStyle w:val="ListBullet"/>
            </w:pPr>
            <w:r w:rsidRPr="00A22025">
              <w:t>fuel delivery systems and associated hazards:</w:t>
            </w:r>
          </w:p>
          <w:p w:rsidR="00000000" w:rsidRPr="00A22025" w:rsidP="00A22025">
            <w:pPr>
              <w:pStyle w:val="ListBullet2"/>
            </w:pPr>
            <w:r w:rsidRPr="00A22025">
              <w:t>pressure</w:t>
            </w:r>
          </w:p>
          <w:p w:rsidR="00000000" w:rsidRPr="00A22025" w:rsidP="00A22025">
            <w:pPr>
              <w:pStyle w:val="ListBullet2"/>
            </w:pPr>
            <w:r w:rsidRPr="00A22025">
              <w:t>suction</w:t>
            </w:r>
          </w:p>
          <w:p w:rsidR="00000000" w:rsidRPr="00A22025" w:rsidP="00A22025">
            <w:pPr>
              <w:pStyle w:val="ListBullet2"/>
            </w:pPr>
            <w:r w:rsidRPr="00A22025">
              <w:t>flammability</w:t>
            </w:r>
          </w:p>
          <w:p w:rsidR="00000000" w:rsidRPr="00A22025" w:rsidP="00A22025">
            <w:pPr>
              <w:pStyle w:val="ListBullet2"/>
            </w:pPr>
            <w:r w:rsidRPr="00A22025">
              <w:t>explosive potential</w:t>
            </w:r>
          </w:p>
          <w:p w:rsidR="00000000" w:rsidRPr="00A22025" w:rsidP="00A22025">
            <w:pPr>
              <w:pStyle w:val="ListBullet2"/>
            </w:pPr>
            <w:r w:rsidRPr="00A22025">
              <w:t>toxicity</w:t>
            </w:r>
          </w:p>
          <w:p w:rsidR="00000000" w:rsidRPr="00A22025" w:rsidP="00A22025">
            <w:pPr>
              <w:pStyle w:val="ListBullet2"/>
            </w:pPr>
            <w:r w:rsidRPr="00A22025">
              <w:t>static electricity</w:t>
            </w:r>
          </w:p>
          <w:p w:rsidR="00000000" w:rsidRPr="00A22025" w:rsidP="00A22025">
            <w:pPr>
              <w:pStyle w:val="ListBullet"/>
            </w:pPr>
            <w:r w:rsidRPr="00A22025">
              <w:t xml:space="preserve">dangerous goods classification and labelling </w:t>
            </w:r>
          </w:p>
          <w:p w:rsidR="00000000" w:rsidRPr="00A22025" w:rsidP="00A22025">
            <w:pPr>
              <w:pStyle w:val="ListBullet"/>
            </w:pPr>
            <w:r w:rsidRPr="00A22025">
              <w:t>storage and handling of dangerous goods</w:t>
            </w:r>
          </w:p>
          <w:p w:rsidR="00000000" w:rsidRPr="00A22025" w:rsidP="00A22025">
            <w:pPr>
              <w:pStyle w:val="ListBullet"/>
            </w:pPr>
            <w:r w:rsidRPr="00A22025">
              <w:t>suction/pressure systems</w:t>
            </w:r>
          </w:p>
          <w:p w:rsidR="00000000" w:rsidRPr="00A22025" w:rsidP="00A22025">
            <w:pPr>
              <w:pStyle w:val="ListBullet"/>
            </w:pPr>
            <w:r w:rsidRPr="00A22025">
              <w:t>first stage vapour recovery systems</w:t>
            </w:r>
          </w:p>
          <w:p w:rsidR="00000000" w:rsidRPr="00A22025" w:rsidP="00A22025">
            <w:pPr>
              <w:pStyle w:val="ListBullet"/>
            </w:pPr>
            <w:r w:rsidRPr="00A22025">
              <w:t>second stage vapour recovery systems</w:t>
            </w:r>
          </w:p>
          <w:p w:rsidR="00000000" w:rsidRPr="00A22025" w:rsidP="00A22025">
            <w:pPr>
              <w:pStyle w:val="ListBullet"/>
            </w:pPr>
            <w:r w:rsidRPr="00A22025">
              <w:t>pumps and pumping principles and problems</w:t>
            </w:r>
          </w:p>
          <w:p w:rsidR="00000000" w:rsidRPr="00A22025" w:rsidP="00A22025">
            <w:pPr>
              <w:pStyle w:val="ListBullet"/>
            </w:pPr>
            <w:r w:rsidRPr="00A22025">
              <w:t>fuel dispensing and metering systems</w:t>
            </w:r>
          </w:p>
          <w:p w:rsidR="00000000" w:rsidRPr="00A22025" w:rsidP="00A22025">
            <w:pPr>
              <w:pStyle w:val="ListBullet"/>
            </w:pPr>
            <w:r w:rsidRPr="00A22025">
              <w:t>interpretation of permits, site maps and hazard maps</w:t>
            </w:r>
          </w:p>
          <w:p w:rsidR="00000000" w:rsidRPr="00A22025" w:rsidP="00A22025">
            <w:pPr>
              <w:pStyle w:val="ListBullet"/>
            </w:pPr>
            <w:r w:rsidRPr="00A22025">
              <w:t>regulatory requirements, i</w:t>
            </w:r>
            <w:r w:rsidRPr="00A22025">
              <w:t>ncluding licensing, OHS and environmental regulations</w:t>
            </w:r>
          </w:p>
          <w:p w:rsidR="00000000" w:rsidRPr="00A22025" w:rsidP="00A22025">
            <w:pPr>
              <w:pStyle w:val="BodyText"/>
            </w:pPr>
            <w:r w:rsidRPr="00A22025">
              <w:t>Required skills include:</w:t>
            </w:r>
          </w:p>
          <w:p w:rsidR="00000000" w:rsidRPr="00A22025" w:rsidP="00A22025">
            <w:pPr>
              <w:pStyle w:val="ListBullet"/>
            </w:pPr>
            <w:r w:rsidRPr="00A22025">
              <w:t xml:space="preserve">communicating effectively, including recording, reporting and documenting information </w:t>
            </w:r>
          </w:p>
          <w:p w:rsidR="00000000" w:rsidRPr="00A22025" w:rsidP="00A22025">
            <w:pPr>
              <w:pStyle w:val="ListBullet"/>
            </w:pPr>
            <w:r w:rsidRPr="00A22025">
              <w:t>identifying and complying with appropriate legislation and regulations</w:t>
            </w:r>
          </w:p>
          <w:p w:rsidR="00000000" w:rsidRPr="00A22025" w:rsidP="00A22025">
            <w:pPr>
              <w:pStyle w:val="ListBullet"/>
            </w:pPr>
            <w:r w:rsidRPr="00A22025">
              <w:t xml:space="preserve">identifying hazards </w:t>
            </w:r>
          </w:p>
          <w:p w:rsidR="00000000" w:rsidRPr="00A22025" w:rsidP="00A22025">
            <w:pPr>
              <w:pStyle w:val="ListBullet"/>
            </w:pPr>
            <w:r w:rsidRPr="00A22025">
              <w:t xml:space="preserve">assessing hazards and determining risks </w:t>
            </w:r>
          </w:p>
          <w:p w:rsidR="00000000" w:rsidRPr="00A22025" w:rsidP="00A22025">
            <w:pPr>
              <w:pStyle w:val="ListBullet"/>
            </w:pPr>
            <w:r w:rsidRPr="00A22025">
              <w:t>determining appropriate control measures using the hierarchy of control</w:t>
            </w:r>
          </w:p>
          <w:p w:rsidR="00000000" w:rsidRPr="00A22025" w:rsidP="00A22025">
            <w:pPr>
              <w:pStyle w:val="ListBullet"/>
            </w:pPr>
            <w:r w:rsidRPr="00A22025">
              <w:t>identifying support and assistance requirements</w:t>
            </w:r>
          </w:p>
          <w:p w:rsidR="00000000" w:rsidRPr="00A22025" w:rsidP="00A22025">
            <w:pPr>
              <w:pStyle w:val="ListBullet"/>
            </w:pPr>
            <w:r w:rsidRPr="00A22025">
              <w:t>relating to people from a range of social, cultural and ethnic backgrounds</w:t>
            </w:r>
            <w:r w:rsidRPr="00A22025">
              <w:t xml:space="preserve"> and of varying physical and mental abilities </w:t>
            </w:r>
          </w:p>
          <w:p w:rsidR="00000000" w:rsidRPr="00A22025" w:rsidP="00A22025">
            <w:pPr>
              <w:pStyle w:val="ListBullet"/>
            </w:pPr>
            <w:r w:rsidRPr="00A22025">
              <w:t>selecting and using appropriate personal protection equipment</w:t>
            </w:r>
          </w:p>
          <w:p w:rsidR="00000000" w:rsidRPr="00A22025" w:rsidP="00A22025">
            <w:pPr>
              <w:pStyle w:val="ListBullet"/>
            </w:pPr>
            <w:r w:rsidRPr="00A22025">
              <w:t>using relevant computer systems</w:t>
            </w:r>
          </w:p>
          <w:p w:rsidR="00000000" w:rsidRPr="00A22025" w:rsidP="00A22025">
            <w:pPr>
              <w:pStyle w:val="BodyText"/>
            </w:pPr>
          </w:p>
        </w:tc>
      </w:tr>
    </w:tbl>
    <w:p w:rsidR="00000000" w:rsidRPr="00A22025" w:rsidP="00A22025">
      <w:pPr>
        <w:pStyle w:val="BodyText"/>
      </w:pPr>
    </w:p>
    <w:p w:rsidR="00000000" w:rsidRPr="00A22025" w:rsidP="00A22025">
      <w:pPr>
        <w:pStyle w:val="AllowPageBreak"/>
      </w:pPr>
    </w:p>
    <w:p w:rsidR="00000000" w:rsidRPr="00A22025" w:rsidP="00A22025">
      <w:pPr>
        <w:pStyle w:val="Heading1"/>
      </w:pPr>
      <w:bookmarkStart w:id="10" w:name="O_338308"/>
      <w:bookmarkEnd w:id="10"/>
      <w:r w:rsidRPr="00A22025">
        <w:t>Evidence Guide</w:t>
      </w:r>
    </w:p>
    <w:tbl>
      <w:tblPr>
        <w:tblW w:w="9354" w:type="dxa"/>
        <w:tblLayout w:type="fixed"/>
        <w:tblCellMar>
          <w:left w:w="62" w:type="dxa"/>
          <w:right w:w="62" w:type="dxa"/>
        </w:tblCellMar>
        <w:tblLook w:val="0000"/>
      </w:tblPr>
      <w:tblGrid>
        <w:gridCol w:w="3692"/>
        <w:gridCol w:w="5662"/>
      </w:tblGrid>
      <w:tr w:rsidTr="00A2202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025">
            <w:pPr>
              <w:pStyle w:val="Heading4"/>
              <w:rPr>
                <w:lang w:val="en-NZ"/>
              </w:rPr>
            </w:pPr>
            <w:r w:rsidRPr="00A22025">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025">
            <w:pPr>
              <w:pStyle w:val="BodyText"/>
              <w:rPr>
                <w:lang w:val="en-NZ"/>
              </w:rPr>
            </w:pPr>
          </w:p>
        </w:tc>
      </w:tr>
      <w:tr w:rsidTr="00A2202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025">
            <w:pPr>
              <w:pStyle w:val="Heading4"/>
              <w:rPr>
                <w:lang w:val="en-NZ"/>
              </w:rPr>
            </w:pPr>
            <w:r w:rsidRPr="00A22025">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025" w:rsidP="00A22025">
            <w:pPr>
              <w:pStyle w:val="BodyText"/>
            </w:pPr>
            <w:r w:rsidRPr="00A22025">
              <w:t>A person who demonstrates competency in this unit must be able to provide evidence of the ability to:</w:t>
            </w:r>
          </w:p>
          <w:p w:rsidR="00000000" w:rsidRPr="00A22025" w:rsidP="00A22025">
            <w:pPr>
              <w:pStyle w:val="ListBullet"/>
            </w:pPr>
            <w:r w:rsidRPr="00A22025">
              <w:t>determine work requirements</w:t>
            </w:r>
          </w:p>
          <w:p w:rsidR="00000000" w:rsidRPr="00A22025" w:rsidP="00A22025">
            <w:pPr>
              <w:pStyle w:val="ListBullet"/>
            </w:pPr>
            <w:r w:rsidRPr="00A22025">
              <w:t>identify hazards and risks associ</w:t>
            </w:r>
            <w:r w:rsidRPr="00A22025">
              <w:t>ated with the worksite</w:t>
            </w:r>
          </w:p>
          <w:p w:rsidR="00000000" w:rsidRPr="00A22025" w:rsidP="00A22025">
            <w:pPr>
              <w:pStyle w:val="ListBullet"/>
            </w:pPr>
            <w:r w:rsidRPr="00A22025">
              <w:t>establish appropriate plan for the performance of work</w:t>
            </w:r>
          </w:p>
          <w:p w:rsidR="00000000" w:rsidP="00A22025">
            <w:pPr>
              <w:pStyle w:val="ListBullet"/>
              <w:rPr>
                <w:lang w:val="en-NZ"/>
              </w:rPr>
            </w:pPr>
            <w:r w:rsidRPr="00A22025">
              <w:t>apply any state/territory licensing, OHS and environmental legislation, standards and industry codes of practice.</w:t>
            </w:r>
          </w:p>
        </w:tc>
      </w:tr>
      <w:tr w:rsidTr="00A2202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025">
            <w:pPr>
              <w:pStyle w:val="Heading4"/>
              <w:rPr>
                <w:lang w:val="en-NZ"/>
              </w:rPr>
            </w:pPr>
            <w:r w:rsidRPr="00A22025">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025" w:rsidP="00A22025">
            <w:pPr>
              <w:pStyle w:val="ListBullet"/>
            </w:pPr>
            <w:r w:rsidRPr="00A22025">
              <w:t>The applicatio</w:t>
            </w:r>
            <w:r w:rsidRPr="00A22025">
              <w:t>n of competency may be assessed in the workplace or simulated work environment.</w:t>
            </w:r>
          </w:p>
          <w:p w:rsidR="00000000" w:rsidRPr="00A22025" w:rsidP="00A22025">
            <w:pPr>
              <w:pStyle w:val="ListBullet"/>
            </w:pPr>
            <w:r w:rsidRPr="00A22025">
              <w:t>Assessment may be conducted before a candidate goes to site using appropriate simulations, scenarios and questioning.</w:t>
            </w:r>
          </w:p>
          <w:p w:rsidR="00000000" w:rsidRPr="00A22025" w:rsidP="00A22025">
            <w:pPr>
              <w:pStyle w:val="ListBullet"/>
            </w:pPr>
            <w:r w:rsidRPr="00A22025">
              <w:t>The competencies covered by this unit would be demonstrate</w:t>
            </w:r>
            <w:r w:rsidRPr="00A22025">
              <w:t xml:space="preserve">d by an individual working alone or as part of a team. </w:t>
            </w:r>
          </w:p>
          <w:p w:rsidR="00000000" w:rsidRPr="00A22025" w:rsidP="00A22025">
            <w:pPr>
              <w:pStyle w:val="ListBullet"/>
            </w:pPr>
            <w:r w:rsidRPr="00A22025">
              <w:t>The assessment environment should not disadvantage the candidate.</w:t>
            </w:r>
          </w:p>
          <w:p w:rsidR="00000000" w:rsidRPr="00A22025" w:rsidP="00A22025">
            <w:pPr>
              <w:pStyle w:val="ListBullet"/>
            </w:pPr>
            <w:r w:rsidRPr="00A22025">
              <w:t>Where applicable, reasonable adjustment must be made to work environments and training situations to accommodate ethnicity, age, gende</w:t>
            </w:r>
            <w:r w:rsidRPr="00A22025">
              <w:t>r, demographics and disability.</w:t>
            </w:r>
          </w:p>
          <w:p w:rsidR="00000000" w:rsidRPr="00A22025" w:rsidP="00A22025">
            <w:pPr>
              <w:pStyle w:val="ListBullet"/>
            </w:pPr>
            <w:r w:rsidRPr="00A22025">
              <w:t>Access must be provided to appropriate learning and/or assessment support when required.</w:t>
            </w:r>
          </w:p>
          <w:p w:rsidR="00000000" w:rsidRPr="00A22025" w:rsidP="00A22025">
            <w:pPr>
              <w:pStyle w:val="ListBullet"/>
            </w:pPr>
            <w:r w:rsidRPr="00A22025">
              <w:t>The following resources should be made available:</w:t>
            </w:r>
          </w:p>
          <w:p w:rsidR="00000000" w:rsidRPr="00A22025" w:rsidP="00A22025">
            <w:pPr>
              <w:pStyle w:val="ListBullet2"/>
            </w:pPr>
            <w:r w:rsidRPr="00A22025">
              <w:t>workplace location or simulated workplace</w:t>
            </w:r>
          </w:p>
          <w:p w:rsidR="00000000" w:rsidP="00A22025">
            <w:pPr>
              <w:pStyle w:val="ListBullet2"/>
              <w:rPr>
                <w:lang w:val="en-NZ"/>
              </w:rPr>
            </w:pPr>
            <w:r w:rsidRPr="00A22025">
              <w:t>a bank of appropriate scenarios.</w:t>
            </w:r>
          </w:p>
        </w:tc>
      </w:tr>
      <w:tr w:rsidTr="00A2202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025">
            <w:pPr>
              <w:pStyle w:val="Heading4"/>
              <w:rPr>
                <w:lang w:val="en-NZ"/>
              </w:rPr>
            </w:pPr>
            <w:r w:rsidRPr="00A22025">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025">
            <w:pPr>
              <w:pStyle w:val="BodyText"/>
              <w:rPr>
                <w:lang w:val="en-NZ"/>
              </w:rPr>
            </w:pPr>
          </w:p>
        </w:tc>
      </w:tr>
      <w:tr w:rsidTr="00A2202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025">
            <w:pPr>
              <w:pStyle w:val="Heading4"/>
              <w:rPr>
                <w:lang w:val="en-NZ"/>
              </w:rPr>
            </w:pPr>
            <w:r w:rsidRPr="00A22025">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025" w:rsidP="00A22025">
            <w:pPr>
              <w:pStyle w:val="BodyText"/>
            </w:pPr>
            <w:r w:rsidRPr="00A22025">
              <w:t>Assessment processes and techniques must be culturally appropriate and suitable to the language, literacy and numeracy capacity of the candidate and the competency being assessed. In all cases wher</w:t>
            </w:r>
            <w:r w:rsidRPr="00A22025">
              <w:t>e practical assessment is used, it should be combined with targeted questioning to assess the underpinning knowledge.</w:t>
            </w:r>
          </w:p>
        </w:tc>
      </w:tr>
    </w:tbl>
    <w:p w:rsidR="00000000" w:rsidRPr="00A22025" w:rsidP="00A22025">
      <w:pPr>
        <w:pStyle w:val="BodyText"/>
      </w:pPr>
    </w:p>
    <w:p w:rsidR="00000000" w:rsidRPr="00A22025" w:rsidP="00A22025">
      <w:pPr>
        <w:pStyle w:val="AllowPageBreak"/>
      </w:pPr>
    </w:p>
    <w:p w:rsidR="00000000" w:rsidRPr="00A22025" w:rsidP="00A22025">
      <w:pPr>
        <w:pStyle w:val="Heading1"/>
      </w:pPr>
      <w:bookmarkStart w:id="11" w:name="O_338309"/>
      <w:bookmarkEnd w:id="11"/>
      <w:r w:rsidRPr="00A22025">
        <w:t>Range Statement</w:t>
      </w:r>
    </w:p>
    <w:tbl>
      <w:tblPr>
        <w:tblW w:w="9354" w:type="dxa"/>
        <w:tblLayout w:type="fixed"/>
        <w:tblCellMar>
          <w:left w:w="62" w:type="dxa"/>
          <w:right w:w="62" w:type="dxa"/>
        </w:tblCellMar>
        <w:tblLook w:val="0000"/>
      </w:tblPr>
      <w:tblGrid>
        <w:gridCol w:w="3692"/>
        <w:gridCol w:w="5662"/>
      </w:tblGrid>
      <w:tr w:rsidTr="00A2202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025">
            <w:pPr>
              <w:pStyle w:val="Heading4"/>
              <w:rPr>
                <w:lang w:val="en-NZ"/>
              </w:rPr>
            </w:pPr>
            <w:r w:rsidRPr="00A22025">
              <w:t>Work permits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025" w:rsidP="00A22025">
            <w:pPr>
              <w:pStyle w:val="TableBodyText"/>
            </w:pPr>
            <w:r w:rsidRPr="00A22025">
              <w:t>Work permits may include, but are not limited to:</w:t>
            </w:r>
          </w:p>
          <w:p w:rsidR="00000000" w:rsidRPr="00A22025" w:rsidP="00A22025">
            <w:pPr>
              <w:pStyle w:val="ListBullet"/>
            </w:pPr>
            <w:r w:rsidRPr="00A22025">
              <w:t>permits issued by client</w:t>
            </w:r>
          </w:p>
          <w:p w:rsidR="00000000" w:rsidRPr="00A22025" w:rsidP="00A22025">
            <w:pPr>
              <w:pStyle w:val="ListBullet"/>
            </w:pPr>
            <w:r w:rsidRPr="00A22025">
              <w:t>permits using the Australian Institute of Petroleum (AIP) form</w:t>
            </w:r>
          </w:p>
          <w:p w:rsidR="00000000" w:rsidRPr="00A22025" w:rsidP="00A22025">
            <w:pPr>
              <w:pStyle w:val="ListBullet"/>
            </w:pPr>
            <w:r w:rsidRPr="00A22025">
              <w:t>other work documents required for the job</w:t>
            </w:r>
          </w:p>
          <w:p w:rsidR="00000000" w:rsidRPr="00A22025" w:rsidP="00A22025">
            <w:pPr>
              <w:pStyle w:val="TableBodyText"/>
            </w:pPr>
            <w:r w:rsidRPr="00A22025">
              <w:t>Types of permit may include, but are not limited to:</w:t>
            </w:r>
          </w:p>
          <w:p w:rsidR="00000000" w:rsidRPr="00A22025" w:rsidP="00A22025">
            <w:pPr>
              <w:pStyle w:val="ListBullet"/>
            </w:pPr>
            <w:r w:rsidRPr="00A22025">
              <w:t xml:space="preserve">hot work </w:t>
            </w:r>
          </w:p>
          <w:p w:rsidR="00000000" w:rsidRPr="00A22025" w:rsidP="00A22025">
            <w:pPr>
              <w:pStyle w:val="ListBullet"/>
            </w:pPr>
            <w:r w:rsidRPr="00A22025">
              <w:t>cold work</w:t>
            </w:r>
          </w:p>
          <w:p w:rsidR="00000000" w:rsidRPr="00A22025" w:rsidP="00A22025">
            <w:pPr>
              <w:pStyle w:val="ListBullet"/>
            </w:pPr>
            <w:r w:rsidRPr="00A22025">
              <w:t>confined space</w:t>
            </w:r>
          </w:p>
          <w:p w:rsidR="00000000" w:rsidRPr="00A22025" w:rsidP="00A22025">
            <w:pPr>
              <w:pStyle w:val="ListBullet"/>
            </w:pPr>
            <w:r w:rsidRPr="00A22025">
              <w:t>excavation</w:t>
            </w:r>
          </w:p>
          <w:p w:rsidR="00000000" w:rsidP="00A22025">
            <w:pPr>
              <w:pStyle w:val="ListBullet"/>
              <w:rPr>
                <w:lang w:val="en-NZ"/>
              </w:rPr>
            </w:pPr>
            <w:r w:rsidRPr="00A22025">
              <w:t>working at heights</w:t>
            </w:r>
          </w:p>
        </w:tc>
      </w:tr>
      <w:tr w:rsidTr="00A2202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025">
            <w:pPr>
              <w:pStyle w:val="Heading4"/>
              <w:rPr>
                <w:lang w:val="en-NZ"/>
              </w:rPr>
            </w:pPr>
            <w:r w:rsidRPr="00A22025">
              <w:t xml:space="preserve">Emergency and safety procedures </w:t>
            </w:r>
            <w:r w:rsidRPr="00A22025">
              <w:t>for worksite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025" w:rsidP="00A22025">
            <w:pPr>
              <w:pStyle w:val="TableBodyText"/>
            </w:pPr>
            <w:r w:rsidRPr="00A22025">
              <w:t>Emergency and safety procedures for worksite may include, but are not limited to:</w:t>
            </w:r>
          </w:p>
          <w:p w:rsidR="00000000" w:rsidRPr="00A22025" w:rsidP="00A22025">
            <w:pPr>
              <w:pStyle w:val="ListBullet"/>
            </w:pPr>
            <w:r w:rsidRPr="00A22025">
              <w:t>specific procedures for that site</w:t>
            </w:r>
          </w:p>
          <w:p w:rsidR="00000000" w:rsidRPr="00A22025" w:rsidP="00A22025">
            <w:pPr>
              <w:pStyle w:val="ListBullet"/>
            </w:pPr>
            <w:r w:rsidRPr="00A22025">
              <w:t>location of emergency shut-off and procedures for re-setting emergency shut-off</w:t>
            </w:r>
          </w:p>
          <w:p w:rsidR="00000000" w:rsidRPr="00A22025" w:rsidP="00A22025">
            <w:pPr>
              <w:pStyle w:val="ListBullet"/>
            </w:pPr>
            <w:r w:rsidRPr="00A22025">
              <w:t>dealing with spills or other losses in containm</w:t>
            </w:r>
            <w:r w:rsidRPr="00A22025">
              <w:t>ent</w:t>
            </w:r>
          </w:p>
          <w:p w:rsidR="00000000" w:rsidRPr="00A22025" w:rsidP="00A22025">
            <w:pPr>
              <w:pStyle w:val="ListBullet"/>
            </w:pPr>
            <w:r w:rsidRPr="00A22025">
              <w:t>fire response</w:t>
            </w:r>
          </w:p>
          <w:p w:rsidR="00000000" w:rsidRPr="00A22025" w:rsidP="00A22025">
            <w:pPr>
              <w:pStyle w:val="ListBullet"/>
            </w:pPr>
            <w:r w:rsidRPr="00A22025">
              <w:t>other incident response procedures for that site</w:t>
            </w:r>
          </w:p>
          <w:p w:rsidR="00000000" w:rsidP="00A22025">
            <w:pPr>
              <w:pStyle w:val="ListBullet"/>
              <w:rPr>
                <w:lang w:val="en-NZ"/>
              </w:rPr>
            </w:pPr>
            <w:r w:rsidRPr="00A22025">
              <w:t>other site-specific hazards and procedures</w:t>
            </w:r>
          </w:p>
        </w:tc>
      </w:tr>
      <w:tr w:rsidTr="00A2202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025">
            <w:pPr>
              <w:pStyle w:val="Heading4"/>
              <w:rPr>
                <w:lang w:val="en-NZ"/>
              </w:rPr>
            </w:pPr>
            <w:r w:rsidRPr="00A22025">
              <w:t>Storage components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025" w:rsidP="00A22025">
            <w:pPr>
              <w:pStyle w:val="TableBodyText"/>
            </w:pPr>
            <w:r w:rsidRPr="00A22025">
              <w:t>Storage components may include, but are not limited to:</w:t>
            </w:r>
          </w:p>
          <w:p w:rsidR="00000000" w:rsidRPr="00A22025" w:rsidP="00A22025">
            <w:pPr>
              <w:pStyle w:val="ListBullet"/>
            </w:pPr>
            <w:r w:rsidRPr="00A22025">
              <w:t>single wall tanks</w:t>
            </w:r>
          </w:p>
          <w:p w:rsidR="00000000" w:rsidRPr="00A22025" w:rsidP="00A22025">
            <w:pPr>
              <w:pStyle w:val="ListBullet"/>
            </w:pPr>
            <w:r w:rsidRPr="00A22025">
              <w:t>jacketed steel tanks</w:t>
            </w:r>
          </w:p>
          <w:p w:rsidR="00000000" w:rsidRPr="00A22025" w:rsidP="00A22025">
            <w:pPr>
              <w:pStyle w:val="ListBullet"/>
            </w:pPr>
            <w:r w:rsidRPr="00A22025">
              <w:t>double-walled tanks (dry and liquid filled interstitial space)</w:t>
            </w:r>
          </w:p>
          <w:p w:rsidR="00000000" w:rsidRPr="00A22025" w:rsidP="00A22025">
            <w:pPr>
              <w:pStyle w:val="ListBullet"/>
            </w:pPr>
            <w:r w:rsidRPr="00A22025">
              <w:t>fibre composite (FRP) tanks</w:t>
            </w:r>
          </w:p>
          <w:p w:rsidR="00000000" w:rsidP="00A22025">
            <w:pPr>
              <w:pStyle w:val="ListBullet"/>
              <w:rPr>
                <w:lang w:val="en-NZ"/>
              </w:rPr>
            </w:pPr>
            <w:r w:rsidRPr="00A22025">
              <w:t>high density polyethylene (HDPE) tanks</w:t>
            </w:r>
          </w:p>
        </w:tc>
      </w:tr>
      <w:tr w:rsidTr="00A2202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025">
            <w:pPr>
              <w:pStyle w:val="Heading4"/>
              <w:rPr>
                <w:lang w:val="en-NZ"/>
              </w:rPr>
            </w:pPr>
            <w:r w:rsidRPr="00A22025">
              <w:t>Fuel conveying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025" w:rsidP="00A22025">
            <w:pPr>
              <w:pStyle w:val="TableBodyText"/>
            </w:pPr>
            <w:r w:rsidRPr="00A22025">
              <w:t>Fuel conveying systems may include, but are not limited to:</w:t>
            </w:r>
          </w:p>
          <w:p w:rsidR="00000000" w:rsidRPr="00A22025" w:rsidP="00A22025">
            <w:pPr>
              <w:pStyle w:val="ListBullet"/>
            </w:pPr>
            <w:r w:rsidRPr="00A22025">
              <w:t>steel pipes</w:t>
            </w:r>
          </w:p>
          <w:p w:rsidR="00000000" w:rsidRPr="00A22025" w:rsidP="00A22025">
            <w:pPr>
              <w:pStyle w:val="ListBullet"/>
            </w:pPr>
            <w:r w:rsidRPr="00A22025">
              <w:t>HDPE pipes</w:t>
            </w:r>
          </w:p>
          <w:p w:rsidR="00000000" w:rsidRPr="00A22025" w:rsidP="00A22025">
            <w:pPr>
              <w:pStyle w:val="ListBullet"/>
            </w:pPr>
            <w:r w:rsidRPr="00A22025">
              <w:t>vapour recovery sys</w:t>
            </w:r>
            <w:r w:rsidRPr="00A22025">
              <w:t>tems and pipes</w:t>
            </w:r>
          </w:p>
          <w:p w:rsidR="00000000" w:rsidP="00A22025">
            <w:pPr>
              <w:pStyle w:val="ListBullet"/>
              <w:rPr>
                <w:lang w:val="en-NZ"/>
              </w:rPr>
            </w:pPr>
            <w:r w:rsidRPr="00A22025">
              <w:t>pipe joining</w:t>
            </w:r>
          </w:p>
        </w:tc>
      </w:tr>
      <w:tr w:rsidTr="00A2202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025">
            <w:pPr>
              <w:pStyle w:val="Heading4"/>
              <w:rPr>
                <w:lang w:val="en-NZ"/>
              </w:rPr>
            </w:pPr>
            <w:r w:rsidRPr="00A22025">
              <w:t>Pumps and pump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025" w:rsidP="00A22025">
            <w:pPr>
              <w:pStyle w:val="TableBodyText"/>
            </w:pPr>
            <w:r w:rsidRPr="00A22025">
              <w:t>Pumps and pump systems may include, but are not limited to:</w:t>
            </w:r>
          </w:p>
          <w:p w:rsidR="00000000" w:rsidRPr="00A22025" w:rsidP="00A22025">
            <w:pPr>
              <w:pStyle w:val="ListBullet"/>
            </w:pPr>
            <w:r w:rsidRPr="00A22025">
              <w:t>centrifugal pumps</w:t>
            </w:r>
          </w:p>
          <w:p w:rsidR="00000000" w:rsidRPr="00A22025" w:rsidP="00A22025">
            <w:pPr>
              <w:pStyle w:val="ListBullet"/>
            </w:pPr>
            <w:r w:rsidRPr="00A22025">
              <w:t>positive displacement pumps</w:t>
            </w:r>
          </w:p>
          <w:p w:rsidR="00000000" w:rsidRPr="00A22025" w:rsidP="00A22025">
            <w:pPr>
              <w:pStyle w:val="ListBullet"/>
            </w:pPr>
            <w:r w:rsidRPr="00A22025">
              <w:t>pressure and suction systems</w:t>
            </w:r>
          </w:p>
          <w:p w:rsidR="00000000" w:rsidRPr="00A22025" w:rsidP="00A22025">
            <w:pPr>
              <w:pStyle w:val="ListBullet"/>
            </w:pPr>
            <w:r w:rsidRPr="00A22025">
              <w:t>pumping problems</w:t>
            </w:r>
          </w:p>
          <w:p w:rsidR="00000000" w:rsidP="00A22025">
            <w:pPr>
              <w:pStyle w:val="ListBullet"/>
              <w:rPr>
                <w:lang w:val="en-NZ"/>
              </w:rPr>
            </w:pPr>
            <w:r w:rsidRPr="00A22025">
              <w:t>multiproduct pumps</w:t>
            </w:r>
          </w:p>
        </w:tc>
      </w:tr>
      <w:tr w:rsidTr="00A2202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025">
            <w:pPr>
              <w:pStyle w:val="Heading4"/>
              <w:rPr>
                <w:lang w:val="en-NZ"/>
              </w:rPr>
            </w:pPr>
            <w:r w:rsidRPr="00A22025">
              <w:t>Dispensing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025" w:rsidP="00A22025">
            <w:pPr>
              <w:pStyle w:val="TableBodyText"/>
            </w:pPr>
            <w:r w:rsidRPr="00A22025">
              <w:t>Dispensing systems may include, but are not limited to:</w:t>
            </w:r>
          </w:p>
          <w:p w:rsidR="00000000" w:rsidRPr="00A22025" w:rsidP="00A22025">
            <w:pPr>
              <w:pStyle w:val="ListBullet"/>
            </w:pPr>
            <w:r w:rsidRPr="00A22025">
              <w:t>fuel metering</w:t>
            </w:r>
          </w:p>
          <w:p w:rsidR="00000000" w:rsidRPr="00A22025" w:rsidP="00A22025">
            <w:pPr>
              <w:pStyle w:val="ListBullet"/>
            </w:pPr>
            <w:r w:rsidRPr="00A22025">
              <w:t>hoses and nozzles</w:t>
            </w:r>
          </w:p>
          <w:p w:rsidR="00000000" w:rsidRPr="00A22025" w:rsidP="00A22025">
            <w:pPr>
              <w:pStyle w:val="ListBullet"/>
            </w:pPr>
            <w:r w:rsidRPr="00A22025">
              <w:t>stage two vapour recovery</w:t>
            </w:r>
          </w:p>
          <w:p w:rsidR="00000000" w:rsidRPr="00A22025" w:rsidP="00A22025">
            <w:pPr>
              <w:pStyle w:val="ListBullet"/>
            </w:pPr>
            <w:r w:rsidRPr="00A22025">
              <w:t>flow control valves</w:t>
            </w:r>
          </w:p>
          <w:p w:rsidR="00000000" w:rsidRPr="00A22025" w:rsidP="00A22025">
            <w:pPr>
              <w:pStyle w:val="ListBullet"/>
            </w:pPr>
            <w:r w:rsidRPr="00A22025">
              <w:t>discharge control</w:t>
            </w:r>
          </w:p>
          <w:p w:rsidR="00000000" w:rsidP="00A22025">
            <w:pPr>
              <w:pStyle w:val="ListBullet"/>
              <w:rPr>
                <w:lang w:val="en-NZ"/>
              </w:rPr>
            </w:pPr>
            <w:r w:rsidRPr="00A22025">
              <w:t>multiproduct dispensers</w:t>
            </w:r>
          </w:p>
        </w:tc>
      </w:tr>
      <w:tr w:rsidTr="00A2202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025">
            <w:pPr>
              <w:pStyle w:val="Heading4"/>
              <w:rPr>
                <w:lang w:val="en-NZ"/>
              </w:rPr>
            </w:pPr>
            <w:r w:rsidRPr="00A22025">
              <w:t>Corrosion protection systems and components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025" w:rsidP="00A22025">
            <w:pPr>
              <w:pStyle w:val="TableBodyText"/>
            </w:pPr>
            <w:r w:rsidRPr="00A22025">
              <w:t>Corrosion protection systems and components may be:</w:t>
            </w:r>
          </w:p>
          <w:p w:rsidR="00000000" w:rsidRPr="00A22025" w:rsidP="00A22025">
            <w:pPr>
              <w:pStyle w:val="ListBullet"/>
            </w:pPr>
            <w:r w:rsidRPr="00A22025">
              <w:t>cathodic protection:</w:t>
            </w:r>
          </w:p>
          <w:p w:rsidR="00000000" w:rsidRPr="00A22025" w:rsidP="00A22025">
            <w:pPr>
              <w:pStyle w:val="ListBullet2"/>
            </w:pPr>
            <w:r w:rsidRPr="00A22025">
              <w:t>impressed current</w:t>
            </w:r>
          </w:p>
          <w:p w:rsidR="00000000" w:rsidRPr="00A22025" w:rsidP="00A22025">
            <w:pPr>
              <w:pStyle w:val="ListBullet2"/>
            </w:pPr>
            <w:r w:rsidRPr="00A22025">
              <w:t>sacrificial anode</w:t>
            </w:r>
          </w:p>
          <w:p w:rsidR="00000000" w:rsidRPr="00A22025" w:rsidP="00A22025">
            <w:pPr>
              <w:pStyle w:val="ListBullet"/>
            </w:pPr>
            <w:r w:rsidRPr="00A22025">
              <w:t>wrapping</w:t>
            </w:r>
          </w:p>
          <w:p w:rsidR="00000000" w:rsidP="00A22025">
            <w:pPr>
              <w:pStyle w:val="ListBullet"/>
              <w:rPr>
                <w:lang w:val="en-NZ"/>
              </w:rPr>
            </w:pPr>
            <w:r w:rsidRPr="00A22025">
              <w:t>coating</w:t>
            </w:r>
          </w:p>
        </w:tc>
      </w:tr>
      <w:tr w:rsidTr="00A2202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025">
            <w:pPr>
              <w:pStyle w:val="Heading4"/>
              <w:rPr>
                <w:lang w:val="en-NZ"/>
              </w:rPr>
            </w:pPr>
            <w:r w:rsidRPr="00A22025">
              <w:t>Fuels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025" w:rsidP="00A22025">
            <w:pPr>
              <w:pStyle w:val="TableBodyText"/>
            </w:pPr>
            <w:r w:rsidRPr="00A22025">
              <w:t>Fuels may include, but are not limited to:</w:t>
            </w:r>
          </w:p>
          <w:p w:rsidR="00000000" w:rsidRPr="00A22025" w:rsidP="00A22025">
            <w:pPr>
              <w:pStyle w:val="ListBullet"/>
            </w:pPr>
            <w:r w:rsidRPr="00A22025">
              <w:t>petrol</w:t>
            </w:r>
          </w:p>
          <w:p w:rsidR="00000000" w:rsidRPr="00A22025" w:rsidP="00A22025">
            <w:pPr>
              <w:pStyle w:val="ListBullet"/>
            </w:pPr>
            <w:r w:rsidRPr="00A22025">
              <w:t>ethanol blend fuels (of various concentrations)</w:t>
            </w:r>
          </w:p>
          <w:p w:rsidR="00000000" w:rsidRPr="00A22025" w:rsidP="00A22025">
            <w:pPr>
              <w:pStyle w:val="ListBullet"/>
            </w:pPr>
            <w:r w:rsidRPr="00A22025">
              <w:t xml:space="preserve">diesel and biodiesel </w:t>
            </w:r>
          </w:p>
          <w:p w:rsidR="00000000" w:rsidP="00A22025">
            <w:pPr>
              <w:pStyle w:val="ListBullet"/>
              <w:rPr>
                <w:lang w:val="en-NZ"/>
              </w:rPr>
            </w:pPr>
            <w:r w:rsidRPr="00A22025">
              <w:t>liquefied petroleum gas (LPG)</w:t>
            </w:r>
          </w:p>
        </w:tc>
      </w:tr>
      <w:tr w:rsidTr="00A2202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025">
            <w:pPr>
              <w:pStyle w:val="Heading4"/>
              <w:rPr>
                <w:lang w:val="en-NZ"/>
              </w:rPr>
            </w:pPr>
            <w:r w:rsidRPr="00A22025">
              <w:t>Hazardous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025" w:rsidP="00A22025">
            <w:pPr>
              <w:pStyle w:val="TableBodyText"/>
            </w:pPr>
            <w:r w:rsidRPr="00A22025">
              <w:t>Other hazardous materials may include, but are not limited to:</w:t>
            </w:r>
          </w:p>
          <w:p w:rsidR="00000000" w:rsidRPr="00A22025" w:rsidP="00A22025">
            <w:pPr>
              <w:pStyle w:val="ListBullet"/>
            </w:pPr>
            <w:r w:rsidRPr="00A22025">
              <w:t>‘solid’ pool chlorine (calcium hypochlorite)</w:t>
            </w:r>
          </w:p>
          <w:p w:rsidR="00000000" w:rsidRPr="00A22025" w:rsidP="00A22025">
            <w:pPr>
              <w:pStyle w:val="ListBullet"/>
            </w:pPr>
            <w:r w:rsidRPr="00A22025">
              <w:t>‘liquid’ pool chlorine (sodium hypochlorite solutions)</w:t>
            </w:r>
          </w:p>
          <w:p w:rsidR="00000000" w:rsidRPr="00A22025" w:rsidP="00A22025">
            <w:pPr>
              <w:pStyle w:val="ListBullet"/>
            </w:pPr>
            <w:r w:rsidRPr="00A22025">
              <w:t>lubricants</w:t>
            </w:r>
          </w:p>
          <w:p w:rsidR="00000000" w:rsidRPr="00A22025" w:rsidP="00A22025">
            <w:pPr>
              <w:pStyle w:val="ListBullet"/>
            </w:pPr>
            <w:r w:rsidRPr="00A22025">
              <w:t>cleaning agents</w:t>
            </w:r>
          </w:p>
          <w:p w:rsidR="00000000" w:rsidRPr="00A22025" w:rsidP="00A22025">
            <w:pPr>
              <w:pStyle w:val="ListBullet"/>
            </w:pPr>
            <w:r w:rsidRPr="00A22025">
              <w:t>gas ‘bottles’</w:t>
            </w:r>
          </w:p>
          <w:p w:rsidR="00000000" w:rsidP="00A22025">
            <w:pPr>
              <w:pStyle w:val="ListBullet"/>
              <w:rPr>
                <w:lang w:val="en-NZ"/>
              </w:rPr>
            </w:pPr>
            <w:r w:rsidRPr="00A22025">
              <w:t>w</w:t>
            </w:r>
            <w:r w:rsidRPr="00A22025">
              <w:t>orkshop materials</w:t>
            </w:r>
          </w:p>
        </w:tc>
      </w:tr>
      <w:tr w:rsidTr="00A2202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025">
            <w:pPr>
              <w:pStyle w:val="Heading4"/>
              <w:rPr>
                <w:lang w:val="en-NZ"/>
              </w:rPr>
            </w:pPr>
            <w:r w:rsidRPr="00A22025">
              <w:t>Appropriate tools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025" w:rsidP="00A22025">
            <w:pPr>
              <w:pStyle w:val="TableBodyText"/>
            </w:pPr>
            <w:r w:rsidRPr="00A22025">
              <w:t>Appropriate tools may include, but are not limited to tools that are:</w:t>
            </w:r>
          </w:p>
          <w:p w:rsidR="00000000" w:rsidRPr="00A22025" w:rsidP="00A22025">
            <w:pPr>
              <w:pStyle w:val="ListBullet"/>
            </w:pPr>
            <w:r w:rsidRPr="00A22025">
              <w:t xml:space="preserve">intrinsically safe </w:t>
            </w:r>
          </w:p>
          <w:p w:rsidR="00000000" w:rsidRPr="00A22025" w:rsidP="00A22025">
            <w:pPr>
              <w:pStyle w:val="ListBullet"/>
            </w:pPr>
            <w:r w:rsidRPr="00A22025">
              <w:t>ergonomically appropriate to the job</w:t>
            </w:r>
          </w:p>
          <w:p w:rsidR="00000000" w:rsidP="00A22025">
            <w:pPr>
              <w:pStyle w:val="ListBullet"/>
              <w:rPr>
                <w:lang w:val="en-NZ"/>
              </w:rPr>
            </w:pPr>
            <w:r w:rsidRPr="00A22025">
              <w:t>safe and in good condition</w:t>
            </w:r>
          </w:p>
        </w:tc>
      </w:tr>
      <w:tr w:rsidTr="00A2202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025">
            <w:pPr>
              <w:pStyle w:val="Heading4"/>
              <w:rPr>
                <w:lang w:val="en-NZ"/>
              </w:rPr>
            </w:pPr>
            <w:r w:rsidRPr="00A22025">
              <w:t>Required isolations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025" w:rsidP="00A22025">
            <w:pPr>
              <w:pStyle w:val="TableBodyText"/>
            </w:pPr>
            <w:r w:rsidRPr="00A22025">
              <w:t>Required isolations may include, but are not limited to:</w:t>
            </w:r>
          </w:p>
          <w:p w:rsidR="00000000" w:rsidRPr="00A22025" w:rsidP="00A22025">
            <w:pPr>
              <w:pStyle w:val="ListBullet"/>
            </w:pPr>
            <w:r w:rsidRPr="00A22025">
              <w:t>lock out/tag out</w:t>
            </w:r>
          </w:p>
          <w:p w:rsidR="00000000" w:rsidRPr="00A22025" w:rsidP="00A22025">
            <w:pPr>
              <w:pStyle w:val="ListBullet"/>
            </w:pPr>
            <w:r w:rsidRPr="00A22025">
              <w:t>double block and bleed</w:t>
            </w:r>
          </w:p>
          <w:p w:rsidR="00000000" w:rsidRPr="00A22025" w:rsidP="00A22025">
            <w:pPr>
              <w:pStyle w:val="ListBullet"/>
            </w:pPr>
            <w:r w:rsidRPr="00A22025">
              <w:t>use of blanks, blinds and goggles</w:t>
            </w:r>
          </w:p>
          <w:p w:rsidR="00000000" w:rsidRPr="00A22025" w:rsidP="00A22025">
            <w:pPr>
              <w:pStyle w:val="ListBullet"/>
            </w:pPr>
            <w:r w:rsidRPr="00A22025">
              <w:t>removal of spool piece</w:t>
            </w:r>
          </w:p>
          <w:p w:rsidR="00000000" w:rsidP="00A22025">
            <w:pPr>
              <w:pStyle w:val="ListBullet"/>
              <w:rPr>
                <w:lang w:val="en-NZ"/>
              </w:rPr>
            </w:pPr>
            <w:r w:rsidRPr="00A22025">
              <w:t>removal of mechanical drives</w:t>
            </w:r>
          </w:p>
        </w:tc>
      </w:tr>
      <w:tr w:rsidTr="00A22025">
        <w:tblPrEx>
          <w:tblW w:w="9354" w:type="dxa"/>
          <w:tblLayout w:type="fixed"/>
          <w:tblCellMar>
            <w:left w:w="62" w:type="dxa"/>
            <w:right w:w="62" w:type="dxa"/>
          </w:tblCellMar>
          <w:tblLook w:val="0000"/>
        </w:tblPrEx>
        <w:trPr>
          <w:trHeight w:val="1769"/>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025">
            <w:pPr>
              <w:pStyle w:val="Heading4"/>
              <w:rPr>
                <w:lang w:val="en-NZ"/>
              </w:rPr>
            </w:pPr>
            <w:r w:rsidRPr="00A22025">
              <w:t>Barriers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025" w:rsidP="00A22025">
            <w:pPr>
              <w:pStyle w:val="TableBodyText"/>
            </w:pPr>
            <w:r w:rsidRPr="00A22025">
              <w:t xml:space="preserve">Barriers are methods of excluding unauthorised access from the </w:t>
            </w:r>
            <w:r w:rsidRPr="00A22025">
              <w:t>worksite and may include, but are not limited to:</w:t>
            </w:r>
          </w:p>
          <w:p w:rsidR="00000000" w:rsidRPr="00A22025" w:rsidP="00A22025">
            <w:pPr>
              <w:pStyle w:val="ListBullet"/>
            </w:pPr>
            <w:r w:rsidRPr="00A22025">
              <w:t>temporary fencing</w:t>
            </w:r>
          </w:p>
          <w:p w:rsidR="00000000" w:rsidRPr="00A22025" w:rsidP="00A22025">
            <w:pPr>
              <w:pStyle w:val="ListBullet"/>
            </w:pPr>
            <w:r w:rsidRPr="00A22025">
              <w:t>bollards</w:t>
            </w:r>
          </w:p>
          <w:p w:rsidR="00000000" w:rsidRPr="00A22025" w:rsidP="00A22025">
            <w:pPr>
              <w:pStyle w:val="ListBullet"/>
            </w:pPr>
            <w:r w:rsidRPr="00A22025">
              <w:t>witches hats</w:t>
            </w:r>
          </w:p>
          <w:p w:rsidR="00000000" w:rsidRPr="00A22025" w:rsidP="00A22025">
            <w:pPr>
              <w:pStyle w:val="ListBullet"/>
            </w:pPr>
            <w:r w:rsidRPr="00A22025">
              <w:t>tapes</w:t>
            </w:r>
          </w:p>
          <w:p w:rsidR="00000000" w:rsidP="00A22025">
            <w:pPr>
              <w:pStyle w:val="ListBullet"/>
              <w:rPr>
                <w:lang w:val="en-NZ"/>
              </w:rPr>
            </w:pPr>
            <w:r w:rsidRPr="00A22025">
              <w:t>signage</w:t>
            </w:r>
          </w:p>
        </w:tc>
      </w:tr>
      <w:tr w:rsidTr="00A2202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025">
            <w:pPr>
              <w:pStyle w:val="Heading4"/>
              <w:rPr>
                <w:lang w:val="en-NZ"/>
              </w:rPr>
            </w:pPr>
            <w:r w:rsidRPr="00A22025">
              <w:t>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025" w:rsidP="00A22025">
            <w:pPr>
              <w:pStyle w:val="TableBodyText"/>
            </w:pPr>
            <w:r w:rsidRPr="00A22025">
              <w:t>Typical problems may include, but are not limited to:</w:t>
            </w:r>
          </w:p>
          <w:p w:rsidR="00000000" w:rsidRPr="00A22025" w:rsidP="00A22025">
            <w:pPr>
              <w:pStyle w:val="ListBullet"/>
            </w:pPr>
            <w:r w:rsidRPr="00A22025">
              <w:t>variations to the work schedule</w:t>
            </w:r>
          </w:p>
          <w:p w:rsidR="00000000" w:rsidRPr="00A22025" w:rsidP="00A22025">
            <w:pPr>
              <w:pStyle w:val="ListBullet"/>
            </w:pPr>
            <w:r w:rsidRPr="00A22025">
              <w:t>variations to the work scope</w:t>
            </w:r>
          </w:p>
          <w:p w:rsidR="00000000" w:rsidRPr="00A22025" w:rsidP="00A22025">
            <w:pPr>
              <w:pStyle w:val="ListBullet"/>
            </w:pPr>
            <w:r w:rsidRPr="00A22025">
              <w:t>issues with the public or site personnel</w:t>
            </w:r>
          </w:p>
          <w:p w:rsidR="00000000" w:rsidRPr="00A22025" w:rsidP="00A22025">
            <w:pPr>
              <w:pStyle w:val="ListBullet"/>
            </w:pPr>
            <w:r w:rsidRPr="00A22025">
              <w:t>failure of equipment</w:t>
            </w:r>
          </w:p>
          <w:p w:rsidR="00000000" w:rsidRPr="00A22025" w:rsidP="00A22025">
            <w:pPr>
              <w:pStyle w:val="ListBullet"/>
            </w:pPr>
            <w:r w:rsidRPr="00A22025">
              <w:t>inappropriate/incomplete permit or work instructions</w:t>
            </w:r>
          </w:p>
        </w:tc>
      </w:tr>
    </w:tbl>
    <w:p w:rsidR="00000000" w:rsidRPr="00A22025" w:rsidP="00A22025"/>
    <w:p w:rsidR="00000000" w:rsidRPr="00A22025" w:rsidP="00A22025">
      <w:pPr>
        <w:pStyle w:val="AllowPageBreak"/>
      </w:pPr>
    </w:p>
    <w:p w:rsidR="00000000" w:rsidRPr="00A22025" w:rsidP="00A22025">
      <w:pPr>
        <w:pStyle w:val="Heading1"/>
      </w:pPr>
      <w:bookmarkStart w:id="12" w:name="O_338310"/>
      <w:bookmarkEnd w:id="12"/>
      <w:r w:rsidRPr="00A22025">
        <w:t>Unit Sector(s)</w:t>
      </w:r>
    </w:p>
    <w:p w:rsidR="00000000" w:rsidRPr="00A22025" w:rsidP="00A22025">
      <w:pPr>
        <w:pStyle w:val="BodyText"/>
      </w:pPr>
      <w:r w:rsidRPr="00A22025">
        <w:t>Maintenance and diagnostics</w:t>
      </w:r>
    </w:p>
    <w:p w:rsidR="00000000" w:rsidRPr="00A22025" w:rsidP="00A22025">
      <w:pPr>
        <w:pStyle w:val="AllowPageBreak"/>
      </w:pPr>
    </w:p>
    <w:p w:rsidR="00000000" w:rsidRPr="00A22025" w:rsidP="00A22025">
      <w:pPr>
        <w:pStyle w:val="Heading1"/>
      </w:pPr>
      <w:bookmarkStart w:id="13" w:name="O_338311"/>
      <w:bookmarkEnd w:id="13"/>
      <w:r w:rsidRPr="00A22025">
        <w:t>Custom Content Section</w:t>
      </w:r>
    </w:p>
    <w:p w:rsidR="00000000" w:rsidRPr="00A22025" w:rsidP="00A22025">
      <w:pPr>
        <w:pStyle w:val="BodyText"/>
      </w:pPr>
      <w:r w:rsidRPr="00A22025">
        <w:t>Not applicable.</w:t>
      </w:r>
    </w:p>
    <w:p w:rsidR="00000000" w:rsidRPr="00A22025" w:rsidP="00A22025"/>
    <w:sectPr w:rsidSect="00A220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0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3A8F" w:rsidP="00D73A8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0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A8F" w:rsidP="00A2202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73A8F" w:rsidP="00A220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73A8F" w:rsidP="00A220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0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025" w:rsidRPr="00D73A8F" w:rsidP="00D73A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0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A8F" w:rsidRPr="002D2AF8" w:rsidP="00A22025">
    <w:pPr>
      <w:pStyle w:val="Header"/>
      <w:framePr w:wrap="around"/>
    </w:pPr>
    <w:r>
      <w:fldChar w:fldCharType="begin"/>
    </w:r>
    <w:r>
      <w:instrText xml:space="preserve"> TITLE   \* MERGEFORMAT </w:instrText>
    </w:r>
    <w:r>
      <w:fldChar w:fldCharType="separate"/>
    </w:r>
    <w:r>
      <w:t>MEM18098A Prepare to perform work associated with fuel system installation and servicing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73A8F" w:rsidP="00A220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4277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6AD5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9C94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0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2025"/>
    <w:pPr>
      <w:spacing w:before="360" w:after="60"/>
      <w:outlineLvl w:val="0"/>
    </w:pPr>
    <w:rPr>
      <w:sz w:val="32"/>
    </w:rPr>
  </w:style>
  <w:style w:type="paragraph" w:styleId="Heading2">
    <w:name w:val="heading 2"/>
    <w:basedOn w:val="HeadingBase"/>
    <w:next w:val="BodyText"/>
    <w:link w:val="Heading2Char"/>
    <w:qFormat/>
    <w:rsid w:val="00A22025"/>
    <w:pPr>
      <w:keepLines/>
      <w:spacing w:before="240" w:after="120"/>
      <w:outlineLvl w:val="1"/>
    </w:pPr>
    <w:rPr>
      <w:sz w:val="28"/>
      <w:szCs w:val="40"/>
    </w:rPr>
  </w:style>
  <w:style w:type="paragraph" w:styleId="Heading3">
    <w:name w:val="heading 3"/>
    <w:basedOn w:val="HeadingBase"/>
    <w:next w:val="BodyText"/>
    <w:link w:val="Heading3Char"/>
    <w:qFormat/>
    <w:rsid w:val="00A22025"/>
    <w:pPr>
      <w:spacing w:before="180" w:after="120"/>
      <w:outlineLvl w:val="2"/>
    </w:pPr>
    <w:rPr>
      <w:spacing w:val="-10"/>
      <w:kern w:val="32"/>
    </w:rPr>
  </w:style>
  <w:style w:type="paragraph" w:styleId="Heading4">
    <w:name w:val="heading 4"/>
    <w:basedOn w:val="HeadingBase"/>
    <w:next w:val="BodyText"/>
    <w:link w:val="Heading4Char"/>
    <w:qFormat/>
    <w:rsid w:val="00A22025"/>
    <w:pPr>
      <w:spacing w:before="160" w:after="120"/>
      <w:outlineLvl w:val="3"/>
    </w:pPr>
    <w:rPr>
      <w:sz w:val="22"/>
    </w:rPr>
  </w:style>
  <w:style w:type="paragraph" w:styleId="Heading5">
    <w:name w:val="heading 5"/>
    <w:basedOn w:val="HeadingBase"/>
    <w:next w:val="Normal"/>
    <w:link w:val="Heading5Char"/>
    <w:qFormat/>
    <w:rsid w:val="00A22025"/>
    <w:pPr>
      <w:spacing w:before="80"/>
      <w:outlineLvl w:val="4"/>
    </w:pPr>
    <w:rPr>
      <w:color w:val="918585"/>
      <w:sz w:val="20"/>
    </w:rPr>
  </w:style>
  <w:style w:type="paragraph" w:styleId="Heading6">
    <w:name w:val="heading 6"/>
    <w:basedOn w:val="HeadingBase"/>
    <w:next w:val="Normal"/>
    <w:link w:val="Heading6Char"/>
    <w:qFormat/>
    <w:rsid w:val="00A22025"/>
    <w:pPr>
      <w:spacing w:before="60"/>
      <w:outlineLvl w:val="5"/>
    </w:pPr>
    <w:rPr>
      <w:color w:val="918585"/>
      <w:sz w:val="20"/>
    </w:rPr>
  </w:style>
  <w:style w:type="paragraph" w:styleId="Heading7">
    <w:name w:val="heading 7"/>
    <w:basedOn w:val="Normal"/>
    <w:next w:val="Normal"/>
    <w:link w:val="Heading7Char"/>
    <w:qFormat/>
    <w:rsid w:val="00A22025"/>
    <w:pPr>
      <w:ind w:left="720"/>
      <w:outlineLvl w:val="6"/>
    </w:pPr>
    <w:rPr>
      <w:i/>
    </w:rPr>
  </w:style>
  <w:style w:type="paragraph" w:styleId="Heading8">
    <w:name w:val="heading 8"/>
    <w:basedOn w:val="Normal"/>
    <w:next w:val="Normal"/>
    <w:link w:val="Heading8Char"/>
    <w:qFormat/>
    <w:rsid w:val="00A22025"/>
    <w:pPr>
      <w:ind w:left="720"/>
      <w:outlineLvl w:val="7"/>
    </w:pPr>
    <w:rPr>
      <w:i/>
    </w:rPr>
  </w:style>
  <w:style w:type="paragraph" w:styleId="Heading9">
    <w:name w:val="heading 9"/>
    <w:basedOn w:val="Normal"/>
    <w:next w:val="Normal"/>
    <w:link w:val="Heading9Char"/>
    <w:qFormat/>
    <w:rsid w:val="00A22025"/>
    <w:pPr>
      <w:ind w:left="720"/>
      <w:outlineLvl w:val="8"/>
    </w:pPr>
    <w:rPr>
      <w:i/>
    </w:rPr>
  </w:style>
  <w:style w:type="character" w:default="1" w:styleId="DefaultParagraphFont">
    <w:name w:val="Default Paragraph Font"/>
    <w:uiPriority w:val="1"/>
    <w:unhideWhenUsed/>
    <w:rsid w:val="00A220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2025"/>
  </w:style>
  <w:style w:type="character" w:customStyle="1" w:styleId="Heading1Char">
    <w:name w:val="Heading 1 Char"/>
    <w:basedOn w:val="DefaultParagraphFont"/>
    <w:link w:val="Heading1"/>
    <w:rsid w:val="00A2202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22025"/>
    <w:rPr>
      <w:rFonts w:ascii="Times New Roman" w:eastAsia="Times New Roman" w:hAnsi="Times New Roman" w:cs="Times New Roman"/>
      <w:b/>
      <w:szCs w:val="20"/>
      <w:lang w:eastAsia="en-US"/>
    </w:rPr>
  </w:style>
  <w:style w:type="paragraph" w:styleId="BodyText">
    <w:name w:val="Body Text"/>
    <w:basedOn w:val="Normal"/>
    <w:link w:val="BodyTextChar"/>
    <w:rsid w:val="00A220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2025"/>
    <w:rPr>
      <w:rFonts w:ascii="Times New Roman" w:eastAsia="Times New Roman" w:hAnsi="Times New Roman" w:cs="Times New Roman"/>
      <w:sz w:val="24"/>
      <w:lang w:eastAsia="en-US"/>
    </w:rPr>
  </w:style>
  <w:style w:type="paragraph" w:styleId="Footer">
    <w:name w:val="footer"/>
    <w:basedOn w:val="Normal"/>
    <w:link w:val="FooterChar"/>
    <w:rsid w:val="00A220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2025"/>
    <w:rPr>
      <w:rFonts w:ascii="Times New Roman" w:eastAsia="Times New Roman" w:hAnsi="Times New Roman" w:cs="Times New Roman"/>
      <w:sz w:val="16"/>
      <w:lang w:eastAsia="en-US"/>
    </w:rPr>
  </w:style>
  <w:style w:type="paragraph" w:styleId="ListBullet">
    <w:name w:val="List Bullet"/>
    <w:basedOn w:val="List"/>
    <w:rsid w:val="00A22025"/>
    <w:pPr>
      <w:numPr>
        <w:numId w:val="13"/>
      </w:numPr>
      <w:tabs>
        <w:tab w:val="clear" w:pos="340"/>
      </w:tabs>
      <w:spacing w:before="40" w:after="40"/>
    </w:pPr>
  </w:style>
  <w:style w:type="paragraph" w:styleId="ListBullet2">
    <w:name w:val="List Bullet 2"/>
    <w:basedOn w:val="List2"/>
    <w:rsid w:val="00A22025"/>
    <w:pPr>
      <w:numPr>
        <w:numId w:val="14"/>
      </w:numPr>
      <w:tabs>
        <w:tab w:val="clear" w:pos="680"/>
      </w:tabs>
    </w:pPr>
  </w:style>
  <w:style w:type="paragraph" w:customStyle="1" w:styleId="SuperHeading">
    <w:name w:val="SuperHeading"/>
    <w:basedOn w:val="Normal"/>
    <w:rsid w:val="00A22025"/>
    <w:pPr>
      <w:spacing w:before="240" w:after="120"/>
      <w:outlineLvl w:val="0"/>
    </w:pPr>
    <w:rPr>
      <w:rFonts w:ascii="Times New Roman" w:hAnsi="Times New Roman"/>
      <w:b/>
      <w:sz w:val="28"/>
    </w:rPr>
  </w:style>
  <w:style w:type="paragraph" w:customStyle="1" w:styleId="AllowPageBreak">
    <w:name w:val="AllowPageBreak"/>
    <w:rsid w:val="00A2202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A22025"/>
    <w:pPr>
      <w:spacing w:before="60" w:after="60"/>
    </w:pPr>
  </w:style>
  <w:style w:type="character" w:customStyle="1" w:styleId="Heading2Char">
    <w:name w:val="Heading 2 Char"/>
    <w:basedOn w:val="DefaultParagraphFont"/>
    <w:link w:val="Heading2"/>
    <w:rsid w:val="00A220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202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220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20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20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20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2025"/>
    <w:rPr>
      <w:rFonts w:ascii="Courier New" w:eastAsia="Times New Roman" w:hAnsi="Courier New" w:cs="Times New Roman"/>
      <w:i/>
      <w:szCs w:val="20"/>
      <w:lang w:eastAsia="en-US"/>
    </w:rPr>
  </w:style>
  <w:style w:type="paragraph" w:customStyle="1" w:styleId="HeadingBase">
    <w:name w:val="Heading Base"/>
    <w:rsid w:val="00A220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2025"/>
    <w:pPr>
      <w:tabs>
        <w:tab w:val="right" w:leader="dot" w:pos="9072"/>
      </w:tabs>
      <w:ind w:left="567"/>
    </w:pPr>
    <w:rPr>
      <w:szCs w:val="22"/>
    </w:rPr>
  </w:style>
  <w:style w:type="paragraph" w:customStyle="1" w:styleId="TOCBase">
    <w:name w:val="TOC Base"/>
    <w:rsid w:val="00A220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2025"/>
    <w:pPr>
      <w:tabs>
        <w:tab w:val="right" w:leader="dot" w:pos="9072"/>
      </w:tabs>
      <w:spacing w:before="40" w:after="40"/>
      <w:ind w:left="284"/>
    </w:pPr>
    <w:rPr>
      <w:rFonts w:ascii="Times New Roman" w:hAnsi="Times New Roman"/>
    </w:rPr>
  </w:style>
  <w:style w:type="paragraph" w:styleId="TOC1">
    <w:name w:val="toc 1"/>
    <w:basedOn w:val="TOCBase"/>
    <w:next w:val="Normal"/>
    <w:rsid w:val="00A220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2025"/>
    <w:pPr>
      <w:spacing w:before="5040"/>
      <w:jc w:val="center"/>
    </w:pPr>
    <w:rPr>
      <w:sz w:val="48"/>
      <w:szCs w:val="72"/>
      <w:lang w:val="en-US"/>
    </w:rPr>
  </w:style>
  <w:style w:type="character" w:customStyle="1" w:styleId="TitleChar">
    <w:name w:val="Title Char"/>
    <w:basedOn w:val="DefaultParagraphFont"/>
    <w:link w:val="Title"/>
    <w:rsid w:val="00A220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2025"/>
    <w:pPr>
      <w:tabs>
        <w:tab w:val="left" w:pos="3600"/>
        <w:tab w:val="left" w:pos="3958"/>
      </w:tabs>
    </w:pPr>
  </w:style>
  <w:style w:type="paragraph" w:styleId="List">
    <w:name w:val="List"/>
    <w:basedOn w:val="BodyText"/>
    <w:next w:val="BodyText"/>
    <w:rsid w:val="00A22025"/>
    <w:pPr>
      <w:tabs>
        <w:tab w:val="left" w:pos="340"/>
      </w:tabs>
      <w:spacing w:before="60" w:after="60"/>
      <w:ind w:left="340" w:hanging="340"/>
    </w:pPr>
  </w:style>
  <w:style w:type="paragraph" w:customStyle="1" w:styleId="Note">
    <w:name w:val="Note"/>
    <w:basedOn w:val="BodyText"/>
    <w:rsid w:val="00A220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2025"/>
    <w:rPr>
      <w:b/>
      <w:spacing w:val="0"/>
    </w:rPr>
  </w:style>
  <w:style w:type="paragraph" w:customStyle="1" w:styleId="SuperTitle">
    <w:name w:val="SuperTitle"/>
    <w:basedOn w:val="Title"/>
    <w:rsid w:val="00A22025"/>
    <w:pPr>
      <w:framePr w:wrap="auto" w:hAnchor="text" w:y="6049"/>
    </w:pPr>
    <w:rPr>
      <w:color w:val="000000"/>
      <w:sz w:val="40"/>
    </w:rPr>
  </w:style>
  <w:style w:type="paragraph" w:customStyle="1" w:styleId="TOCTitle">
    <w:name w:val="TOCTitle"/>
    <w:basedOn w:val="Heading1"/>
    <w:rsid w:val="00A22025"/>
    <w:pPr>
      <w:spacing w:after="240"/>
      <w:jc w:val="center"/>
      <w:outlineLvl w:val="9"/>
    </w:pPr>
    <w:rPr>
      <w:caps/>
    </w:rPr>
  </w:style>
  <w:style w:type="paragraph" w:customStyle="1" w:styleId="Version">
    <w:name w:val="Version"/>
    <w:rsid w:val="00A220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2025"/>
    <w:pPr>
      <w:keepNext w:val="0"/>
      <w:tabs>
        <w:tab w:val="right" w:pos="4176"/>
      </w:tabs>
      <w:ind w:left="198" w:hanging="198"/>
    </w:pPr>
    <w:rPr>
      <w:rFonts w:ascii="Garamond" w:hAnsi="Garamond"/>
    </w:rPr>
  </w:style>
  <w:style w:type="paragraph" w:styleId="IndexHeading">
    <w:name w:val="index heading"/>
    <w:basedOn w:val="Normal"/>
    <w:next w:val="Index1"/>
    <w:semiHidden/>
    <w:rsid w:val="00A22025"/>
    <w:pPr>
      <w:spacing w:before="120" w:after="120"/>
    </w:pPr>
    <w:rPr>
      <w:rFonts w:ascii="Arial" w:hAnsi="Arial"/>
      <w:b/>
      <w:color w:val="918585"/>
      <w:sz w:val="24"/>
    </w:rPr>
  </w:style>
  <w:style w:type="paragraph" w:styleId="Header">
    <w:name w:val="header"/>
    <w:basedOn w:val="Normal"/>
    <w:link w:val="HeaderChar"/>
    <w:rsid w:val="00A220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2025"/>
    <w:rPr>
      <w:rFonts w:ascii="Times New Roman" w:eastAsia="Times New Roman" w:hAnsi="Times New Roman" w:cs="Times New Roman"/>
      <w:sz w:val="16"/>
      <w:szCs w:val="20"/>
      <w:lang w:val="en-GB" w:eastAsia="en-US"/>
    </w:rPr>
  </w:style>
  <w:style w:type="paragraph" w:customStyle="1" w:styleId="Chapter">
    <w:name w:val="Chapter"/>
    <w:basedOn w:val="Normal"/>
    <w:rsid w:val="00A22025"/>
    <w:pPr>
      <w:spacing w:before="240"/>
    </w:pPr>
    <w:rPr>
      <w:rFonts w:ascii="Times New Roman" w:hAnsi="Times New Roman"/>
      <w:smallCaps/>
      <w:spacing w:val="80"/>
      <w:sz w:val="28"/>
    </w:rPr>
  </w:style>
  <w:style w:type="paragraph" w:customStyle="1" w:styleId="InChapter">
    <w:name w:val="InChapter"/>
    <w:basedOn w:val="Heading3"/>
    <w:rsid w:val="00A22025"/>
    <w:pPr>
      <w:spacing w:after="240"/>
      <w:outlineLvl w:val="9"/>
    </w:pPr>
    <w:rPr>
      <w:noProof/>
    </w:rPr>
  </w:style>
  <w:style w:type="paragraph" w:styleId="Index2">
    <w:name w:val="index 2"/>
    <w:basedOn w:val="Normal"/>
    <w:next w:val="Normal"/>
    <w:semiHidden/>
    <w:rsid w:val="00A22025"/>
    <w:pPr>
      <w:tabs>
        <w:tab w:val="right" w:pos="4176"/>
      </w:tabs>
      <w:ind w:left="568" w:hanging="284"/>
    </w:pPr>
    <w:rPr>
      <w:rFonts w:ascii="Garamond" w:hAnsi="Garamond"/>
    </w:rPr>
  </w:style>
  <w:style w:type="paragraph" w:customStyle="1" w:styleId="Byline">
    <w:name w:val="Byline"/>
    <w:rsid w:val="00A220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2025"/>
    <w:pPr>
      <w:tabs>
        <w:tab w:val="clear" w:pos="3600"/>
        <w:tab w:val="clear" w:pos="3958"/>
      </w:tabs>
      <w:jc w:val="right"/>
    </w:pPr>
  </w:style>
  <w:style w:type="character" w:styleId="Emphasis">
    <w:name w:val="Emphasis"/>
    <w:basedOn w:val="DefaultParagraphFont"/>
    <w:qFormat/>
    <w:rsid w:val="00A22025"/>
    <w:rPr>
      <w:i/>
    </w:rPr>
  </w:style>
  <w:style w:type="paragraph" w:styleId="Caption">
    <w:name w:val="caption"/>
    <w:basedOn w:val="BodyText"/>
    <w:next w:val="Normal"/>
    <w:qFormat/>
    <w:rsid w:val="00A22025"/>
    <w:pPr>
      <w:framePr w:w="2268" w:hSpace="181" w:vSpace="181" w:wrap="around" w:vAnchor="text" w:hAnchor="page" w:x="1135" w:y="285" w:anchorLock="1"/>
    </w:pPr>
    <w:rPr>
      <w:i/>
    </w:rPr>
  </w:style>
  <w:style w:type="paragraph" w:customStyle="1" w:styleId="MiniTOCTitle">
    <w:name w:val="MiniTOCTitle"/>
    <w:basedOn w:val="Heading4"/>
    <w:rsid w:val="00A22025"/>
    <w:pPr>
      <w:spacing w:before="240"/>
      <w:outlineLvl w:val="9"/>
    </w:pPr>
    <w:rPr>
      <w:noProof/>
      <w:sz w:val="24"/>
    </w:rPr>
  </w:style>
  <w:style w:type="paragraph" w:customStyle="1" w:styleId="MiniTOCItem">
    <w:name w:val="MiniTOCItem"/>
    <w:basedOn w:val="ListBullet"/>
    <w:rsid w:val="00A22025"/>
    <w:pPr>
      <w:numPr>
        <w:numId w:val="0"/>
      </w:numPr>
      <w:tabs>
        <w:tab w:val="right" w:leader="dot" w:pos="6521"/>
      </w:tabs>
      <w:spacing w:before="0" w:after="0"/>
    </w:pPr>
  </w:style>
  <w:style w:type="paragraph" w:customStyle="1" w:styleId="TOFTitle">
    <w:name w:val="TOFTitle"/>
    <w:basedOn w:val="TOCTitle"/>
    <w:rsid w:val="00A22025"/>
  </w:style>
  <w:style w:type="paragraph" w:styleId="TableofFigures">
    <w:name w:val="table of figures"/>
    <w:basedOn w:val="Normal"/>
    <w:next w:val="Normal"/>
    <w:semiHidden/>
    <w:rsid w:val="00A22025"/>
    <w:pPr>
      <w:tabs>
        <w:tab w:val="right" w:leader="dot" w:pos="9072"/>
      </w:tabs>
      <w:ind w:left="970" w:hanging="403"/>
    </w:pPr>
    <w:rPr>
      <w:rFonts w:ascii="Times New Roman" w:hAnsi="Times New Roman"/>
      <w:b/>
    </w:rPr>
  </w:style>
  <w:style w:type="paragraph" w:styleId="ListNumber">
    <w:name w:val="List Number"/>
    <w:basedOn w:val="List"/>
    <w:rsid w:val="00A22025"/>
    <w:pPr>
      <w:numPr>
        <w:numId w:val="11"/>
      </w:numPr>
    </w:pPr>
  </w:style>
  <w:style w:type="character" w:customStyle="1" w:styleId="WingdingSymbols">
    <w:name w:val="Wingding Symbols"/>
    <w:rsid w:val="00A22025"/>
    <w:rPr>
      <w:rFonts w:ascii="Wingdings" w:hAnsi="Wingdings"/>
    </w:rPr>
  </w:style>
  <w:style w:type="paragraph" w:customStyle="1" w:styleId="TableHeading">
    <w:name w:val="Table Heading"/>
    <w:basedOn w:val="HeadingBase"/>
    <w:rsid w:val="00A22025"/>
    <w:pPr>
      <w:keepLines/>
      <w:pBdr>
        <w:bottom w:val="single" w:sz="6" w:space="1" w:color="918585"/>
      </w:pBdr>
      <w:spacing w:before="240"/>
    </w:pPr>
  </w:style>
  <w:style w:type="character" w:customStyle="1" w:styleId="HotSpot">
    <w:name w:val="HotSpot"/>
    <w:rsid w:val="00A22025"/>
    <w:rPr>
      <w:color w:val="0033CC"/>
      <w:u w:val="none"/>
    </w:rPr>
  </w:style>
  <w:style w:type="paragraph" w:customStyle="1" w:styleId="BodyTextRight">
    <w:name w:val="Body Text Right"/>
    <w:basedOn w:val="BodyText"/>
    <w:rsid w:val="00A22025"/>
    <w:pPr>
      <w:spacing w:before="0" w:after="0"/>
      <w:jc w:val="right"/>
    </w:pPr>
  </w:style>
  <w:style w:type="paragraph" w:styleId="Index3">
    <w:name w:val="index 3"/>
    <w:basedOn w:val="ListNumber2"/>
    <w:next w:val="Normal"/>
    <w:semiHidden/>
    <w:rsid w:val="00A22025"/>
    <w:pPr>
      <w:numPr>
        <w:numId w:val="0"/>
      </w:numPr>
      <w:tabs>
        <w:tab w:val="right" w:leader="dot" w:pos="4176"/>
      </w:tabs>
    </w:pPr>
  </w:style>
  <w:style w:type="paragraph" w:styleId="ListNumber2">
    <w:name w:val="List Number 2"/>
    <w:basedOn w:val="List2"/>
    <w:rsid w:val="00A22025"/>
    <w:pPr>
      <w:numPr>
        <w:numId w:val="10"/>
      </w:numPr>
      <w:tabs>
        <w:tab w:val="clear" w:pos="1060"/>
      </w:tabs>
    </w:pPr>
  </w:style>
  <w:style w:type="paragraph" w:customStyle="1" w:styleId="MarginNote">
    <w:name w:val="Margin Note"/>
    <w:basedOn w:val="BodyText"/>
    <w:rsid w:val="00A220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20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20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2025"/>
    <w:rPr>
      <w:sz w:val="32"/>
    </w:rPr>
  </w:style>
  <w:style w:type="paragraph" w:customStyle="1" w:styleId="HeadingProcedure">
    <w:name w:val="Heading Procedure"/>
    <w:basedOn w:val="HeadingBase"/>
    <w:next w:val="Normal"/>
    <w:rsid w:val="00A22025"/>
    <w:pPr>
      <w:tabs>
        <w:tab w:val="left" w:pos="0"/>
      </w:tabs>
      <w:spacing w:before="120" w:after="60"/>
    </w:pPr>
    <w:rPr>
      <w:i/>
      <w:color w:val="918585"/>
      <w:sz w:val="22"/>
    </w:rPr>
  </w:style>
  <w:style w:type="paragraph" w:styleId="ListContinue">
    <w:name w:val="List Continue"/>
    <w:basedOn w:val="List"/>
    <w:rsid w:val="00A22025"/>
    <w:pPr>
      <w:ind w:firstLine="0"/>
    </w:pPr>
  </w:style>
  <w:style w:type="paragraph" w:customStyle="1" w:styleId="ListNote">
    <w:name w:val="List Note"/>
    <w:basedOn w:val="List"/>
    <w:rsid w:val="00A22025"/>
    <w:pPr>
      <w:pBdr>
        <w:top w:val="single" w:sz="6" w:space="2" w:color="918585"/>
        <w:bottom w:val="single" w:sz="6" w:space="2" w:color="918585"/>
      </w:pBdr>
      <w:tabs>
        <w:tab w:val="left" w:pos="1021"/>
      </w:tabs>
      <w:ind w:firstLine="0"/>
    </w:pPr>
  </w:style>
  <w:style w:type="paragraph" w:customStyle="1" w:styleId="Warning">
    <w:name w:val="Warning"/>
    <w:basedOn w:val="BodyText"/>
    <w:rsid w:val="00A22025"/>
    <w:pPr>
      <w:shd w:val="clear" w:color="auto" w:fill="D9D9D9"/>
      <w:tabs>
        <w:tab w:val="left" w:pos="992"/>
      </w:tabs>
      <w:ind w:left="119" w:right="119"/>
    </w:pPr>
    <w:rPr>
      <w:sz w:val="20"/>
    </w:rPr>
  </w:style>
  <w:style w:type="paragraph" w:customStyle="1" w:styleId="MarginIcons">
    <w:name w:val="Margin Icons"/>
    <w:basedOn w:val="BodyText"/>
    <w:rsid w:val="00A220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2025"/>
    <w:rPr>
      <w:rFonts w:ascii="Courier New" w:hAnsi="Courier New"/>
    </w:rPr>
  </w:style>
  <w:style w:type="paragraph" w:customStyle="1" w:styleId="NoteBullet">
    <w:name w:val="Note Bullet"/>
    <w:basedOn w:val="Note"/>
    <w:rsid w:val="00A22025"/>
    <w:pPr>
      <w:tabs>
        <w:tab w:val="clear" w:pos="680"/>
      </w:tabs>
      <w:spacing w:before="60" w:after="60"/>
    </w:pPr>
  </w:style>
  <w:style w:type="paragraph" w:customStyle="1" w:styleId="SubHeading2">
    <w:name w:val="SubHeading2"/>
    <w:basedOn w:val="HeadingBase"/>
    <w:rsid w:val="00A22025"/>
    <w:pPr>
      <w:spacing w:before="240" w:after="60"/>
    </w:pPr>
    <w:rPr>
      <w:sz w:val="20"/>
    </w:rPr>
  </w:style>
  <w:style w:type="paragraph" w:customStyle="1" w:styleId="SubHeading1">
    <w:name w:val="SubHeading1"/>
    <w:basedOn w:val="HeadingBase"/>
    <w:rsid w:val="00A22025"/>
    <w:pPr>
      <w:spacing w:before="240" w:after="60"/>
    </w:pPr>
    <w:rPr>
      <w:color w:val="918585"/>
      <w:sz w:val="22"/>
    </w:rPr>
  </w:style>
  <w:style w:type="paragraph" w:customStyle="1" w:styleId="SideHeading">
    <w:name w:val="Side Heading"/>
    <w:basedOn w:val="HeadingBase"/>
    <w:rsid w:val="00A220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2025"/>
    <w:pPr>
      <w:numPr>
        <w:numId w:val="12"/>
      </w:numPr>
    </w:pPr>
  </w:style>
  <w:style w:type="paragraph" w:styleId="PlainText">
    <w:name w:val="Plain Text"/>
    <w:basedOn w:val="Normal"/>
    <w:link w:val="PlainTextChar"/>
    <w:rsid w:val="00A22025"/>
    <w:rPr>
      <w:sz w:val="20"/>
    </w:rPr>
  </w:style>
  <w:style w:type="character" w:customStyle="1" w:styleId="PlainTextChar">
    <w:name w:val="Plain Text Char"/>
    <w:basedOn w:val="DefaultParagraphFont"/>
    <w:link w:val="PlainText"/>
    <w:rsid w:val="00A22025"/>
    <w:rPr>
      <w:rFonts w:ascii="Courier New" w:eastAsia="Times New Roman" w:hAnsi="Courier New" w:cs="Times New Roman"/>
      <w:sz w:val="20"/>
      <w:szCs w:val="20"/>
      <w:lang w:eastAsia="en-US"/>
    </w:rPr>
  </w:style>
  <w:style w:type="character" w:customStyle="1" w:styleId="MenuOption">
    <w:name w:val="Menu Option"/>
    <w:basedOn w:val="DefaultParagraphFont"/>
    <w:rsid w:val="00A22025"/>
    <w:rPr>
      <w:b/>
      <w:smallCaps/>
    </w:rPr>
  </w:style>
  <w:style w:type="paragraph" w:customStyle="1" w:styleId="TableListNumber">
    <w:name w:val="Table List Number"/>
    <w:basedOn w:val="ListNumber"/>
    <w:rsid w:val="00A22025"/>
    <w:pPr>
      <w:numPr>
        <w:numId w:val="0"/>
      </w:numPr>
    </w:pPr>
  </w:style>
  <w:style w:type="paragraph" w:styleId="TOC4">
    <w:name w:val="toc 4"/>
    <w:basedOn w:val="TOCBase"/>
    <w:next w:val="Normal"/>
    <w:semiHidden/>
    <w:rsid w:val="00A22025"/>
    <w:pPr>
      <w:tabs>
        <w:tab w:val="right" w:leader="dot" w:pos="9071"/>
      </w:tabs>
      <w:ind w:left="1701"/>
    </w:pPr>
  </w:style>
  <w:style w:type="paragraph" w:customStyle="1" w:styleId="ListAlpha">
    <w:name w:val="List Alpha"/>
    <w:basedOn w:val="List"/>
    <w:rsid w:val="00A22025"/>
    <w:pPr>
      <w:numPr>
        <w:numId w:val="9"/>
      </w:numPr>
    </w:pPr>
  </w:style>
  <w:style w:type="paragraph" w:customStyle="1" w:styleId="ListAlpha2">
    <w:name w:val="List Alpha 2"/>
    <w:basedOn w:val="List2"/>
    <w:rsid w:val="00A22025"/>
    <w:pPr>
      <w:numPr>
        <w:numId w:val="8"/>
      </w:numPr>
    </w:pPr>
  </w:style>
  <w:style w:type="paragraph" w:styleId="List2">
    <w:name w:val="List 2"/>
    <w:basedOn w:val="BodyText"/>
    <w:rsid w:val="00A22025"/>
    <w:pPr>
      <w:tabs>
        <w:tab w:val="left" w:pos="680"/>
      </w:tabs>
      <w:spacing w:before="60" w:after="60"/>
      <w:ind w:left="680" w:hanging="340"/>
    </w:pPr>
  </w:style>
  <w:style w:type="paragraph" w:styleId="List3">
    <w:name w:val="List 3"/>
    <w:basedOn w:val="BodyText"/>
    <w:rsid w:val="00A22025"/>
    <w:pPr>
      <w:tabs>
        <w:tab w:val="left" w:pos="1021"/>
      </w:tabs>
      <w:spacing w:before="60" w:after="60"/>
      <w:ind w:left="1020" w:hanging="340"/>
    </w:pPr>
  </w:style>
  <w:style w:type="paragraph" w:styleId="List4">
    <w:name w:val="List 4"/>
    <w:basedOn w:val="BodyText"/>
    <w:rsid w:val="00A22025"/>
    <w:pPr>
      <w:tabs>
        <w:tab w:val="left" w:pos="1361"/>
      </w:tabs>
      <w:spacing w:before="60" w:after="60"/>
      <w:ind w:left="1361" w:hanging="340"/>
    </w:pPr>
  </w:style>
  <w:style w:type="paragraph" w:styleId="List5">
    <w:name w:val="List 5"/>
    <w:basedOn w:val="BodyText"/>
    <w:rsid w:val="00A22025"/>
    <w:pPr>
      <w:tabs>
        <w:tab w:val="left" w:pos="1701"/>
      </w:tabs>
      <w:spacing w:before="60" w:after="60"/>
      <w:ind w:left="1701" w:hanging="340"/>
    </w:pPr>
  </w:style>
  <w:style w:type="paragraph" w:styleId="ListBullet3">
    <w:name w:val="List Bullet 3"/>
    <w:basedOn w:val="List3"/>
    <w:rsid w:val="00A22025"/>
    <w:pPr>
      <w:numPr>
        <w:numId w:val="15"/>
      </w:numPr>
      <w:tabs>
        <w:tab w:val="clear" w:pos="1021"/>
      </w:tabs>
      <w:ind w:left="1037" w:hanging="357"/>
    </w:pPr>
  </w:style>
  <w:style w:type="paragraph" w:styleId="ListBullet4">
    <w:name w:val="List Bullet 4"/>
    <w:basedOn w:val="List4"/>
    <w:rsid w:val="00A22025"/>
    <w:pPr>
      <w:numPr>
        <w:numId w:val="3"/>
      </w:numPr>
    </w:pPr>
  </w:style>
  <w:style w:type="paragraph" w:styleId="ListBullet5">
    <w:name w:val="List Bullet 5"/>
    <w:basedOn w:val="List5"/>
    <w:rsid w:val="00A22025"/>
    <w:pPr>
      <w:numPr>
        <w:numId w:val="4"/>
      </w:numPr>
    </w:pPr>
  </w:style>
  <w:style w:type="paragraph" w:styleId="ListContinue2">
    <w:name w:val="List Continue 2"/>
    <w:basedOn w:val="List2"/>
    <w:rsid w:val="00A22025"/>
    <w:pPr>
      <w:ind w:firstLine="0"/>
    </w:pPr>
  </w:style>
  <w:style w:type="paragraph" w:styleId="ListContinue3">
    <w:name w:val="List Continue 3"/>
    <w:basedOn w:val="List3"/>
    <w:rsid w:val="00A22025"/>
    <w:pPr>
      <w:ind w:left="1021" w:firstLine="0"/>
    </w:pPr>
  </w:style>
  <w:style w:type="paragraph" w:styleId="ListContinue4">
    <w:name w:val="List Continue 4"/>
    <w:basedOn w:val="List4"/>
    <w:rsid w:val="00A22025"/>
    <w:pPr>
      <w:ind w:firstLine="0"/>
    </w:pPr>
  </w:style>
  <w:style w:type="paragraph" w:styleId="ListContinue5">
    <w:name w:val="List Continue 5"/>
    <w:basedOn w:val="List5"/>
    <w:rsid w:val="00A22025"/>
    <w:pPr>
      <w:ind w:firstLine="0"/>
    </w:pPr>
  </w:style>
  <w:style w:type="paragraph" w:styleId="ListNumber3">
    <w:name w:val="List Number 3"/>
    <w:basedOn w:val="List3"/>
    <w:rsid w:val="00A22025"/>
    <w:pPr>
      <w:numPr>
        <w:numId w:val="5"/>
      </w:numPr>
    </w:pPr>
  </w:style>
  <w:style w:type="paragraph" w:styleId="ListNumber4">
    <w:name w:val="List Number 4"/>
    <w:basedOn w:val="List4"/>
    <w:rsid w:val="00A22025"/>
    <w:pPr>
      <w:numPr>
        <w:numId w:val="6"/>
      </w:numPr>
    </w:pPr>
  </w:style>
  <w:style w:type="paragraph" w:styleId="ListNumber5">
    <w:name w:val="List Number 5"/>
    <w:basedOn w:val="List5"/>
    <w:rsid w:val="00A22025"/>
    <w:pPr>
      <w:numPr>
        <w:numId w:val="7"/>
      </w:numPr>
    </w:pPr>
  </w:style>
  <w:style w:type="paragraph" w:styleId="BlockText">
    <w:name w:val="Block Text"/>
    <w:basedOn w:val="Normal"/>
    <w:rsid w:val="00A22025"/>
    <w:pPr>
      <w:spacing w:after="120"/>
      <w:ind w:left="1440" w:right="1440"/>
    </w:pPr>
  </w:style>
  <w:style w:type="character" w:customStyle="1" w:styleId="Subscript">
    <w:name w:val="Subscript"/>
    <w:basedOn w:val="DefaultParagraphFont"/>
    <w:rsid w:val="00A22025"/>
    <w:rPr>
      <w:sz w:val="16"/>
      <w:vertAlign w:val="subscript"/>
    </w:rPr>
  </w:style>
  <w:style w:type="character" w:customStyle="1" w:styleId="Superscript">
    <w:name w:val="Superscript"/>
    <w:basedOn w:val="DefaultParagraphFont"/>
    <w:rsid w:val="00A22025"/>
    <w:rPr>
      <w:sz w:val="16"/>
      <w:vertAlign w:val="superscript"/>
    </w:rPr>
  </w:style>
  <w:style w:type="character" w:customStyle="1" w:styleId="Symbols">
    <w:name w:val="Symbols"/>
    <w:basedOn w:val="DefaultParagraphFont"/>
    <w:rsid w:val="00A22025"/>
    <w:rPr>
      <w:rFonts w:ascii="Symbol" w:hAnsi="Symbol"/>
    </w:rPr>
  </w:style>
  <w:style w:type="character" w:customStyle="1" w:styleId="MenuOptions">
    <w:name w:val="Menu Options"/>
    <w:basedOn w:val="DefaultParagraphFont"/>
    <w:rsid w:val="00A22025"/>
    <w:rPr>
      <w:rFonts w:ascii="Arial Narrow" w:hAnsi="Arial Narrow"/>
      <w:smallCaps/>
    </w:rPr>
  </w:style>
  <w:style w:type="character" w:customStyle="1" w:styleId="Buttons">
    <w:name w:val="Buttons"/>
    <w:basedOn w:val="DefaultParagraphFont"/>
    <w:rsid w:val="00A22025"/>
    <w:rPr>
      <w:b/>
    </w:rPr>
  </w:style>
  <w:style w:type="character" w:customStyle="1" w:styleId="Underlined">
    <w:name w:val="Underlined"/>
    <w:basedOn w:val="DefaultParagraphFont"/>
    <w:rsid w:val="00A22025"/>
    <w:rPr>
      <w:u w:val="single"/>
    </w:rPr>
  </w:style>
  <w:style w:type="paragraph" w:customStyle="1" w:styleId="TableBodyTextRight">
    <w:name w:val="Table Body Text Right"/>
    <w:basedOn w:val="TableBodyText"/>
    <w:rsid w:val="00A22025"/>
    <w:pPr>
      <w:widowControl w:val="0"/>
      <w:autoSpaceDE w:val="0"/>
      <w:autoSpaceDN w:val="0"/>
      <w:adjustRightInd w:val="0"/>
      <w:jc w:val="right"/>
    </w:pPr>
    <w:rPr>
      <w:rFonts w:cs="Arial"/>
      <w:szCs w:val="18"/>
    </w:rPr>
  </w:style>
  <w:style w:type="paragraph" w:customStyle="1" w:styleId="CopyrightText">
    <w:name w:val="Copyright Text"/>
    <w:basedOn w:val="BodyText"/>
    <w:rsid w:val="00A22025"/>
    <w:rPr>
      <w:sz w:val="18"/>
    </w:rPr>
  </w:style>
  <w:style w:type="paragraph" w:customStyle="1" w:styleId="BodySmallRight">
    <w:name w:val="Body Small Right"/>
    <w:basedOn w:val="BodyTextRight"/>
    <w:rsid w:val="00A22025"/>
    <w:rPr>
      <w:sz w:val="18"/>
      <w:szCs w:val="18"/>
    </w:rPr>
  </w:style>
  <w:style w:type="paragraph" w:customStyle="1" w:styleId="MarginEdition">
    <w:name w:val="Margin Edition"/>
    <w:basedOn w:val="MarginNote"/>
    <w:rsid w:val="00A22025"/>
    <w:pPr>
      <w:spacing w:before="0" w:after="0"/>
    </w:pPr>
    <w:rPr>
      <w:rFonts w:ascii="Times New Roman" w:hAnsi="Times New Roman"/>
      <w:color w:val="999999"/>
    </w:rPr>
  </w:style>
  <w:style w:type="paragraph" w:customStyle="1" w:styleId="Spacer">
    <w:name w:val="Spacer"/>
    <w:basedOn w:val="Normal"/>
    <w:rsid w:val="00A22025"/>
    <w:rPr>
      <w:sz w:val="2"/>
      <w:szCs w:val="2"/>
    </w:rPr>
  </w:style>
  <w:style w:type="character" w:customStyle="1" w:styleId="Small">
    <w:name w:val="Small"/>
    <w:basedOn w:val="DefaultParagraphFont"/>
    <w:rsid w:val="00A22025"/>
    <w:rPr>
      <w:sz w:val="16"/>
    </w:rPr>
  </w:style>
  <w:style w:type="paragraph" w:customStyle="1" w:styleId="WideTable">
    <w:name w:val="Wide Table"/>
    <w:basedOn w:val="Normal"/>
    <w:rsid w:val="00A22025"/>
    <w:pPr>
      <w:ind w:left="-1418"/>
    </w:pPr>
    <w:rPr>
      <w:sz w:val="2"/>
      <w:szCs w:val="2"/>
    </w:rPr>
  </w:style>
  <w:style w:type="character" w:styleId="PageNumber">
    <w:name w:val="page number"/>
    <w:basedOn w:val="DefaultParagraphFont"/>
    <w:rsid w:val="00A22025"/>
  </w:style>
  <w:style w:type="paragraph" w:styleId="Quote">
    <w:name w:val="Quote"/>
    <w:basedOn w:val="Heading1"/>
    <w:link w:val="QuoteChar"/>
    <w:qFormat/>
    <w:rsid w:val="00A22025"/>
    <w:rPr>
      <w:b w:val="0"/>
      <w:sz w:val="72"/>
      <w:szCs w:val="72"/>
      <w:lang w:val="en-NZ"/>
    </w:rPr>
  </w:style>
  <w:style w:type="character" w:customStyle="1" w:styleId="QuoteChar">
    <w:name w:val="Quote Char"/>
    <w:basedOn w:val="DefaultParagraphFont"/>
    <w:link w:val="Quote"/>
    <w:rsid w:val="00A220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2025"/>
    <w:pPr>
      <w:pageBreakBefore/>
    </w:pPr>
  </w:style>
  <w:style w:type="paragraph" w:customStyle="1" w:styleId="Border">
    <w:name w:val="Border"/>
    <w:basedOn w:val="Normal"/>
    <w:qFormat/>
    <w:rsid w:val="00A220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2025"/>
    <w:rPr>
      <w:b/>
      <w:bCs/>
      <w:i/>
      <w:iCs/>
      <w:color w:val="auto"/>
    </w:rPr>
  </w:style>
  <w:style w:type="paragraph" w:styleId="IntenseQuote">
    <w:name w:val="Intense Quote"/>
    <w:basedOn w:val="Normal"/>
    <w:next w:val="Normal"/>
    <w:link w:val="IntenseQuoteChar"/>
    <w:uiPriority w:val="30"/>
    <w:qFormat/>
    <w:rsid w:val="00A220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20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2025"/>
    <w:rPr>
      <w:smallCaps/>
      <w:color w:val="auto"/>
      <w:u w:val="single"/>
    </w:rPr>
  </w:style>
  <w:style w:type="character" w:styleId="IntenseReference">
    <w:name w:val="Intense Reference"/>
    <w:basedOn w:val="DefaultParagraphFont"/>
    <w:uiPriority w:val="32"/>
    <w:qFormat/>
    <w:rsid w:val="00A22025"/>
    <w:rPr>
      <w:b/>
      <w:bCs/>
      <w:smallCaps/>
      <w:color w:val="auto"/>
      <w:spacing w:val="5"/>
      <w:u w:val="single"/>
    </w:rPr>
  </w:style>
  <w:style w:type="paragraph" w:customStyle="1" w:styleId="2ColumnHeading">
    <w:name w:val="2Column Heading"/>
    <w:basedOn w:val="BodyText"/>
    <w:qFormat/>
    <w:rsid w:val="00A22025"/>
    <w:pPr>
      <w:spacing w:after="60"/>
      <w:ind w:left="-2268"/>
    </w:pPr>
    <w:rPr>
      <w:b/>
    </w:rPr>
  </w:style>
  <w:style w:type="paragraph" w:customStyle="1" w:styleId="Heading1TOC">
    <w:name w:val="Heading1 TOC"/>
    <w:basedOn w:val="Normal"/>
    <w:qFormat/>
    <w:rsid w:val="00A22025"/>
    <w:pPr>
      <w:spacing w:before="240" w:after="120"/>
    </w:pPr>
    <w:rPr>
      <w:rFonts w:ascii="Times New Roman" w:hAnsi="Times New Roman"/>
      <w:b/>
      <w:sz w:val="32"/>
    </w:rPr>
  </w:style>
  <w:style w:type="paragraph" w:customStyle="1" w:styleId="Heading2TOC">
    <w:name w:val="Heading2 TOC"/>
    <w:basedOn w:val="Normal"/>
    <w:qFormat/>
    <w:rsid w:val="00A22025"/>
    <w:pPr>
      <w:spacing w:before="240" w:after="60"/>
    </w:pPr>
    <w:rPr>
      <w:rFonts w:ascii="Times New Roman" w:hAnsi="Times New Roman"/>
      <w:b/>
      <w:sz w:val="28"/>
    </w:rPr>
  </w:style>
  <w:style w:type="character" w:customStyle="1" w:styleId="Underline">
    <w:name w:val="Underline"/>
    <w:basedOn w:val="DefaultParagraphFont"/>
    <w:qFormat/>
    <w:rsid w:val="00A22025"/>
    <w:rPr>
      <w:u w:val="single"/>
    </w:rPr>
  </w:style>
  <w:style w:type="character" w:customStyle="1" w:styleId="BoldandItalics">
    <w:name w:val="Bold and Italics"/>
    <w:qFormat/>
    <w:rsid w:val="00A22025"/>
    <w:rPr>
      <w:b/>
      <w:i/>
      <w:u w:val="none"/>
    </w:rPr>
  </w:style>
  <w:style w:type="paragraph" w:styleId="BalloonText">
    <w:name w:val="Balloon Text"/>
    <w:basedOn w:val="Normal"/>
    <w:link w:val="BalloonTextChar"/>
    <w:rsid w:val="00A22025"/>
    <w:rPr>
      <w:rFonts w:ascii="Tahoma" w:hAnsi="Tahoma" w:cs="Tahoma"/>
      <w:sz w:val="16"/>
      <w:szCs w:val="16"/>
    </w:rPr>
  </w:style>
  <w:style w:type="character" w:customStyle="1" w:styleId="BalloonTextChar">
    <w:name w:val="Balloon Text Char"/>
    <w:basedOn w:val="DefaultParagraphFont"/>
    <w:link w:val="BalloonText"/>
    <w:rsid w:val="00A220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20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20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2025"/>
    <w:rPr>
      <w:b/>
      <w:color w:val="660033"/>
      <w:spacing w:val="0"/>
    </w:rPr>
  </w:style>
  <w:style w:type="paragraph" w:customStyle="1" w:styleId="Nameditemlist">
    <w:name w:val="Named item list"/>
    <w:basedOn w:val="BodyText"/>
    <w:qFormat/>
    <w:rsid w:val="00A220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1189</Words>
  <Characters>7350</Characters>
  <Application>Microsoft Office Word</Application>
  <DocSecurity>0</DocSecurity>
  <Lines>321</Lines>
  <Paragraphs>214</Paragraphs>
  <ScaleCrop>false</ScaleCrop>
  <Company>Author-it Software Corporation Ltd.</Company>
  <LinksUpToDate>false</LinksUpToDate>
  <CharactersWithSpaces>8446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MEM18098A Prepare to perform work associated with fuel system installation and servicing</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2012-10-05T14:23:00Z</dcterms:created>
  <dcterms:modified xsi:type="dcterms:W3CDTF">2012-10-05T14:23:00Z</dcterms:modified>
</cp:coreProperties>
</file>