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2CDE" w:rsidP="00312CDE">
      <w:pPr>
        <w:pStyle w:val="Title"/>
      </w:pPr>
      <w:r>
        <w:fldChar w:fldCharType="begin"/>
      </w:r>
      <w:r>
        <w:instrText xml:space="preserve"> TITLE   \* MERGEFORMAT </w:instrText>
      </w:r>
      <w:r>
        <w:fldChar w:fldCharType="separate"/>
      </w:r>
      <w:r>
        <w:t>MEM18089B Maintain and repair central air handling systems</w:t>
      </w:r>
      <w:r>
        <w:fldChar w:fldCharType="end"/>
      </w:r>
    </w:p>
    <w:p w:rsidR="00312CDE" w:rsidP="00312CDE">
      <w:pPr>
        <w:pStyle w:val="Version"/>
        <w:sectPr w:rsidSect="00FA1C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1C61" w:rsidP="00FA1C61">
      <w:pPr>
        <w:pStyle w:val="SuperHeading"/>
      </w:pPr>
      <w:r w:rsidRPr="00FA1C61">
        <w:t>MEM18089B Maintain and repair central air handling systems</w:t>
      </w:r>
    </w:p>
    <w:p w:rsidR="00000000" w:rsidRPr="00FA1C61" w:rsidP="00FA1C61">
      <w:pPr>
        <w:pStyle w:val="Heading1"/>
      </w:pPr>
      <w:bookmarkStart w:id="1" w:name="O_272299"/>
      <w:bookmarkEnd w:id="1"/>
      <w:r w:rsidRPr="00FA1C61">
        <w:t>Modification History</w:t>
      </w:r>
    </w:p>
    <w:p w:rsidR="00000000" w:rsidRPr="00FA1C61" w:rsidP="00FA1C61">
      <w:pPr>
        <w:pStyle w:val="BodyText"/>
      </w:pPr>
      <w:r w:rsidRPr="00FA1C61">
        <w:t>Not Applicable</w:t>
      </w:r>
    </w:p>
    <w:p w:rsidR="00000000" w:rsidRPr="00FA1C61" w:rsidP="00FA1C61">
      <w:pPr>
        <w:pStyle w:val="AllowPageBreak"/>
      </w:pPr>
    </w:p>
    <w:p w:rsidR="00000000" w:rsidRPr="00FA1C61" w:rsidP="00FA1C61">
      <w:pPr>
        <w:pStyle w:val="Heading1"/>
      </w:pPr>
      <w:bookmarkStart w:id="2" w:name="O_212531"/>
      <w:bookmarkEnd w:id="2"/>
      <w:r w:rsidRPr="00FA1C61">
        <w:t>Unit Descriptor</w:t>
      </w:r>
    </w:p>
    <w:tbl>
      <w:tblPr>
        <w:tblW w:w="0" w:type="auto"/>
        <w:tblLayout w:type="fixed"/>
        <w:tblCellMar>
          <w:left w:w="62" w:type="dxa"/>
          <w:right w:w="62" w:type="dxa"/>
        </w:tblCellMar>
        <w:tblLook w:val="0000"/>
      </w:tblPr>
      <w:tblGrid>
        <w:gridCol w:w="2670"/>
        <w:gridCol w:w="5852"/>
      </w:tblGrid>
      <w:tr w:rsidTr="00312CDE">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C61">
            <w:pPr>
              <w:pStyle w:val="BodyText"/>
              <w:rPr>
                <w:lang w:val="en-NZ"/>
              </w:rPr>
            </w:pPr>
            <w:r w:rsidRPr="00FA1C61">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C61" w:rsidP="00FA1C61">
            <w:pPr>
              <w:pStyle w:val="BodyText"/>
            </w:pPr>
            <w:r w:rsidRPr="00FA1C61">
              <w:t>This unit covers maintaining and repairing large central air handling systems. I</w:t>
            </w:r>
            <w:r w:rsidRPr="00FA1C61">
              <w:t>t includes interpreting drawings and diagrams of large central air handling systems; utilising fault finding procedures and testing equipment to identify and diagnose faults in systems and isolate faulty components; rectifying faults; returning to service;</w:t>
            </w:r>
            <w:r w:rsidRPr="00FA1C61">
              <w:t xml:space="preserve"> testing the systems; and completing service reports.</w:t>
            </w:r>
          </w:p>
        </w:tc>
      </w:tr>
    </w:tbl>
    <w:p w:rsidR="00312CDE" w:rsidP="00FA1C61">
      <w:pPr>
        <w:pStyle w:val="BodyText"/>
      </w:pPr>
    </w:p>
    <w:p w:rsidR="00312CDE" w:rsidP="00FA1C61">
      <w:pPr>
        <w:pStyle w:val="BodyText"/>
      </w:pPr>
    </w:p>
    <w:p w:rsidR="00000000" w:rsidRPr="00FA1C61" w:rsidP="00FA1C61">
      <w:pPr>
        <w:pStyle w:val="Heading1"/>
      </w:pPr>
      <w:bookmarkStart w:id="3" w:name="O_212535"/>
      <w:bookmarkEnd w:id="3"/>
      <w:r w:rsidRPr="00FA1C61">
        <w:t>Application of the Unit</w:t>
      </w:r>
    </w:p>
    <w:tbl>
      <w:tblPr>
        <w:tblW w:w="0" w:type="auto"/>
        <w:tblLayout w:type="fixed"/>
        <w:tblCellMar>
          <w:left w:w="62" w:type="dxa"/>
          <w:right w:w="62" w:type="dxa"/>
        </w:tblCellMar>
        <w:tblLook w:val="0000"/>
      </w:tblPr>
      <w:tblGrid>
        <w:gridCol w:w="2745"/>
        <w:gridCol w:w="5777"/>
      </w:tblGrid>
      <w:tr w:rsidTr="00312CDE">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C61">
            <w:pPr>
              <w:pStyle w:val="BodyText"/>
              <w:rPr>
                <w:lang w:val="en-NZ"/>
              </w:rPr>
            </w:pPr>
            <w:r w:rsidRPr="00FA1C61">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C61" w:rsidP="00FA1C61">
            <w:pPr>
              <w:pStyle w:val="BodyText"/>
            </w:pPr>
            <w:r w:rsidRPr="00FA1C61">
              <w:t>This unit applies to air handling systems including boilers, chillers, secondary refrigeration pumps, dehumidifiers, odour control, complex filtering systems, multi zone air distribution systems, etc., typically used for comfort air conditioning. The appli</w:t>
            </w:r>
            <w:r w:rsidRPr="00FA1C61">
              <w:t>cation of this competency must cover a variety of refrigeration and air conditioning equipment and systems. Prerequisite pathways must be applied within a refrigeration / air conditioning context.</w:t>
            </w:r>
          </w:p>
          <w:p w:rsidR="00000000" w:rsidRPr="00FA1C61" w:rsidP="00FA1C61">
            <w:pPr>
              <w:pStyle w:val="BodyText"/>
            </w:pPr>
          </w:p>
          <w:p w:rsidR="00000000" w:rsidRPr="00FA1C61" w:rsidP="00FA1C61">
            <w:pPr>
              <w:pStyle w:val="BodyText"/>
            </w:pPr>
            <w:r w:rsidRPr="00FA1C61">
              <w:rPr>
                <w:rStyle w:val="SpecialBold"/>
              </w:rPr>
              <w:t>Band</w:t>
            </w:r>
            <w:r w:rsidRPr="00FA1C61">
              <w:t>:</w:t>
            </w:r>
            <w:r w:rsidRPr="00FA1C61">
              <w:tab/>
            </w:r>
            <w:r w:rsidRPr="00FA1C61">
              <w:rPr>
                <w:rStyle w:val="SpecialBold"/>
              </w:rPr>
              <w:t>A</w:t>
            </w:r>
          </w:p>
          <w:p w:rsidR="00000000" w:rsidRPr="00FA1C61" w:rsidP="00FA1C61">
            <w:pPr>
              <w:pStyle w:val="BodyText"/>
            </w:pPr>
            <w:r w:rsidRPr="00FA1C61">
              <w:rPr>
                <w:rStyle w:val="SpecialBold"/>
              </w:rPr>
              <w:t>Unit Weight</w:t>
            </w:r>
            <w:r w:rsidRPr="00FA1C61">
              <w:t>:</w:t>
            </w:r>
            <w:r w:rsidRPr="00FA1C61">
              <w:tab/>
            </w:r>
            <w:r w:rsidRPr="00FA1C61">
              <w:rPr>
                <w:rStyle w:val="SpecialBold"/>
              </w:rPr>
              <w:t>6</w:t>
            </w:r>
          </w:p>
        </w:tc>
      </w:tr>
    </w:tbl>
    <w:p w:rsidR="00312CDE" w:rsidP="00FA1C61">
      <w:pPr>
        <w:pStyle w:val="BodyText"/>
      </w:pPr>
    </w:p>
    <w:p w:rsidR="00312CDE" w:rsidP="00FA1C61">
      <w:pPr>
        <w:pStyle w:val="BodyText"/>
      </w:pPr>
    </w:p>
    <w:p w:rsidR="00000000" w:rsidRPr="00FA1C61" w:rsidP="00FA1C61">
      <w:pPr>
        <w:pStyle w:val="Heading1"/>
      </w:pPr>
      <w:bookmarkStart w:id="4" w:name="O_280559"/>
      <w:bookmarkEnd w:id="4"/>
      <w:r w:rsidRPr="00FA1C61">
        <w:t>Licensing/Regulatory Information</w:t>
      </w:r>
    </w:p>
    <w:p w:rsidR="00000000" w:rsidRPr="00FA1C61" w:rsidP="00FA1C61">
      <w:pPr>
        <w:pStyle w:val="BodyText"/>
      </w:pPr>
      <w:r w:rsidRPr="00FA1C61">
        <w:t>Not Applicable</w:t>
      </w:r>
    </w:p>
    <w:p w:rsidR="00000000" w:rsidRPr="00FA1C61" w:rsidP="00FA1C61">
      <w:pPr>
        <w:pStyle w:val="AllowPageBreak"/>
      </w:pPr>
    </w:p>
    <w:p w:rsidR="00000000" w:rsidRPr="00FA1C61" w:rsidP="00FA1C61">
      <w:pPr>
        <w:pStyle w:val="Heading1"/>
      </w:pPr>
      <w:bookmarkStart w:id="5" w:name="O_212533"/>
      <w:bookmarkEnd w:id="5"/>
      <w:r w:rsidRPr="00FA1C61">
        <w:t>Pre-Requisites</w:t>
      </w:r>
    </w:p>
    <w:tbl>
      <w:tblPr>
        <w:tblW w:w="0" w:type="auto"/>
        <w:tblLayout w:type="fixed"/>
        <w:tblCellMar>
          <w:left w:w="62" w:type="dxa"/>
          <w:right w:w="62" w:type="dxa"/>
        </w:tblCellMar>
        <w:tblLook w:val="0000"/>
      </w:tblPr>
      <w:tblGrid>
        <w:gridCol w:w="2660"/>
        <w:gridCol w:w="2207"/>
        <w:gridCol w:w="3655"/>
      </w:tblGrid>
      <w:tr w:rsidTr="00312CDE">
        <w:tblPrEx>
          <w:tblW w:w="0" w:type="auto"/>
          <w:tblLayout w:type="fixed"/>
          <w:tblCellMar>
            <w:left w:w="62" w:type="dxa"/>
            <w:right w:w="62" w:type="dxa"/>
          </w:tblCellMar>
          <w:tblLook w:val="0000"/>
        </w:tblPrEx>
        <w:trPr>
          <w:tblHeader/>
        </w:trPr>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C61">
            <w:pPr>
              <w:pStyle w:val="BodyText"/>
              <w:rPr>
                <w:lang w:val="en-NZ"/>
              </w:rPr>
            </w:pPr>
            <w:r w:rsidRPr="00FA1C61">
              <w:rPr>
                <w:rStyle w:val="SpecialBold"/>
              </w:rPr>
              <w:t>Prerequisite units</w:t>
            </w:r>
          </w:p>
        </w:tc>
        <w:tc>
          <w:tcPr>
            <w:tcW w:w="586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C61">
            <w:pPr>
              <w:pStyle w:val="BodyText"/>
              <w:rPr>
                <w:lang w:val="en-NZ"/>
              </w:rPr>
            </w:pPr>
          </w:p>
        </w:tc>
      </w:tr>
      <w:tr w:rsidTr="00312CDE">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C61">
            <w:pPr>
              <w:pStyle w:val="BodyText"/>
              <w:rPr>
                <w:lang w:val="en-NZ"/>
              </w:rPr>
            </w:pPr>
            <w:r w:rsidRPr="00FA1C61">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C61">
            <w:pPr>
              <w:pStyle w:val="BodyText"/>
              <w:rPr>
                <w:lang w:val="en-NZ"/>
              </w:rPr>
            </w:pPr>
            <w:r w:rsidRPr="00FA1C61">
              <w:t>MEM09002B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C61">
            <w:pPr>
              <w:pStyle w:val="BodyText"/>
              <w:rPr>
                <w:lang w:val="en-NZ"/>
              </w:rPr>
            </w:pPr>
            <w:r w:rsidRPr="00FA1C61">
              <w:t>Interpret technical drawing</w:t>
            </w:r>
          </w:p>
        </w:tc>
      </w:tr>
      <w:tr w:rsidTr="00312CDE">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C61">
            <w:pPr>
              <w:pStyle w:val="BodyText"/>
              <w:rPr>
                <w:lang w:val="en-NZ"/>
              </w:rPr>
            </w:pPr>
            <w:r w:rsidRPr="00FA1C61">
              <w:t>MEM10002B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C61">
            <w:pPr>
              <w:pStyle w:val="BodyText"/>
              <w:rPr>
                <w:lang w:val="en-NZ"/>
              </w:rPr>
            </w:pPr>
            <w:r w:rsidRPr="00FA1C61">
              <w:t>Terminate and connect electrical wiring</w:t>
            </w:r>
          </w:p>
        </w:tc>
      </w:tr>
      <w:tr w:rsidTr="00312CDE">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C61">
            <w:pPr>
              <w:pStyle w:val="BodyText"/>
              <w:rPr>
                <w:lang w:val="en-NZ"/>
              </w:rPr>
            </w:pPr>
            <w:r w:rsidRPr="00FA1C61">
              <w:t>MEM12002B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C61">
            <w:pPr>
              <w:pStyle w:val="BodyText"/>
              <w:rPr>
                <w:lang w:val="en-NZ"/>
              </w:rPr>
            </w:pPr>
            <w:r w:rsidRPr="00FA1C61">
              <w:t>Perform electrical/electronic measurement</w:t>
            </w:r>
          </w:p>
        </w:tc>
      </w:tr>
      <w:tr w:rsidTr="00312CDE">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C61">
            <w:pPr>
              <w:pStyle w:val="BodyText"/>
              <w:rPr>
                <w:lang w:val="en-NZ"/>
              </w:rPr>
            </w:pPr>
            <w:r w:rsidRPr="00FA1C61">
              <w:t>MEM12023A</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C61">
            <w:pPr>
              <w:pStyle w:val="BodyText"/>
              <w:rPr>
                <w:lang w:val="en-NZ"/>
              </w:rPr>
            </w:pPr>
            <w:r w:rsidRPr="00FA1C61">
              <w:t>Perform engineering measurements</w:t>
            </w:r>
          </w:p>
        </w:tc>
      </w:tr>
      <w:tr w:rsidTr="00312CDE">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C61">
            <w:pPr>
              <w:pStyle w:val="BodyText"/>
              <w:rPr>
                <w:lang w:val="en-NZ"/>
              </w:rPr>
            </w:pPr>
            <w:r w:rsidRPr="00FA1C61">
              <w:t>MEM18001C</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C61">
            <w:pPr>
              <w:pStyle w:val="BodyText"/>
              <w:rPr>
                <w:lang w:val="en-NZ"/>
              </w:rPr>
            </w:pPr>
            <w:r w:rsidRPr="00FA1C61">
              <w:t>Use hand tools</w:t>
            </w:r>
          </w:p>
        </w:tc>
      </w:tr>
      <w:tr w:rsidTr="00312CDE">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C61">
            <w:pPr>
              <w:pStyle w:val="BodyText"/>
              <w:rPr>
                <w:lang w:val="en-NZ"/>
              </w:rPr>
            </w:pPr>
            <w:r w:rsidRPr="00FA1C61">
              <w:t>MEM18002B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C61">
            <w:pPr>
              <w:pStyle w:val="BodyText"/>
              <w:rPr>
                <w:lang w:val="en-NZ"/>
              </w:rPr>
            </w:pPr>
            <w:r w:rsidRPr="00FA1C61">
              <w:t>Use power tools/hand held operations</w:t>
            </w:r>
          </w:p>
        </w:tc>
      </w:tr>
      <w:tr w:rsidTr="00312CDE">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C61">
            <w:pPr>
              <w:pStyle w:val="BodyText"/>
              <w:rPr>
                <w:lang w:val="en-NZ"/>
              </w:rPr>
            </w:pPr>
            <w:r w:rsidRPr="00FA1C61">
              <w:t>MEM18049C</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C61">
            <w:pPr>
              <w:pStyle w:val="BodyText"/>
              <w:rPr>
                <w:lang w:val="en-NZ"/>
              </w:rPr>
            </w:pPr>
            <w:r w:rsidRPr="00FA1C61">
              <w:t>Disconnect/reconnect fixed wired equipment up to 1000 volts a.c./1500 volts d.c.</w:t>
            </w:r>
          </w:p>
        </w:tc>
      </w:tr>
      <w:tr w:rsidTr="00312CDE">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C61">
            <w:pPr>
              <w:pStyle w:val="BodyText"/>
              <w:rPr>
                <w:lang w:val="en-NZ"/>
              </w:rPr>
            </w:pPr>
            <w:r w:rsidRPr="00FA1C61">
              <w:t>MEM18055B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C61">
            <w:pPr>
              <w:pStyle w:val="BodyText"/>
              <w:rPr>
                <w:lang w:val="en-NZ"/>
              </w:rPr>
            </w:pPr>
            <w:r w:rsidRPr="00FA1C61">
              <w:t xml:space="preserve">Dismantle, replace and assemble </w:t>
            </w:r>
            <w:r w:rsidRPr="00FA1C61">
              <w:t>engineering components</w:t>
            </w:r>
          </w:p>
        </w:tc>
      </w:tr>
      <w:tr w:rsidTr="00312CDE">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C61">
            <w:pPr>
              <w:pStyle w:val="BodyText"/>
              <w:rPr>
                <w:lang w:val="en-NZ"/>
              </w:rPr>
            </w:pPr>
            <w:r w:rsidRPr="00FA1C61">
              <w:t>MEM18086B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C61">
            <w:pPr>
              <w:pStyle w:val="BodyText"/>
              <w:rPr>
                <w:lang w:val="en-NZ"/>
              </w:rPr>
            </w:pPr>
            <w:r w:rsidRPr="00FA1C61">
              <w:t>Test, recover, evacuate and charge refrigeration systems</w:t>
            </w:r>
          </w:p>
        </w:tc>
      </w:tr>
      <w:tr w:rsidTr="00312CDE">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C61">
            <w:pPr>
              <w:pStyle w:val="BodyText"/>
              <w:rPr>
                <w:lang w:val="en-NZ"/>
              </w:rPr>
            </w:pPr>
            <w:r w:rsidRPr="00FA1C61">
              <w:rPr>
                <w:rStyle w:val="SpecialBold"/>
              </w:rPr>
              <w:t>Path 2</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C61">
            <w:pPr>
              <w:pStyle w:val="BodyText"/>
              <w:rPr>
                <w:lang w:val="en-NZ"/>
              </w:rPr>
            </w:pPr>
            <w:r w:rsidRPr="00FA1C61">
              <w:t>MEM09002B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C61">
            <w:pPr>
              <w:pStyle w:val="BodyText"/>
              <w:rPr>
                <w:lang w:val="en-NZ"/>
              </w:rPr>
            </w:pPr>
            <w:r w:rsidRPr="00FA1C61">
              <w:t>Interpret technical drawing</w:t>
            </w:r>
          </w:p>
        </w:tc>
      </w:tr>
      <w:tr w:rsidTr="00312CDE">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C61">
            <w:pPr>
              <w:pStyle w:val="BodyText"/>
              <w:rPr>
                <w:lang w:val="en-NZ"/>
              </w:rPr>
            </w:pPr>
            <w:r w:rsidRPr="00FA1C61">
              <w:t>MEM12023A</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C61">
            <w:pPr>
              <w:pStyle w:val="BodyText"/>
              <w:rPr>
                <w:lang w:val="en-NZ"/>
              </w:rPr>
            </w:pPr>
            <w:r w:rsidRPr="00FA1C61">
              <w:t>Perform engineering measurements</w:t>
            </w:r>
          </w:p>
        </w:tc>
      </w:tr>
      <w:tr w:rsidTr="00312CDE">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C61">
            <w:pPr>
              <w:pStyle w:val="BodyText"/>
              <w:rPr>
                <w:lang w:val="en-NZ"/>
              </w:rPr>
            </w:pPr>
            <w:r w:rsidRPr="00FA1C61">
              <w:t>MEM13007B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C61">
            <w:pPr>
              <w:pStyle w:val="BodyText"/>
              <w:rPr>
                <w:lang w:val="en-NZ"/>
              </w:rPr>
            </w:pPr>
            <w:r w:rsidRPr="00FA1C61">
              <w:t>Maintain water treatment systems for cooling towers</w:t>
            </w:r>
          </w:p>
        </w:tc>
      </w:tr>
      <w:tr w:rsidTr="00312CDE">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C61">
            <w:pPr>
              <w:pStyle w:val="BodyText"/>
              <w:rPr>
                <w:lang w:val="en-NZ"/>
              </w:rPr>
            </w:pPr>
            <w:r w:rsidRPr="00FA1C61">
              <w:t>MEM18001C</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C61">
            <w:pPr>
              <w:pStyle w:val="BodyText"/>
              <w:rPr>
                <w:lang w:val="en-NZ"/>
              </w:rPr>
            </w:pPr>
            <w:r w:rsidRPr="00FA1C61">
              <w:t>Use hand tools</w:t>
            </w:r>
          </w:p>
        </w:tc>
      </w:tr>
      <w:tr w:rsidTr="00312CDE">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C61">
            <w:pPr>
              <w:pStyle w:val="BodyText"/>
              <w:rPr>
                <w:lang w:val="en-NZ"/>
              </w:rPr>
            </w:pPr>
            <w:r w:rsidRPr="00FA1C61">
              <w:t>MEM18002B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C61">
            <w:pPr>
              <w:pStyle w:val="BodyText"/>
              <w:rPr>
                <w:lang w:val="en-NZ"/>
              </w:rPr>
            </w:pPr>
            <w:r w:rsidRPr="00FA1C61">
              <w:t>Use power tools/hand held operations</w:t>
            </w:r>
          </w:p>
        </w:tc>
      </w:tr>
      <w:tr w:rsidTr="00312CDE">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C61">
            <w:pPr>
              <w:pStyle w:val="BodyText"/>
              <w:rPr>
                <w:lang w:val="en-NZ"/>
              </w:rPr>
            </w:pPr>
            <w:r w:rsidRPr="00FA1C61">
              <w:t>MEM18055B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C61">
            <w:pPr>
              <w:pStyle w:val="BodyText"/>
              <w:rPr>
                <w:lang w:val="en-NZ"/>
              </w:rPr>
            </w:pPr>
            <w:r w:rsidRPr="00FA1C61">
              <w:t>Dismantle, replace and assemble engineering components</w:t>
            </w:r>
          </w:p>
        </w:tc>
      </w:tr>
      <w:tr w:rsidTr="00312CDE">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C61">
            <w:pPr>
              <w:pStyle w:val="BodyText"/>
              <w:rPr>
                <w:lang w:val="en-NZ"/>
              </w:rPr>
            </w:pPr>
            <w:r w:rsidRPr="00FA1C61">
              <w:t>MEM18086B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C61" w:rsidP="00FA1C61">
            <w:pPr>
              <w:pStyle w:val="BodyText"/>
            </w:pPr>
            <w:r w:rsidRPr="00FA1C61">
              <w:t>Test, recover, evacuate and charge refrigeration systems</w:t>
            </w:r>
          </w:p>
        </w:tc>
      </w:tr>
    </w:tbl>
    <w:p w:rsidR="00312CDE" w:rsidP="00FA1C61">
      <w:pPr>
        <w:pStyle w:val="BodyText"/>
      </w:pPr>
    </w:p>
    <w:p w:rsidR="00312CDE" w:rsidP="00FA1C61">
      <w:pPr>
        <w:pStyle w:val="BodyText"/>
      </w:pPr>
    </w:p>
    <w:p w:rsidR="00000000" w:rsidRPr="00FA1C61" w:rsidP="00FA1C61">
      <w:pPr>
        <w:pStyle w:val="Heading1"/>
      </w:pPr>
      <w:bookmarkStart w:id="6" w:name="O_212532"/>
      <w:bookmarkEnd w:id="6"/>
      <w:r w:rsidRPr="00FA1C61">
        <w:t>Employability Skills Information</w:t>
      </w:r>
    </w:p>
    <w:tbl>
      <w:tblPr>
        <w:tblW w:w="0" w:type="auto"/>
        <w:tblLayout w:type="fixed"/>
        <w:tblCellMar>
          <w:left w:w="62" w:type="dxa"/>
          <w:right w:w="62" w:type="dxa"/>
        </w:tblCellMar>
        <w:tblLook w:val="0000"/>
      </w:tblPr>
      <w:tblGrid>
        <w:gridCol w:w="2802"/>
        <w:gridCol w:w="5720"/>
      </w:tblGrid>
      <w:tr w:rsidTr="00312CD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C61">
            <w:pPr>
              <w:pStyle w:val="BodyText"/>
              <w:rPr>
                <w:lang w:val="en-NZ"/>
              </w:rPr>
            </w:pPr>
            <w:r w:rsidRPr="00FA1C6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C61" w:rsidP="00FA1C61">
            <w:pPr>
              <w:pStyle w:val="BodyText"/>
            </w:pPr>
            <w:r w:rsidRPr="00FA1C61">
              <w:t>This unit contains employability skills.</w:t>
            </w:r>
          </w:p>
        </w:tc>
      </w:tr>
    </w:tbl>
    <w:p w:rsidR="00312CDE" w:rsidP="00FA1C61">
      <w:pPr>
        <w:pStyle w:val="BodyText"/>
      </w:pPr>
    </w:p>
    <w:p w:rsidR="00312CDE" w:rsidP="00FA1C61">
      <w:pPr>
        <w:pStyle w:val="BodyText"/>
      </w:pPr>
    </w:p>
    <w:p w:rsidR="00000000" w:rsidRPr="00FA1C61" w:rsidP="00FA1C61">
      <w:pPr>
        <w:pStyle w:val="Heading1"/>
      </w:pPr>
      <w:bookmarkStart w:id="7" w:name="O_290345"/>
      <w:bookmarkEnd w:id="7"/>
      <w:r w:rsidRPr="00FA1C61">
        <w:t>Elements and Performance Criteria Pre-Content</w:t>
      </w:r>
    </w:p>
    <w:tbl>
      <w:tblPr>
        <w:tblW w:w="0" w:type="auto"/>
        <w:tblLayout w:type="fixed"/>
        <w:tblCellMar>
          <w:left w:w="62" w:type="dxa"/>
          <w:right w:w="62" w:type="dxa"/>
        </w:tblCellMar>
        <w:tblLook w:val="0000"/>
      </w:tblPr>
      <w:tblGrid>
        <w:gridCol w:w="2642"/>
        <w:gridCol w:w="5880"/>
      </w:tblGrid>
      <w:tr w:rsidTr="00312CDE">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C61">
            <w:pPr>
              <w:pStyle w:val="BodyText"/>
              <w:rPr>
                <w:lang w:val="en-NZ"/>
              </w:rPr>
            </w:pPr>
            <w:r w:rsidRPr="00FA1C61">
              <w:t>Elements describe the essential outcomes of a unit of competency.</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C61" w:rsidP="00FA1C61">
            <w:pPr>
              <w:pStyle w:val="BodyText"/>
            </w:pPr>
            <w:r w:rsidRPr="00FA1C61">
              <w:t>Performance criteria</w:t>
            </w:r>
            <w:r w:rsidRPr="00FA1C61">
              <w:t xml:space="preserve"> describe the performance needed to demonstrate achievement of the element. Where bold italicised text is used, further information is detailed in the required skills and knowledge section and the range statement. Assessment of performance is to be consist</w:t>
            </w:r>
            <w:r w:rsidRPr="00FA1C61">
              <w:t>ent with the evidence guide.</w:t>
            </w:r>
          </w:p>
        </w:tc>
      </w:tr>
    </w:tbl>
    <w:p w:rsidR="00000000" w:rsidRPr="00FA1C61" w:rsidP="00FA1C61">
      <w:pPr>
        <w:pStyle w:val="BodyText"/>
      </w:pPr>
    </w:p>
    <w:p w:rsidR="00000000" w:rsidRPr="00FA1C61" w:rsidP="00FA1C61">
      <w:pPr>
        <w:pStyle w:val="AllowPageBreak"/>
      </w:pPr>
    </w:p>
    <w:p w:rsidR="00000000" w:rsidRPr="00FA1C61" w:rsidP="00FA1C61">
      <w:pPr>
        <w:pStyle w:val="Heading1"/>
      </w:pPr>
      <w:bookmarkStart w:id="8" w:name="O_237012"/>
      <w:bookmarkEnd w:id="8"/>
      <w:r w:rsidRPr="00FA1C61">
        <w:t>Elements and Performance Criteria</w:t>
      </w:r>
    </w:p>
    <w:tbl>
      <w:tblPr>
        <w:tblW w:w="0" w:type="auto"/>
        <w:tblLayout w:type="fixed"/>
        <w:tblCellMar>
          <w:left w:w="62" w:type="dxa"/>
          <w:right w:w="62" w:type="dxa"/>
        </w:tblCellMar>
        <w:tblLook w:val="0000"/>
      </w:tblPr>
      <w:tblGrid>
        <w:gridCol w:w="2642"/>
        <w:gridCol w:w="5880"/>
      </w:tblGrid>
      <w:tr w:rsidTr="00312CDE">
        <w:tblPrEx>
          <w:tblW w:w="0" w:type="auto"/>
          <w:tblLayout w:type="fixed"/>
          <w:tblCellMar>
            <w:left w:w="62" w:type="dxa"/>
            <w:right w:w="62" w:type="dxa"/>
          </w:tblCellMar>
          <w:tblLook w:val="0000"/>
        </w:tblPrEx>
        <w:trPr>
          <w:tblHeader/>
        </w:trPr>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C61" w:rsidP="00FA1C61">
            <w:pPr>
              <w:pStyle w:val="BodyText"/>
            </w:pPr>
            <w:r w:rsidRPr="00FA1C61">
              <w:rPr>
                <w:rStyle w:val="SpecialBold"/>
              </w:rPr>
              <w:t>ELEMENT</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C61">
            <w:pPr>
              <w:pStyle w:val="BodyText"/>
              <w:rPr>
                <w:lang w:val="en-NZ"/>
              </w:rPr>
            </w:pPr>
            <w:r w:rsidRPr="00FA1C61">
              <w:rPr>
                <w:rStyle w:val="SpecialBold"/>
              </w:rPr>
              <w:t>PERFORMANCE CRITERIA</w:t>
            </w:r>
          </w:p>
        </w:tc>
      </w:tr>
      <w:tr w:rsidTr="00312CDE">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C61">
            <w:pPr>
              <w:pStyle w:val="List"/>
              <w:rPr>
                <w:lang w:val="en-NZ"/>
              </w:rPr>
            </w:pPr>
            <w:r w:rsidRPr="00FA1C61">
              <w:t>1.</w:t>
            </w:r>
            <w:r w:rsidRPr="00FA1C61">
              <w:tab/>
              <w:t xml:space="preserve">Undertake preventive maintenance checks/adjustment on large central air handling systems </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C61" w:rsidP="00FA1C61">
            <w:pPr>
              <w:pStyle w:val="List2"/>
            </w:pPr>
            <w:r w:rsidRPr="00FA1C61">
              <w:t>1.1.</w:t>
            </w:r>
            <w:r w:rsidRPr="00FA1C61">
              <w:tab/>
            </w:r>
            <w:r w:rsidRPr="00FA1C61">
              <w:t>The temperature, humidity, quality, pressure and flow of air delivered to zones by the air handling system are checked for conformance to specification.</w:t>
            </w:r>
          </w:p>
          <w:p w:rsidR="00000000" w:rsidRPr="00FA1C61" w:rsidP="00FA1C61">
            <w:pPr>
              <w:pStyle w:val="List2"/>
            </w:pPr>
            <w:r w:rsidRPr="00FA1C61">
              <w:t>1.2.</w:t>
            </w:r>
            <w:r w:rsidRPr="00FA1C61">
              <w:tab/>
              <w:t>The noise/vibration levels of the air handling sub-systems are checked for conformance to specific</w:t>
            </w:r>
            <w:r w:rsidRPr="00FA1C61">
              <w:t>ation.</w:t>
            </w:r>
          </w:p>
          <w:p w:rsidR="00000000" w:rsidP="00FA1C61">
            <w:pPr>
              <w:pStyle w:val="List2"/>
              <w:rPr>
                <w:lang w:val="en-NZ"/>
              </w:rPr>
            </w:pPr>
            <w:r w:rsidRPr="00FA1C61">
              <w:t>1.3.</w:t>
            </w:r>
            <w:r w:rsidRPr="00FA1C61">
              <w:tab/>
              <w:t>Preventative maintenance tasks are performed according to manufacturers' specifications using appropriate refrigeration and air conditioning techniques/practices.</w:t>
            </w:r>
          </w:p>
        </w:tc>
      </w:tr>
      <w:tr w:rsidTr="00312CDE">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C61">
            <w:pPr>
              <w:pStyle w:val="List"/>
              <w:rPr>
                <w:lang w:val="en-NZ"/>
              </w:rPr>
            </w:pPr>
            <w:r w:rsidRPr="00FA1C61">
              <w:t>2.</w:t>
            </w:r>
            <w:r w:rsidRPr="00FA1C61">
              <w:tab/>
              <w:t>Undertake fault finding on large central air handling systems</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C61" w:rsidP="00FA1C61">
            <w:pPr>
              <w:pStyle w:val="List2"/>
            </w:pPr>
            <w:r w:rsidRPr="00FA1C61">
              <w:t>2.1.</w:t>
            </w:r>
            <w:r w:rsidRPr="00FA1C61">
              <w:tab/>
              <w:t>Components</w:t>
            </w:r>
            <w:r w:rsidRPr="00FA1C61">
              <w:t xml:space="preserve"> of sub-systems are correctly identified.</w:t>
            </w:r>
          </w:p>
          <w:p w:rsidR="00000000" w:rsidRPr="00FA1C61" w:rsidP="00FA1C61">
            <w:pPr>
              <w:pStyle w:val="List2"/>
            </w:pPr>
            <w:r w:rsidRPr="00FA1C61">
              <w:t>2.2.</w:t>
            </w:r>
            <w:r w:rsidRPr="00FA1C61">
              <w:tab/>
              <w:t>The characteristics and operation of each sub-system component can be explained.</w:t>
            </w:r>
          </w:p>
          <w:p w:rsidR="00000000" w:rsidRPr="00FA1C61" w:rsidP="00FA1C61">
            <w:pPr>
              <w:pStyle w:val="List2"/>
            </w:pPr>
            <w:r w:rsidRPr="00FA1C61">
              <w:t>2.3.</w:t>
            </w:r>
            <w:r w:rsidRPr="00FA1C61">
              <w:tab/>
              <w:t>The operational function of each sub-system component is inspected and tested.</w:t>
            </w:r>
          </w:p>
          <w:p w:rsidR="00000000" w:rsidP="00FA1C61">
            <w:pPr>
              <w:pStyle w:val="List2"/>
              <w:rPr>
                <w:lang w:val="en-NZ"/>
              </w:rPr>
            </w:pPr>
            <w:r w:rsidRPr="00FA1C61">
              <w:t>2.4.</w:t>
            </w:r>
            <w:r w:rsidRPr="00FA1C61">
              <w:tab/>
              <w:t xml:space="preserve">Correct operation of each component is </w:t>
            </w:r>
            <w:r w:rsidRPr="00FA1C61">
              <w:t>assessed against specification.</w:t>
            </w:r>
          </w:p>
        </w:tc>
      </w:tr>
      <w:tr w:rsidTr="00312CDE">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C61">
            <w:pPr>
              <w:pStyle w:val="List"/>
              <w:rPr>
                <w:lang w:val="en-NZ"/>
              </w:rPr>
            </w:pPr>
            <w:r w:rsidRPr="00FA1C61">
              <w:t>3.</w:t>
            </w:r>
            <w:r w:rsidRPr="00FA1C61">
              <w:tab/>
              <w:t>Repair/replace faulty air handling components</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C61" w:rsidP="00FA1C61">
            <w:pPr>
              <w:pStyle w:val="List2"/>
            </w:pPr>
            <w:r w:rsidRPr="00FA1C61">
              <w:t>3.1.</w:t>
            </w:r>
            <w:r w:rsidRPr="00FA1C61">
              <w:tab/>
              <w:t>Faulty components are localised and malfunction is confirmed by inspection and testing using air conditioning principles, procedures and safety requirements.</w:t>
            </w:r>
          </w:p>
          <w:p w:rsidR="00000000" w:rsidRPr="00FA1C61" w:rsidP="00FA1C61">
            <w:pPr>
              <w:pStyle w:val="List2"/>
            </w:pPr>
            <w:r w:rsidRPr="00FA1C61">
              <w:t>3.2.</w:t>
            </w:r>
            <w:r w:rsidRPr="00FA1C61">
              <w:tab/>
              <w:t>Faulty</w:t>
            </w:r>
            <w:r w:rsidRPr="00FA1C61">
              <w:t xml:space="preserve"> components are dismantled and repaired to manufacturer' specifications as required.</w:t>
            </w:r>
          </w:p>
          <w:p w:rsidR="00000000" w:rsidP="00FA1C61">
            <w:pPr>
              <w:pStyle w:val="List2"/>
              <w:rPr>
                <w:lang w:val="en-NZ"/>
              </w:rPr>
            </w:pPr>
            <w:r w:rsidRPr="00FA1C61">
              <w:t>3.3.</w:t>
            </w:r>
            <w:r w:rsidRPr="00FA1C61">
              <w:tab/>
              <w:t>Replacement parts are selected from manufacturers' catalogues according to required specifications.</w:t>
            </w:r>
          </w:p>
        </w:tc>
      </w:tr>
      <w:tr w:rsidTr="00312CDE">
        <w:tblPrEx>
          <w:tblW w:w="0" w:type="auto"/>
          <w:tblLayout w:type="fixed"/>
          <w:tblCellMar>
            <w:left w:w="62" w:type="dxa"/>
            <w:right w:w="62" w:type="dxa"/>
          </w:tblCellMar>
          <w:tblLook w:val="0000"/>
        </w:tblPrEx>
        <w:tc>
          <w:tcPr>
            <w:tcW w:w="2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C61">
            <w:pPr>
              <w:pStyle w:val="List"/>
              <w:rPr>
                <w:lang w:val="en-NZ"/>
              </w:rPr>
            </w:pPr>
            <w:r w:rsidRPr="00FA1C61">
              <w:t>4.</w:t>
            </w:r>
            <w:r w:rsidRPr="00FA1C61">
              <w:tab/>
              <w:t>Return to service large central air handling systems</w:t>
            </w:r>
          </w:p>
        </w:tc>
        <w:tc>
          <w:tcPr>
            <w:tcW w:w="5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C61" w:rsidP="00FA1C61">
            <w:pPr>
              <w:pStyle w:val="List2"/>
            </w:pPr>
            <w:r w:rsidRPr="00FA1C61">
              <w:t>4.1.</w:t>
            </w:r>
            <w:r w:rsidRPr="00FA1C61">
              <w:tab/>
            </w:r>
            <w:r w:rsidRPr="00FA1C61">
              <w:t>Components are reassembled and tested for correct operation and assessed against specification.</w:t>
            </w:r>
          </w:p>
          <w:p w:rsidR="00000000" w:rsidRPr="00FA1C61" w:rsidP="00FA1C61">
            <w:pPr>
              <w:pStyle w:val="List2"/>
            </w:pPr>
            <w:r w:rsidRPr="00FA1C61">
              <w:t>4.2.</w:t>
            </w:r>
            <w:r w:rsidRPr="00FA1C61">
              <w:tab/>
              <w:t>Correct operation of the equipment is verified using air handling principles and techniques.</w:t>
            </w:r>
          </w:p>
          <w:p w:rsidR="00000000" w:rsidRPr="00FA1C61" w:rsidP="00FA1C61">
            <w:pPr>
              <w:pStyle w:val="List2"/>
            </w:pPr>
            <w:r w:rsidRPr="00FA1C61">
              <w:t>4.3.</w:t>
            </w:r>
            <w:r w:rsidRPr="00FA1C61">
              <w:tab/>
              <w:t>Maintenance records/service reports are completed by appr</w:t>
            </w:r>
            <w:r w:rsidRPr="00FA1C61">
              <w:t>opriate designated means.</w:t>
            </w:r>
          </w:p>
        </w:tc>
      </w:tr>
    </w:tbl>
    <w:p w:rsidR="00312CDE" w:rsidP="00FA1C61">
      <w:pPr>
        <w:pStyle w:val="BodyText"/>
      </w:pPr>
    </w:p>
    <w:p w:rsidR="00312CDE" w:rsidP="00FA1C61">
      <w:pPr>
        <w:pStyle w:val="BodyText"/>
      </w:pPr>
    </w:p>
    <w:p w:rsidR="00000000" w:rsidRPr="00FA1C61" w:rsidP="00FA1C61">
      <w:pPr>
        <w:pStyle w:val="Heading1"/>
      </w:pPr>
      <w:bookmarkStart w:id="9" w:name="O_260962"/>
      <w:bookmarkEnd w:id="9"/>
      <w:r w:rsidRPr="00FA1C61">
        <w:t>Required Skills and Knowledge</w:t>
      </w:r>
    </w:p>
    <w:tbl>
      <w:tblPr>
        <w:tblW w:w="0" w:type="auto"/>
        <w:tblLayout w:type="fixed"/>
        <w:tblCellMar>
          <w:left w:w="62" w:type="dxa"/>
          <w:right w:w="62" w:type="dxa"/>
        </w:tblCellMar>
        <w:tblLook w:val="0000"/>
      </w:tblPr>
      <w:tblGrid>
        <w:gridCol w:w="8522"/>
      </w:tblGrid>
      <w:tr w:rsidTr="00312CD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A1C61">
            <w:pPr>
              <w:pStyle w:val="BodyText"/>
              <w:rPr>
                <w:lang w:val="en-NZ"/>
              </w:rPr>
            </w:pPr>
            <w:r w:rsidRPr="00FA1C61">
              <w:rPr>
                <w:rStyle w:val="SpecialBold"/>
              </w:rPr>
              <w:t>REQUIRED SKILLS AND KNOWLEDGE</w:t>
            </w:r>
          </w:p>
        </w:tc>
      </w:tr>
      <w:tr w:rsidTr="00312CD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A1C61">
            <w:pPr>
              <w:pStyle w:val="BodyText"/>
              <w:rPr>
                <w:lang w:val="en-NZ"/>
              </w:rPr>
            </w:pPr>
            <w:r w:rsidRPr="00FA1C61">
              <w:t>This section describes the skills and knowledge required for this unit.</w:t>
            </w:r>
          </w:p>
        </w:tc>
      </w:tr>
      <w:tr w:rsidTr="00312C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C61">
            <w:pPr>
              <w:pStyle w:val="BodyText"/>
              <w:rPr>
                <w:lang w:val="en-NZ"/>
              </w:rPr>
            </w:pPr>
            <w:r w:rsidRPr="00FA1C61">
              <w:rPr>
                <w:rStyle w:val="SpecialBold"/>
              </w:rPr>
              <w:t>Required skills</w:t>
            </w:r>
          </w:p>
        </w:tc>
      </w:tr>
      <w:tr w:rsidTr="00312C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C61" w:rsidP="00FA1C61">
            <w:pPr>
              <w:pStyle w:val="BodyText"/>
            </w:pPr>
            <w:r w:rsidRPr="00FA1C61">
              <w:t>Look for evidence that confirms skills in:</w:t>
            </w:r>
          </w:p>
          <w:p w:rsidR="00000000" w:rsidRPr="00FA1C61" w:rsidP="00FA1C61">
            <w:pPr>
              <w:pStyle w:val="ListBullet"/>
            </w:pPr>
            <w:r w:rsidRPr="00FA1C61">
              <w:t>using tools, techniques and equipment necessary to check large central air conditioning system, sub-systems and components for correct operation</w:t>
            </w:r>
          </w:p>
          <w:p w:rsidR="00000000" w:rsidRPr="00FA1C61" w:rsidP="00FA1C61">
            <w:pPr>
              <w:pStyle w:val="ListBullet"/>
            </w:pPr>
            <w:r w:rsidRPr="00FA1C61">
              <w:t>obtaining, reading and interpreting specifications</w:t>
            </w:r>
          </w:p>
          <w:p w:rsidR="00000000" w:rsidRPr="00FA1C61" w:rsidP="00FA1C61">
            <w:pPr>
              <w:pStyle w:val="ListBullet"/>
            </w:pPr>
            <w:r w:rsidRPr="00FA1C61">
              <w:t>comparing system, sub-systems and component performance/oper</w:t>
            </w:r>
            <w:r w:rsidRPr="00FA1C61">
              <w:t>ation against specification</w:t>
            </w:r>
          </w:p>
          <w:p w:rsidR="00000000" w:rsidRPr="00FA1C61" w:rsidP="00FA1C61">
            <w:pPr>
              <w:pStyle w:val="ListBullet"/>
            </w:pPr>
            <w:r w:rsidRPr="00FA1C61">
              <w:t>identifying faulty components and non-compliances</w:t>
            </w:r>
          </w:p>
          <w:p w:rsidR="00000000" w:rsidRPr="00FA1C61" w:rsidP="00FA1C61">
            <w:pPr>
              <w:pStyle w:val="ListBullet"/>
            </w:pPr>
            <w:r w:rsidRPr="00FA1C61">
              <w:t>making required adjustments to achieve specifications</w:t>
            </w:r>
          </w:p>
          <w:p w:rsidR="00000000" w:rsidRPr="00FA1C61" w:rsidP="00FA1C61">
            <w:pPr>
              <w:pStyle w:val="ListBullet"/>
            </w:pPr>
            <w:r w:rsidRPr="00FA1C61">
              <w:t>sourcing and using relevant catalogues/lists</w:t>
            </w:r>
          </w:p>
          <w:p w:rsidR="00000000" w:rsidRPr="00FA1C61" w:rsidP="00FA1C61">
            <w:pPr>
              <w:pStyle w:val="ListBullet"/>
            </w:pPr>
            <w:r w:rsidRPr="00FA1C61">
              <w:t>applying safety procedures, standard operating procedures and legislative requi</w:t>
            </w:r>
            <w:r w:rsidRPr="00FA1C61">
              <w:t>rements to all work undertaken</w:t>
            </w:r>
          </w:p>
          <w:p w:rsidR="00000000" w:rsidRPr="00FA1C61" w:rsidP="00FA1C61">
            <w:pPr>
              <w:pStyle w:val="ListBullet"/>
            </w:pPr>
            <w:r w:rsidRPr="00FA1C61">
              <w:t>documenting results of the adjustments</w:t>
            </w:r>
          </w:p>
          <w:p w:rsidR="00000000" w:rsidRPr="00FA1C61" w:rsidP="00FA1C61">
            <w:pPr>
              <w:pStyle w:val="ListBullet"/>
            </w:pPr>
            <w:r w:rsidRPr="00FA1C61">
              <w:t>reading, interpreting and following information on written job instructions, specifications, standard operating procedures, charts, lists, drawings and other applicable reference documen</w:t>
            </w:r>
            <w:r w:rsidRPr="00FA1C61">
              <w:t>ts</w:t>
            </w:r>
          </w:p>
          <w:p w:rsidR="00000000" w:rsidRPr="00FA1C61" w:rsidP="00FA1C61">
            <w:pPr>
              <w:pStyle w:val="ListBullet"/>
            </w:pPr>
            <w:r w:rsidRPr="00FA1C61">
              <w:t>planning and sequencing operations</w:t>
            </w:r>
          </w:p>
          <w:p w:rsidR="00000000" w:rsidRPr="00FA1C61" w:rsidP="00FA1C61">
            <w:pPr>
              <w:pStyle w:val="ListBullet"/>
            </w:pPr>
            <w:r w:rsidRPr="00FA1C61">
              <w:t>checking task-related information</w:t>
            </w:r>
          </w:p>
          <w:p w:rsidR="00000000" w:rsidRPr="00FA1C61" w:rsidP="00FA1C61">
            <w:pPr>
              <w:pStyle w:val="ListBullet"/>
            </w:pPr>
            <w:r w:rsidRPr="00FA1C61">
              <w:t>undertaking calculations and numerical operations within the scope of this unit</w:t>
            </w:r>
          </w:p>
          <w:p w:rsidR="00000000" w:rsidP="00FA1C61">
            <w:pPr>
              <w:pStyle w:val="ListBullet"/>
              <w:rPr>
                <w:lang w:val="en-NZ"/>
              </w:rPr>
            </w:pPr>
            <w:r w:rsidRPr="00FA1C61">
              <w:t>using tools, techniques and equipment necessary to check large central air conditioning system, sub-syst</w:t>
            </w:r>
            <w:r w:rsidRPr="00FA1C61">
              <w:t>ems and components for correct operation</w:t>
            </w:r>
          </w:p>
        </w:tc>
      </w:tr>
      <w:tr w:rsidTr="00312C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C61">
            <w:pPr>
              <w:pStyle w:val="BodyText"/>
              <w:rPr>
                <w:lang w:val="en-NZ"/>
              </w:rPr>
            </w:pPr>
            <w:r w:rsidRPr="00FA1C61">
              <w:rPr>
                <w:rStyle w:val="SpecialBold"/>
              </w:rPr>
              <w:t>Required knowledge</w:t>
            </w:r>
          </w:p>
        </w:tc>
      </w:tr>
      <w:tr w:rsidTr="00312C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C61" w:rsidP="00FA1C61">
            <w:pPr>
              <w:pStyle w:val="BodyText"/>
            </w:pPr>
            <w:r w:rsidRPr="00FA1C61">
              <w:t>Look for evidence that confirms knowledge of:</w:t>
            </w:r>
          </w:p>
          <w:p w:rsidR="00000000" w:rsidRPr="00FA1C61" w:rsidP="00FA1C61">
            <w:pPr>
              <w:pStyle w:val="ListBullet"/>
            </w:pPr>
            <w:r w:rsidRPr="00FA1C61">
              <w:t>appropriate measuring instruments/equipment and specifications for checking humidity, air temperatures, air flows, air quality and air pressure</w:t>
            </w:r>
          </w:p>
          <w:p w:rsidR="00000000" w:rsidRPr="00FA1C61" w:rsidP="00FA1C61">
            <w:pPr>
              <w:pStyle w:val="ListBullet"/>
            </w:pPr>
            <w:r w:rsidRPr="00FA1C61">
              <w:t>procedures for reporting non-conformances</w:t>
            </w:r>
          </w:p>
          <w:p w:rsidR="00000000" w:rsidRPr="00FA1C61" w:rsidP="00FA1C61">
            <w:pPr>
              <w:pStyle w:val="ListBullet"/>
            </w:pPr>
            <w:r w:rsidRPr="00FA1C61">
              <w:t>measuring instruments/equipment and specifications required for checking sub-system noise and vibration levels</w:t>
            </w:r>
          </w:p>
          <w:p w:rsidR="00000000" w:rsidRPr="00FA1C61" w:rsidP="00FA1C61">
            <w:pPr>
              <w:pStyle w:val="ListBullet"/>
            </w:pPr>
            <w:r w:rsidRPr="00FA1C61">
              <w:t>procedures and sequence for performing preventative maintenance on an air conditioning system</w:t>
            </w:r>
          </w:p>
          <w:p w:rsidR="00000000" w:rsidRPr="00FA1C61" w:rsidP="00FA1C61">
            <w:pPr>
              <w:pStyle w:val="ListBullet"/>
            </w:pPr>
            <w:r w:rsidRPr="00FA1C61">
              <w:t>specifica</w:t>
            </w:r>
            <w:r w:rsidRPr="00FA1C61">
              <w:t>tions of and process for identifying primary and secondary refrigerant, or air distribution/reticulation systems</w:t>
            </w:r>
          </w:p>
          <w:p w:rsidR="00000000" w:rsidRPr="00FA1C61" w:rsidP="00FA1C61">
            <w:pPr>
              <w:pStyle w:val="ListBullet"/>
            </w:pPr>
            <w:r w:rsidRPr="00FA1C61">
              <w:t>operational characteristics of each sub-system component</w:t>
            </w:r>
          </w:p>
          <w:p w:rsidR="00000000" w:rsidRPr="00FA1C61" w:rsidP="00FA1C61">
            <w:pPr>
              <w:pStyle w:val="ListBullet"/>
            </w:pPr>
            <w:r w:rsidRPr="00FA1C61">
              <w:t>procedures and specifications for inspecting and testing each sub-system component</w:t>
            </w:r>
          </w:p>
          <w:p w:rsidR="00000000" w:rsidRPr="00FA1C61" w:rsidP="00FA1C61">
            <w:pPr>
              <w:pStyle w:val="ListBullet"/>
            </w:pPr>
            <w:r w:rsidRPr="00FA1C61">
              <w:t>pro</w:t>
            </w:r>
            <w:r w:rsidRPr="00FA1C61">
              <w:t>cess for localising and confirming faulty components</w:t>
            </w:r>
          </w:p>
          <w:p w:rsidR="00000000" w:rsidRPr="00FA1C61" w:rsidP="00FA1C61">
            <w:pPr>
              <w:pStyle w:val="ListBullet"/>
            </w:pPr>
            <w:r w:rsidRPr="00FA1C61">
              <w:t>procedures for dismantling and repairing faulty components</w:t>
            </w:r>
          </w:p>
          <w:p w:rsidR="00000000" w:rsidRPr="00FA1C61" w:rsidP="00FA1C61">
            <w:pPr>
              <w:pStyle w:val="ListBullet"/>
            </w:pPr>
            <w:r w:rsidRPr="00FA1C61">
              <w:t>procedures for selecting replacement parts</w:t>
            </w:r>
          </w:p>
          <w:p w:rsidR="00000000" w:rsidRPr="00FA1C61" w:rsidP="00FA1C61">
            <w:pPr>
              <w:pStyle w:val="ListBullet"/>
            </w:pPr>
            <w:r w:rsidRPr="00FA1C61">
              <w:t>procedures for completing maintenance records/service reports</w:t>
            </w:r>
          </w:p>
          <w:p w:rsidR="00000000" w:rsidRPr="00FA1C61" w:rsidP="00FA1C61">
            <w:pPr>
              <w:pStyle w:val="ListBullet"/>
            </w:pPr>
            <w:r w:rsidRPr="00FA1C61">
              <w:t>hazards and control measures associated</w:t>
            </w:r>
            <w:r w:rsidRPr="00FA1C61">
              <w:t xml:space="preserve"> with maintaining and repairing large central air handling systems</w:t>
            </w:r>
          </w:p>
          <w:p w:rsidR="00000000" w:rsidRPr="00FA1C61" w:rsidP="00FA1C61">
            <w:pPr>
              <w:pStyle w:val="ListBullet"/>
            </w:pPr>
            <w:r w:rsidRPr="00FA1C61">
              <w:t>safe work practices and procedures</w:t>
            </w:r>
          </w:p>
          <w:p w:rsidR="00000000" w:rsidRPr="00FA1C61" w:rsidP="00FA1C61">
            <w:pPr>
              <w:pStyle w:val="ListBullet"/>
            </w:pPr>
            <w:r w:rsidRPr="00FA1C61">
              <w:t>codes and regulations relevant to the refrigeration/air conditioning industry including environmental and ozone and greenhouse substance legislation</w:t>
            </w:r>
          </w:p>
        </w:tc>
      </w:tr>
    </w:tbl>
    <w:p w:rsidR="00312CDE" w:rsidP="00FA1C61">
      <w:pPr>
        <w:pStyle w:val="BodyText"/>
      </w:pPr>
    </w:p>
    <w:p w:rsidR="00312CDE" w:rsidP="00FA1C61">
      <w:pPr>
        <w:pStyle w:val="BodyText"/>
      </w:pPr>
    </w:p>
    <w:p w:rsidR="00000000" w:rsidRPr="00FA1C61" w:rsidP="00FA1C61">
      <w:pPr>
        <w:pStyle w:val="AllowPageBreak"/>
      </w:pPr>
    </w:p>
    <w:p w:rsidR="00000000" w:rsidRPr="00FA1C61" w:rsidP="00FA1C61">
      <w:pPr>
        <w:pStyle w:val="Heading1"/>
      </w:pPr>
      <w:bookmarkStart w:id="10" w:name="O_244996"/>
      <w:bookmarkEnd w:id="10"/>
      <w:r w:rsidRPr="00FA1C61">
        <w:t>Evidence Guide</w:t>
      </w:r>
    </w:p>
    <w:tbl>
      <w:tblPr>
        <w:tblW w:w="9570" w:type="dxa"/>
        <w:tblLayout w:type="fixed"/>
        <w:tblCellMar>
          <w:left w:w="62" w:type="dxa"/>
          <w:right w:w="62" w:type="dxa"/>
        </w:tblCellMar>
        <w:tblLook w:val="0000"/>
      </w:tblPr>
      <w:tblGrid>
        <w:gridCol w:w="3908"/>
        <w:gridCol w:w="5662"/>
      </w:tblGrid>
      <w:tr w:rsidTr="00312CD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C61">
            <w:pPr>
              <w:pStyle w:val="BodyText"/>
              <w:rPr>
                <w:lang w:val="en-NZ"/>
              </w:rPr>
            </w:pPr>
            <w:r w:rsidRPr="00FA1C61">
              <w:rPr>
                <w:rStyle w:val="SpecialBold"/>
              </w:rPr>
              <w:t>EVIDENCE GUIDE</w:t>
            </w:r>
          </w:p>
        </w:tc>
      </w:tr>
      <w:tr w:rsidTr="00312CD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C61">
            <w:pPr>
              <w:pStyle w:val="BodyText"/>
              <w:rPr>
                <w:lang w:val="en-NZ"/>
              </w:rPr>
            </w:pPr>
            <w:r w:rsidRPr="00FA1C61">
              <w:t xml:space="preserve">The evidence guide provides advice on assessment and must be read in conjunction with the performance criteria, required skills and knowledge, </w:t>
            </w:r>
            <w:r w:rsidRPr="00FA1C61">
              <w:t>range statement and the Assessment Guidelines for the Training Package.</w:t>
            </w:r>
          </w:p>
        </w:tc>
      </w:tr>
      <w:tr w:rsidTr="00312C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C61">
            <w:pPr>
              <w:pStyle w:val="BodyText"/>
              <w:rPr>
                <w:lang w:val="en-NZ"/>
              </w:rPr>
            </w:pPr>
            <w:r w:rsidRPr="00FA1C6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C61">
            <w:pPr>
              <w:pStyle w:val="BodyText"/>
              <w:rPr>
                <w:lang w:val="en-NZ"/>
              </w:rPr>
            </w:pPr>
            <w:r w:rsidRPr="00FA1C61">
              <w:t xml:space="preserve">A person who demonstrates competency in this unit must be able to maintain and repair large central air handling systems. Competency in this </w:t>
            </w:r>
            <w:r w:rsidRPr="00FA1C61">
              <w:t>unit cannot be claimed until all prerequisites have been satisfied.</w:t>
            </w:r>
          </w:p>
        </w:tc>
      </w:tr>
      <w:tr w:rsidTr="00312C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C61">
            <w:pPr>
              <w:pStyle w:val="BodyText"/>
              <w:rPr>
                <w:lang w:val="en-NZ"/>
              </w:rPr>
            </w:pPr>
            <w:r w:rsidRPr="00FA1C6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C61">
            <w:pPr>
              <w:pStyle w:val="BodyText"/>
              <w:rPr>
                <w:lang w:val="en-NZ"/>
              </w:rPr>
            </w:pPr>
            <w:r w:rsidRPr="00FA1C61">
              <w:t>Assessors must be satisfied that the candidate can competently and consistently perform all el</w:t>
            </w:r>
            <w:r w:rsidRPr="00FA1C61">
              <w:t>ements of the unit as specified by the criteria, including required knowledge, and be capable of applying the competency in new and different situations and contexts.</w:t>
            </w:r>
          </w:p>
        </w:tc>
      </w:tr>
      <w:tr w:rsidTr="00312C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C61">
            <w:pPr>
              <w:pStyle w:val="BodyText"/>
              <w:rPr>
                <w:lang w:val="en-NZ"/>
              </w:rPr>
            </w:pPr>
            <w:r w:rsidRPr="00FA1C6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C61" w:rsidP="00FA1C61">
            <w:pPr>
              <w:pStyle w:val="BodyText"/>
            </w:pPr>
            <w:r w:rsidRPr="00FA1C61">
              <w:t>This unit may be assessed on the job, o</w:t>
            </w:r>
            <w:r w:rsidRPr="00FA1C61">
              <w:t>ff the job or a combination of both on and off the job. Where assessment occurs off the job, that is the candidate is not in productive work, then an appropriate simulation must be used where the range of conditions reflects realistic workplace situations.</w:t>
            </w:r>
            <w:r w:rsidRPr="00FA1C61">
              <w:t xml:space="preserve"> The competencies covered by this unit would be demonstrated by an individual working alone or as part of a team. The assessment environment should not disadvantage the candidate. </w:t>
            </w:r>
          </w:p>
          <w:p w:rsidR="00000000" w:rsidP="00FA1C61">
            <w:pPr>
              <w:pStyle w:val="BodyText"/>
              <w:rPr>
                <w:lang w:val="en-NZ"/>
              </w:rPr>
            </w:pPr>
            <w:r w:rsidRPr="00FA1C61">
              <w:t xml:space="preserve">This unit could be assessed in conjunction with any other units addressing </w:t>
            </w:r>
            <w:r w:rsidRPr="00FA1C61">
              <w:t>the safety, quality, communication, materials handling, recording and reporting associated with the maintenance and repair of large central air handling systems or other units requiring the exercise of the skills and knowledge covered by this unit.</w:t>
            </w:r>
          </w:p>
        </w:tc>
      </w:tr>
      <w:tr w:rsidTr="00312C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C61">
            <w:pPr>
              <w:pStyle w:val="BodyText"/>
              <w:rPr>
                <w:lang w:val="en-NZ"/>
              </w:rPr>
            </w:pPr>
            <w:r w:rsidRPr="00FA1C61">
              <w:rPr>
                <w:rStyle w:val="SpecialBold"/>
              </w:rPr>
              <w:t>Method</w:t>
            </w:r>
            <w:r w:rsidRPr="00FA1C61">
              <w:rPr>
                <w:rStyle w:val="SpecialBold"/>
              </w:rPr>
              <w:t xml:space="preserve">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C61">
            <w:pPr>
              <w:pStyle w:val="BodyText"/>
              <w:rPr>
                <w:lang w:val="en-NZ"/>
              </w:rPr>
            </w:pPr>
            <w:r w:rsidRPr="00FA1C61">
              <w:t>Assessors should gather a range of evidence that is valid, sufficient, current and authentic. Evidence can be gathered through a variety of ways including direct observation, supervisor's reports, project work, samples and questioning. Quest</w:t>
            </w:r>
            <w:r w:rsidRPr="00FA1C61">
              <w:t>ioning techniques should not require language, literacy and numeracy skills beyond those required in this unit of competency. The candidate must have access to all tools, equipment, materials and documentation required. The candidate must be permitted to r</w:t>
            </w:r>
            <w:r w:rsidRPr="00FA1C61">
              <w:t>efer to any relevant workplace procedures, product and manufacturing specifications, codes, standards, manuals and reference materials.</w:t>
            </w:r>
          </w:p>
        </w:tc>
      </w:tr>
      <w:tr w:rsidTr="00312C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C61">
            <w:pPr>
              <w:pStyle w:val="BodyText"/>
              <w:rPr>
                <w:lang w:val="en-NZ"/>
              </w:rPr>
            </w:pPr>
            <w:r w:rsidRPr="00FA1C6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C61" w:rsidP="00FA1C61">
            <w:pPr>
              <w:pStyle w:val="BodyText"/>
            </w:pPr>
          </w:p>
        </w:tc>
      </w:tr>
    </w:tbl>
    <w:p w:rsidR="00312CDE" w:rsidP="00FA1C61">
      <w:pPr>
        <w:pStyle w:val="BodyText"/>
      </w:pPr>
    </w:p>
    <w:p w:rsidR="00312CDE" w:rsidP="00FA1C61">
      <w:pPr>
        <w:pStyle w:val="BodyText"/>
      </w:pPr>
    </w:p>
    <w:p w:rsidR="00000000" w:rsidRPr="00FA1C61" w:rsidP="00FA1C61">
      <w:pPr>
        <w:pStyle w:val="Heading1"/>
      </w:pPr>
      <w:bookmarkStart w:id="11" w:name="O_252979"/>
      <w:bookmarkEnd w:id="11"/>
      <w:r w:rsidRPr="00FA1C61">
        <w:t>Range Statement</w:t>
      </w:r>
    </w:p>
    <w:tbl>
      <w:tblPr>
        <w:tblW w:w="0" w:type="auto"/>
        <w:tblLayout w:type="fixed"/>
        <w:tblCellMar>
          <w:left w:w="62" w:type="dxa"/>
          <w:right w:w="62" w:type="dxa"/>
        </w:tblCellMar>
        <w:tblLook w:val="0000"/>
      </w:tblPr>
      <w:tblGrid>
        <w:gridCol w:w="3531"/>
        <w:gridCol w:w="4991"/>
      </w:tblGrid>
      <w:tr w:rsidTr="00312CD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C61">
            <w:pPr>
              <w:pStyle w:val="BodyText"/>
              <w:rPr>
                <w:lang w:val="en-NZ"/>
              </w:rPr>
            </w:pPr>
            <w:r w:rsidRPr="00FA1C61">
              <w:rPr>
                <w:rStyle w:val="SpecialBold"/>
              </w:rPr>
              <w:t>RANGE STATEMENT</w:t>
            </w:r>
          </w:p>
        </w:tc>
      </w:tr>
      <w:tr w:rsidTr="00312CD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C61">
            <w:pPr>
              <w:pStyle w:val="BodyText"/>
              <w:rPr>
                <w:lang w:val="en-NZ"/>
              </w:rPr>
            </w:pPr>
            <w:r w:rsidRPr="00FA1C61">
              <w:t>The range statement relates to the unit of competency as a whole. It allows for different work environments and situations that may affect performance. Bold italicised wording, if used in the performance criteria, is detailed below. Essential operating con</w:t>
            </w:r>
            <w:r w:rsidRPr="00FA1C61">
              <w:t>ditions that may be present with training and assessment (depending on the work situation, needs of the candidate, accessibility of the item, and local industry and regional contexts) may also be included.</w:t>
            </w:r>
          </w:p>
        </w:tc>
      </w:tr>
      <w:tr w:rsidTr="00312CDE">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C61">
            <w:pPr>
              <w:pStyle w:val="BodyText"/>
              <w:rPr>
                <w:lang w:val="en-NZ"/>
              </w:rPr>
            </w:pPr>
            <w:r w:rsidRPr="00FA1C61">
              <w:rPr>
                <w:rStyle w:val="SpecialBold"/>
              </w:rPr>
              <w:t>Preventative maintenance tasks</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C61" w:rsidP="00FA1C61">
            <w:pPr>
              <w:pStyle w:val="BodyText"/>
            </w:pPr>
            <w:r w:rsidRPr="00FA1C61">
              <w:t xml:space="preserve">Check/adjust fan </w:t>
            </w:r>
            <w:r w:rsidRPr="00FA1C61">
              <w:t>belts, check/clean filters, check/clean heat exchangers (evaporator and condenser), overhaul of major system components, cleaning of major system components, testing operation of all safety devices</w:t>
            </w:r>
          </w:p>
        </w:tc>
      </w:tr>
    </w:tbl>
    <w:p w:rsidR="00312CDE" w:rsidP="00FA1C61">
      <w:pPr>
        <w:pStyle w:val="BodyText"/>
      </w:pPr>
    </w:p>
    <w:p w:rsidR="00312CDE" w:rsidP="00FA1C61">
      <w:pPr>
        <w:pStyle w:val="BodyText"/>
      </w:pPr>
    </w:p>
    <w:p w:rsidR="00000000" w:rsidRPr="00FA1C61" w:rsidP="00FA1C61">
      <w:pPr>
        <w:pStyle w:val="Heading1"/>
      </w:pPr>
      <w:bookmarkStart w:id="12" w:name="O_212537"/>
      <w:bookmarkEnd w:id="12"/>
      <w:r w:rsidRPr="00FA1C61">
        <w:t>Unit Sector(s)</w:t>
      </w:r>
    </w:p>
    <w:tbl>
      <w:tblPr>
        <w:tblW w:w="0" w:type="auto"/>
        <w:tblLayout w:type="fixed"/>
        <w:tblCellMar>
          <w:left w:w="62" w:type="dxa"/>
          <w:right w:w="62" w:type="dxa"/>
        </w:tblCellMar>
        <w:tblLook w:val="0000"/>
      </w:tblPr>
      <w:tblGrid>
        <w:gridCol w:w="2654"/>
        <w:gridCol w:w="5868"/>
      </w:tblGrid>
      <w:tr w:rsidTr="00312CD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C61">
            <w:pPr>
              <w:pStyle w:val="BodyText"/>
              <w:rPr>
                <w:lang w:val="en-NZ"/>
              </w:rPr>
            </w:pPr>
            <w:r w:rsidRPr="00FA1C6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C61" w:rsidP="00FA1C61">
            <w:pPr>
              <w:pStyle w:val="BodyText"/>
            </w:pPr>
          </w:p>
        </w:tc>
      </w:tr>
    </w:tbl>
    <w:p w:rsidR="00312CDE" w:rsidP="00FA1C61">
      <w:pPr>
        <w:pStyle w:val="BodyText"/>
      </w:pPr>
    </w:p>
    <w:p w:rsidR="00312CDE" w:rsidP="00FA1C61">
      <w:pPr>
        <w:pStyle w:val="BodyText"/>
      </w:pPr>
    </w:p>
    <w:p w:rsidR="00000000" w:rsidRPr="00FA1C61" w:rsidP="00FA1C61">
      <w:pPr>
        <w:pStyle w:val="Heading1"/>
      </w:pPr>
      <w:bookmarkStart w:id="13" w:name="O_212534"/>
      <w:bookmarkEnd w:id="13"/>
      <w:r w:rsidRPr="00FA1C61">
        <w:t>Co-requisite units</w:t>
      </w:r>
    </w:p>
    <w:tbl>
      <w:tblPr>
        <w:tblW w:w="0" w:type="auto"/>
        <w:tblLayout w:type="fixed"/>
        <w:tblCellMar>
          <w:left w:w="62" w:type="dxa"/>
          <w:right w:w="62" w:type="dxa"/>
        </w:tblCellMar>
        <w:tblLook w:val="0000"/>
      </w:tblPr>
      <w:tblGrid>
        <w:gridCol w:w="2641"/>
        <w:gridCol w:w="1322"/>
        <w:gridCol w:w="4559"/>
      </w:tblGrid>
      <w:tr w:rsidTr="00312CD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C61">
            <w:pPr>
              <w:pStyle w:val="BodyText"/>
              <w:rPr>
                <w:lang w:val="en-NZ"/>
              </w:rPr>
            </w:pPr>
            <w:r w:rsidRPr="00FA1C6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12CD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C61">
            <w:pPr>
              <w:pStyle w:val="BodyText"/>
              <w:rPr>
                <w:lang w:val="en-NZ"/>
              </w:rPr>
            </w:pPr>
          </w:p>
        </w:tc>
      </w:tr>
      <w:tr w:rsidTr="00312CD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C61" w:rsidP="00FA1C61">
            <w:pPr>
              <w:pStyle w:val="BodyText"/>
            </w:pPr>
          </w:p>
        </w:tc>
      </w:tr>
    </w:tbl>
    <w:p w:rsidR="00312CDE" w:rsidP="00FA1C61">
      <w:pPr>
        <w:pStyle w:val="BodyText"/>
      </w:pPr>
    </w:p>
    <w:p w:rsidR="00312CDE" w:rsidP="00FA1C61">
      <w:pPr>
        <w:pStyle w:val="BodyText"/>
      </w:pPr>
    </w:p>
    <w:p w:rsidR="00000000" w:rsidRPr="00FA1C61" w:rsidP="00FA1C61">
      <w:pPr>
        <w:pStyle w:val="Heading1"/>
      </w:pPr>
      <w:bookmarkStart w:id="14" w:name="O_212536"/>
      <w:bookmarkEnd w:id="14"/>
      <w:r w:rsidRPr="00FA1C61">
        <w:t>Competency field</w:t>
      </w:r>
    </w:p>
    <w:tbl>
      <w:tblPr>
        <w:tblW w:w="0" w:type="auto"/>
        <w:tblLayout w:type="fixed"/>
        <w:tblCellMar>
          <w:left w:w="62" w:type="dxa"/>
          <w:right w:w="62" w:type="dxa"/>
        </w:tblCellMar>
        <w:tblLook w:val="0000"/>
      </w:tblPr>
      <w:tblGrid>
        <w:gridCol w:w="2775"/>
        <w:gridCol w:w="5747"/>
      </w:tblGrid>
      <w:tr w:rsidTr="00312CD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1C61">
            <w:pPr>
              <w:pStyle w:val="BodyText"/>
              <w:rPr>
                <w:lang w:val="en-NZ"/>
              </w:rPr>
            </w:pPr>
            <w:r w:rsidRPr="00FA1C61">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1C61" w:rsidP="00FA1C61">
            <w:pPr>
              <w:pStyle w:val="BodyText"/>
            </w:pPr>
            <w:r w:rsidRPr="00FA1C61">
              <w:t>Maintenance and diagnostics</w:t>
            </w:r>
          </w:p>
        </w:tc>
      </w:tr>
    </w:tbl>
    <w:p w:rsidR="00312CDE" w:rsidP="00FA1C61">
      <w:pPr>
        <w:pStyle w:val="BodyText"/>
      </w:pPr>
    </w:p>
    <w:p w:rsidR="00312CDE" w:rsidP="00FA1C61">
      <w:pPr>
        <w:pStyle w:val="BodyText"/>
      </w:pPr>
    </w:p>
    <w:p w:rsidR="00000000" w:rsidRPr="00FA1C61" w:rsidP="00FA1C61"/>
    <w:sectPr w:rsidSect="00FA1C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C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2CDE" w:rsidP="00312C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C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CDE" w:rsidP="00FA1C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12CDE" w:rsidP="00FA1C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12CDE" w:rsidP="00FA1C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C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2CDE" w:rsidP="00312CD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C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CDE" w:rsidP="00FA1C61">
    <w:pPr>
      <w:pStyle w:val="Header"/>
      <w:framePr w:wrap="around"/>
    </w:pPr>
    <w:r>
      <w:fldChar w:fldCharType="begin"/>
    </w:r>
    <w:r>
      <w:instrText xml:space="preserve"> TITLE   \* MERGEFORMAT </w:instrText>
    </w:r>
    <w:r>
      <w:fldChar w:fldCharType="separate"/>
    </w:r>
    <w:r>
      <w:t>MEM18089B Maintain and repair central air handling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12CDE" w:rsidP="00FA1C6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C86A0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81C7D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C6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A1C61"/>
    <w:pPr>
      <w:spacing w:before="360" w:after="60"/>
      <w:outlineLvl w:val="0"/>
    </w:pPr>
    <w:rPr>
      <w:sz w:val="32"/>
    </w:rPr>
  </w:style>
  <w:style w:type="paragraph" w:styleId="Heading2">
    <w:name w:val="heading 2"/>
    <w:basedOn w:val="HeadingBase"/>
    <w:next w:val="BodyText"/>
    <w:link w:val="Heading2Char"/>
    <w:qFormat/>
    <w:rsid w:val="00FA1C61"/>
    <w:pPr>
      <w:keepLines/>
      <w:spacing w:before="240" w:after="120"/>
      <w:outlineLvl w:val="1"/>
    </w:pPr>
    <w:rPr>
      <w:sz w:val="28"/>
      <w:szCs w:val="40"/>
    </w:rPr>
  </w:style>
  <w:style w:type="paragraph" w:styleId="Heading3">
    <w:name w:val="heading 3"/>
    <w:basedOn w:val="HeadingBase"/>
    <w:next w:val="BodyText"/>
    <w:link w:val="Heading3Char"/>
    <w:qFormat/>
    <w:rsid w:val="00FA1C61"/>
    <w:pPr>
      <w:spacing w:before="180" w:after="120"/>
      <w:outlineLvl w:val="2"/>
    </w:pPr>
    <w:rPr>
      <w:spacing w:val="-10"/>
      <w:kern w:val="32"/>
    </w:rPr>
  </w:style>
  <w:style w:type="paragraph" w:styleId="Heading4">
    <w:name w:val="heading 4"/>
    <w:basedOn w:val="HeadingBase"/>
    <w:next w:val="BodyText"/>
    <w:link w:val="Heading4Char"/>
    <w:qFormat/>
    <w:rsid w:val="00FA1C61"/>
    <w:pPr>
      <w:spacing w:before="160" w:after="120"/>
      <w:outlineLvl w:val="3"/>
    </w:pPr>
    <w:rPr>
      <w:sz w:val="22"/>
    </w:rPr>
  </w:style>
  <w:style w:type="paragraph" w:styleId="Heading5">
    <w:name w:val="heading 5"/>
    <w:basedOn w:val="HeadingBase"/>
    <w:next w:val="Normal"/>
    <w:link w:val="Heading5Char"/>
    <w:qFormat/>
    <w:rsid w:val="00FA1C61"/>
    <w:pPr>
      <w:spacing w:before="80"/>
      <w:outlineLvl w:val="4"/>
    </w:pPr>
    <w:rPr>
      <w:color w:val="918585"/>
      <w:sz w:val="20"/>
    </w:rPr>
  </w:style>
  <w:style w:type="paragraph" w:styleId="Heading6">
    <w:name w:val="heading 6"/>
    <w:basedOn w:val="HeadingBase"/>
    <w:next w:val="Normal"/>
    <w:link w:val="Heading6Char"/>
    <w:qFormat/>
    <w:rsid w:val="00FA1C61"/>
    <w:pPr>
      <w:spacing w:before="60"/>
      <w:outlineLvl w:val="5"/>
    </w:pPr>
    <w:rPr>
      <w:color w:val="918585"/>
      <w:sz w:val="20"/>
    </w:rPr>
  </w:style>
  <w:style w:type="paragraph" w:styleId="Heading7">
    <w:name w:val="heading 7"/>
    <w:basedOn w:val="Normal"/>
    <w:next w:val="Normal"/>
    <w:link w:val="Heading7Char"/>
    <w:qFormat/>
    <w:rsid w:val="00FA1C61"/>
    <w:pPr>
      <w:ind w:left="720"/>
      <w:outlineLvl w:val="6"/>
    </w:pPr>
    <w:rPr>
      <w:i/>
    </w:rPr>
  </w:style>
  <w:style w:type="paragraph" w:styleId="Heading8">
    <w:name w:val="heading 8"/>
    <w:basedOn w:val="Normal"/>
    <w:next w:val="Normal"/>
    <w:link w:val="Heading8Char"/>
    <w:qFormat/>
    <w:rsid w:val="00FA1C61"/>
    <w:pPr>
      <w:ind w:left="720"/>
      <w:outlineLvl w:val="7"/>
    </w:pPr>
    <w:rPr>
      <w:i/>
    </w:rPr>
  </w:style>
  <w:style w:type="paragraph" w:styleId="Heading9">
    <w:name w:val="heading 9"/>
    <w:basedOn w:val="Normal"/>
    <w:next w:val="Normal"/>
    <w:link w:val="Heading9Char"/>
    <w:qFormat/>
    <w:rsid w:val="00FA1C61"/>
    <w:pPr>
      <w:ind w:left="720"/>
      <w:outlineLvl w:val="8"/>
    </w:pPr>
    <w:rPr>
      <w:i/>
    </w:rPr>
  </w:style>
  <w:style w:type="character" w:default="1" w:styleId="DefaultParagraphFont">
    <w:name w:val="Default Paragraph Font"/>
    <w:uiPriority w:val="1"/>
    <w:unhideWhenUsed/>
    <w:rsid w:val="00FA1C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1C61"/>
  </w:style>
  <w:style w:type="character" w:customStyle="1" w:styleId="Heading1Char">
    <w:name w:val="Heading 1 Char"/>
    <w:link w:val="Heading1"/>
    <w:rsid w:val="00FA1C61"/>
    <w:rPr>
      <w:rFonts w:ascii="Times New Roman" w:eastAsia="Times New Roman" w:hAnsi="Times New Roman" w:cs="Times New Roman"/>
      <w:b/>
      <w:sz w:val="32"/>
      <w:szCs w:val="20"/>
      <w:lang w:eastAsia="en-US"/>
    </w:rPr>
  </w:style>
  <w:style w:type="paragraph" w:styleId="BodyText">
    <w:name w:val="Body Text"/>
    <w:basedOn w:val="Normal"/>
    <w:link w:val="BodyTextChar"/>
    <w:rsid w:val="00FA1C61"/>
    <w:pPr>
      <w:spacing w:before="120" w:after="120"/>
      <w:contextualSpacing/>
    </w:pPr>
    <w:rPr>
      <w:rFonts w:ascii="Times New Roman" w:hAnsi="Times New Roman"/>
      <w:sz w:val="24"/>
      <w:szCs w:val="22"/>
    </w:rPr>
  </w:style>
  <w:style w:type="character" w:customStyle="1" w:styleId="BodyTextChar">
    <w:name w:val="Body Text Char"/>
    <w:link w:val="BodyText"/>
    <w:rsid w:val="00FA1C61"/>
    <w:rPr>
      <w:rFonts w:ascii="Times New Roman" w:eastAsia="Times New Roman" w:hAnsi="Times New Roman" w:cs="Times New Roman"/>
      <w:sz w:val="24"/>
      <w:lang w:val="en-US" w:eastAsia="en-US"/>
    </w:rPr>
  </w:style>
  <w:style w:type="paragraph" w:styleId="Footer">
    <w:name w:val="footer"/>
    <w:basedOn w:val="Normal"/>
    <w:link w:val="FooterChar"/>
    <w:rsid w:val="00FA1C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A1C61"/>
    <w:rPr>
      <w:rFonts w:ascii="Times New Roman" w:eastAsia="Times New Roman" w:hAnsi="Times New Roman" w:cs="Times New Roman"/>
      <w:sz w:val="16"/>
      <w:lang w:val="en-US" w:eastAsia="en-US"/>
    </w:rPr>
  </w:style>
  <w:style w:type="paragraph" w:styleId="List">
    <w:name w:val="List"/>
    <w:basedOn w:val="BodyText"/>
    <w:next w:val="BodyText"/>
    <w:rsid w:val="00FA1C61"/>
    <w:pPr>
      <w:tabs>
        <w:tab w:val="left" w:pos="340"/>
      </w:tabs>
      <w:spacing w:before="60" w:after="60"/>
      <w:ind w:left="340" w:hanging="340"/>
    </w:pPr>
  </w:style>
  <w:style w:type="paragraph" w:styleId="ListBullet">
    <w:name w:val="List Bullet"/>
    <w:basedOn w:val="List"/>
    <w:rsid w:val="00FA1C61"/>
    <w:pPr>
      <w:numPr>
        <w:numId w:val="12"/>
      </w:numPr>
      <w:tabs>
        <w:tab w:val="clear" w:pos="340"/>
      </w:tabs>
      <w:spacing w:before="40" w:after="40"/>
    </w:pPr>
  </w:style>
  <w:style w:type="character" w:customStyle="1" w:styleId="SpecialBold">
    <w:name w:val="Special Bold"/>
    <w:rsid w:val="00FA1C61"/>
    <w:rPr>
      <w:b/>
      <w:spacing w:val="0"/>
    </w:rPr>
  </w:style>
  <w:style w:type="paragraph" w:styleId="Header">
    <w:name w:val="header"/>
    <w:basedOn w:val="Normal"/>
    <w:link w:val="HeaderChar"/>
    <w:rsid w:val="00FA1C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A1C6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A1C61"/>
    <w:pPr>
      <w:spacing w:before="240" w:after="120"/>
      <w:outlineLvl w:val="0"/>
    </w:pPr>
    <w:rPr>
      <w:rFonts w:ascii="Times New Roman" w:hAnsi="Times New Roman"/>
      <w:b/>
      <w:sz w:val="28"/>
    </w:rPr>
  </w:style>
  <w:style w:type="paragraph" w:customStyle="1" w:styleId="AllowPageBreak">
    <w:name w:val="AllowPageBreak"/>
    <w:rsid w:val="00FA1C6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A1C61"/>
    <w:pPr>
      <w:tabs>
        <w:tab w:val="left" w:pos="680"/>
      </w:tabs>
      <w:spacing w:before="60" w:after="60"/>
      <w:ind w:left="680" w:hanging="340"/>
    </w:pPr>
  </w:style>
  <w:style w:type="character" w:customStyle="1" w:styleId="Heading2Char">
    <w:name w:val="Heading 2 Char"/>
    <w:link w:val="Heading2"/>
    <w:rsid w:val="00FA1C61"/>
    <w:rPr>
      <w:rFonts w:ascii="Times New Roman" w:eastAsia="Times New Roman" w:hAnsi="Times New Roman" w:cs="Times New Roman"/>
      <w:b/>
      <w:sz w:val="28"/>
      <w:szCs w:val="40"/>
      <w:lang w:eastAsia="en-US"/>
    </w:rPr>
  </w:style>
  <w:style w:type="character" w:customStyle="1" w:styleId="Heading3Char">
    <w:name w:val="Heading 3 Char"/>
    <w:link w:val="Heading3"/>
    <w:rsid w:val="00FA1C6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A1C61"/>
    <w:rPr>
      <w:rFonts w:ascii="Times New Roman" w:eastAsia="Times New Roman" w:hAnsi="Times New Roman" w:cs="Times New Roman"/>
      <w:b/>
      <w:szCs w:val="20"/>
      <w:lang w:eastAsia="en-US"/>
    </w:rPr>
  </w:style>
  <w:style w:type="character" w:customStyle="1" w:styleId="Heading5Char">
    <w:name w:val="Heading 5 Char"/>
    <w:link w:val="Heading5"/>
    <w:rsid w:val="00FA1C6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A1C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1C6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A1C6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A1C61"/>
    <w:rPr>
      <w:rFonts w:ascii="Courier New" w:eastAsia="Times New Roman" w:hAnsi="Courier New" w:cs="Times New Roman"/>
      <w:i/>
      <w:szCs w:val="20"/>
      <w:lang w:val="en-US" w:eastAsia="en-US"/>
    </w:rPr>
  </w:style>
  <w:style w:type="paragraph" w:customStyle="1" w:styleId="HeadingBase">
    <w:name w:val="Heading Base"/>
    <w:rsid w:val="00FA1C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1C61"/>
    <w:pPr>
      <w:tabs>
        <w:tab w:val="right" w:leader="dot" w:pos="9072"/>
      </w:tabs>
      <w:ind w:left="567"/>
    </w:pPr>
    <w:rPr>
      <w:szCs w:val="22"/>
    </w:rPr>
  </w:style>
  <w:style w:type="paragraph" w:customStyle="1" w:styleId="TOCBase">
    <w:name w:val="TOC Base"/>
    <w:rsid w:val="00FA1C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1C61"/>
    <w:pPr>
      <w:tabs>
        <w:tab w:val="right" w:leader="dot" w:pos="9072"/>
      </w:tabs>
      <w:spacing w:before="40" w:after="40"/>
      <w:ind w:left="284"/>
    </w:pPr>
    <w:rPr>
      <w:rFonts w:ascii="Times New Roman" w:hAnsi="Times New Roman"/>
    </w:rPr>
  </w:style>
  <w:style w:type="paragraph" w:styleId="TOC1">
    <w:name w:val="toc 1"/>
    <w:basedOn w:val="TOCBase"/>
    <w:next w:val="Normal"/>
    <w:rsid w:val="00FA1C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1C61"/>
    <w:pPr>
      <w:spacing w:before="5040"/>
      <w:jc w:val="center"/>
    </w:pPr>
    <w:rPr>
      <w:sz w:val="48"/>
      <w:szCs w:val="72"/>
      <w:lang w:val="en-US"/>
    </w:rPr>
  </w:style>
  <w:style w:type="character" w:customStyle="1" w:styleId="TitleChar">
    <w:name w:val="Title Char"/>
    <w:link w:val="Title"/>
    <w:rsid w:val="00FA1C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1C61"/>
    <w:pPr>
      <w:tabs>
        <w:tab w:val="left" w:pos="3600"/>
        <w:tab w:val="left" w:pos="3958"/>
      </w:tabs>
    </w:pPr>
  </w:style>
  <w:style w:type="paragraph" w:customStyle="1" w:styleId="Note">
    <w:name w:val="Note"/>
    <w:basedOn w:val="BodyText"/>
    <w:rsid w:val="00FA1C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1C61"/>
    <w:pPr>
      <w:framePr w:wrap="auto" w:hAnchor="text" w:y="6049"/>
    </w:pPr>
    <w:rPr>
      <w:color w:val="000000"/>
      <w:sz w:val="40"/>
    </w:rPr>
  </w:style>
  <w:style w:type="paragraph" w:customStyle="1" w:styleId="TOCTitle">
    <w:name w:val="TOCTitle"/>
    <w:basedOn w:val="Heading1"/>
    <w:rsid w:val="00FA1C61"/>
    <w:pPr>
      <w:spacing w:after="240"/>
      <w:jc w:val="center"/>
      <w:outlineLvl w:val="9"/>
    </w:pPr>
    <w:rPr>
      <w:caps/>
    </w:rPr>
  </w:style>
  <w:style w:type="paragraph" w:customStyle="1" w:styleId="Version">
    <w:name w:val="Version"/>
    <w:rsid w:val="00FA1C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1C61"/>
    <w:pPr>
      <w:numPr>
        <w:numId w:val="13"/>
      </w:numPr>
      <w:tabs>
        <w:tab w:val="clear" w:pos="680"/>
      </w:tabs>
    </w:pPr>
  </w:style>
  <w:style w:type="paragraph" w:styleId="Index1">
    <w:name w:val="index 1"/>
    <w:basedOn w:val="Normal"/>
    <w:next w:val="Normal"/>
    <w:semiHidden/>
    <w:rsid w:val="00FA1C61"/>
    <w:pPr>
      <w:keepNext w:val="0"/>
      <w:tabs>
        <w:tab w:val="right" w:pos="4176"/>
      </w:tabs>
      <w:ind w:left="198" w:hanging="198"/>
    </w:pPr>
    <w:rPr>
      <w:rFonts w:ascii="Garamond" w:hAnsi="Garamond"/>
    </w:rPr>
  </w:style>
  <w:style w:type="paragraph" w:styleId="IndexHeading">
    <w:name w:val="index heading"/>
    <w:basedOn w:val="Normal"/>
    <w:next w:val="Index1"/>
    <w:semiHidden/>
    <w:rsid w:val="00FA1C61"/>
    <w:pPr>
      <w:spacing w:before="120" w:after="120"/>
    </w:pPr>
    <w:rPr>
      <w:rFonts w:ascii="Arial" w:hAnsi="Arial"/>
      <w:b/>
      <w:color w:val="918585"/>
      <w:sz w:val="24"/>
    </w:rPr>
  </w:style>
  <w:style w:type="paragraph" w:customStyle="1" w:styleId="Chapter">
    <w:name w:val="Chapter"/>
    <w:basedOn w:val="Normal"/>
    <w:rsid w:val="00FA1C61"/>
    <w:pPr>
      <w:spacing w:before="240"/>
    </w:pPr>
    <w:rPr>
      <w:rFonts w:ascii="Times New Roman" w:hAnsi="Times New Roman"/>
      <w:smallCaps/>
      <w:spacing w:val="80"/>
      <w:sz w:val="28"/>
    </w:rPr>
  </w:style>
  <w:style w:type="paragraph" w:customStyle="1" w:styleId="InChapter">
    <w:name w:val="InChapter"/>
    <w:basedOn w:val="Heading3"/>
    <w:rsid w:val="00FA1C61"/>
    <w:pPr>
      <w:spacing w:after="240"/>
      <w:outlineLvl w:val="9"/>
    </w:pPr>
    <w:rPr>
      <w:noProof/>
    </w:rPr>
  </w:style>
  <w:style w:type="paragraph" w:styleId="Index2">
    <w:name w:val="index 2"/>
    <w:basedOn w:val="Normal"/>
    <w:next w:val="Normal"/>
    <w:semiHidden/>
    <w:rsid w:val="00FA1C61"/>
    <w:pPr>
      <w:tabs>
        <w:tab w:val="right" w:pos="4176"/>
      </w:tabs>
      <w:ind w:left="568" w:hanging="284"/>
    </w:pPr>
    <w:rPr>
      <w:rFonts w:ascii="Garamond" w:hAnsi="Garamond"/>
    </w:rPr>
  </w:style>
  <w:style w:type="paragraph" w:customStyle="1" w:styleId="Byline">
    <w:name w:val="Byline"/>
    <w:rsid w:val="00FA1C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1C61"/>
    <w:pPr>
      <w:tabs>
        <w:tab w:val="clear" w:pos="3600"/>
        <w:tab w:val="clear" w:pos="3958"/>
      </w:tabs>
      <w:jc w:val="right"/>
    </w:pPr>
  </w:style>
  <w:style w:type="character" w:styleId="Emphasis">
    <w:name w:val="Emphasis"/>
    <w:qFormat/>
    <w:rsid w:val="00FA1C61"/>
    <w:rPr>
      <w:i/>
    </w:rPr>
  </w:style>
  <w:style w:type="paragraph" w:styleId="Caption">
    <w:name w:val="caption"/>
    <w:basedOn w:val="BodyText"/>
    <w:next w:val="Normal"/>
    <w:qFormat/>
    <w:rsid w:val="00FA1C61"/>
    <w:pPr>
      <w:framePr w:w="2268" w:hSpace="181" w:vSpace="181" w:wrap="around" w:vAnchor="text" w:hAnchor="page" w:x="1135" w:y="285" w:anchorLock="1"/>
    </w:pPr>
    <w:rPr>
      <w:i/>
    </w:rPr>
  </w:style>
  <w:style w:type="paragraph" w:customStyle="1" w:styleId="MiniTOCTitle">
    <w:name w:val="MiniTOCTitle"/>
    <w:basedOn w:val="Heading4"/>
    <w:rsid w:val="00FA1C61"/>
    <w:pPr>
      <w:spacing w:before="240"/>
      <w:outlineLvl w:val="9"/>
    </w:pPr>
    <w:rPr>
      <w:noProof/>
      <w:sz w:val="24"/>
    </w:rPr>
  </w:style>
  <w:style w:type="paragraph" w:customStyle="1" w:styleId="MiniTOCItem">
    <w:name w:val="MiniTOCItem"/>
    <w:basedOn w:val="ListBullet"/>
    <w:rsid w:val="00FA1C61"/>
    <w:pPr>
      <w:numPr>
        <w:numId w:val="0"/>
      </w:numPr>
      <w:tabs>
        <w:tab w:val="right" w:leader="dot" w:pos="6521"/>
      </w:tabs>
      <w:spacing w:before="0" w:after="0"/>
    </w:pPr>
  </w:style>
  <w:style w:type="paragraph" w:customStyle="1" w:styleId="TOFTitle">
    <w:name w:val="TOFTitle"/>
    <w:basedOn w:val="TOCTitle"/>
    <w:rsid w:val="00FA1C61"/>
  </w:style>
  <w:style w:type="paragraph" w:styleId="TableofFigures">
    <w:name w:val="table of figures"/>
    <w:basedOn w:val="Normal"/>
    <w:next w:val="Normal"/>
    <w:semiHidden/>
    <w:rsid w:val="00FA1C61"/>
    <w:pPr>
      <w:tabs>
        <w:tab w:val="right" w:leader="dot" w:pos="9072"/>
      </w:tabs>
      <w:ind w:left="970" w:hanging="403"/>
    </w:pPr>
    <w:rPr>
      <w:rFonts w:ascii="Times New Roman" w:hAnsi="Times New Roman"/>
      <w:b/>
    </w:rPr>
  </w:style>
  <w:style w:type="paragraph" w:styleId="ListNumber">
    <w:name w:val="List Number"/>
    <w:basedOn w:val="List"/>
    <w:rsid w:val="00FA1C61"/>
    <w:pPr>
      <w:numPr>
        <w:numId w:val="10"/>
      </w:numPr>
    </w:pPr>
  </w:style>
  <w:style w:type="character" w:customStyle="1" w:styleId="WingdingSymbols">
    <w:name w:val="Wingding Symbols"/>
    <w:rsid w:val="00FA1C61"/>
    <w:rPr>
      <w:rFonts w:ascii="Wingdings" w:hAnsi="Wingdings"/>
    </w:rPr>
  </w:style>
  <w:style w:type="paragraph" w:customStyle="1" w:styleId="TableHeading">
    <w:name w:val="Table Heading"/>
    <w:basedOn w:val="HeadingBase"/>
    <w:rsid w:val="00FA1C61"/>
    <w:pPr>
      <w:keepLines/>
      <w:pBdr>
        <w:bottom w:val="single" w:sz="6" w:space="1" w:color="918585"/>
      </w:pBdr>
      <w:spacing w:before="240"/>
    </w:pPr>
  </w:style>
  <w:style w:type="character" w:customStyle="1" w:styleId="HotSpot">
    <w:name w:val="HotSpot"/>
    <w:rsid w:val="00FA1C61"/>
    <w:rPr>
      <w:color w:val="0033CC"/>
      <w:u w:val="none"/>
    </w:rPr>
  </w:style>
  <w:style w:type="paragraph" w:customStyle="1" w:styleId="BodyTextRight">
    <w:name w:val="Body Text Right"/>
    <w:basedOn w:val="BodyText"/>
    <w:rsid w:val="00FA1C61"/>
    <w:pPr>
      <w:spacing w:before="0" w:after="0"/>
      <w:jc w:val="right"/>
    </w:pPr>
  </w:style>
  <w:style w:type="paragraph" w:styleId="Index3">
    <w:name w:val="index 3"/>
    <w:basedOn w:val="ListNumber2"/>
    <w:next w:val="Normal"/>
    <w:semiHidden/>
    <w:rsid w:val="00FA1C61"/>
    <w:pPr>
      <w:numPr>
        <w:numId w:val="0"/>
      </w:numPr>
      <w:tabs>
        <w:tab w:val="right" w:leader="dot" w:pos="4176"/>
      </w:tabs>
    </w:pPr>
  </w:style>
  <w:style w:type="paragraph" w:styleId="ListNumber2">
    <w:name w:val="List Number 2"/>
    <w:basedOn w:val="List2"/>
    <w:rsid w:val="00FA1C61"/>
    <w:pPr>
      <w:numPr>
        <w:numId w:val="9"/>
      </w:numPr>
      <w:tabs>
        <w:tab w:val="clear" w:pos="1060"/>
      </w:tabs>
    </w:pPr>
  </w:style>
  <w:style w:type="paragraph" w:customStyle="1" w:styleId="MarginNote">
    <w:name w:val="Margin Note"/>
    <w:basedOn w:val="BodyText"/>
    <w:rsid w:val="00FA1C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1C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A1C6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A1C61"/>
    <w:rPr>
      <w:sz w:val="32"/>
    </w:rPr>
  </w:style>
  <w:style w:type="paragraph" w:customStyle="1" w:styleId="HeadingProcedure">
    <w:name w:val="Heading Procedure"/>
    <w:basedOn w:val="HeadingBase"/>
    <w:next w:val="Normal"/>
    <w:rsid w:val="00FA1C61"/>
    <w:pPr>
      <w:tabs>
        <w:tab w:val="left" w:pos="0"/>
      </w:tabs>
      <w:spacing w:before="120" w:after="60"/>
    </w:pPr>
    <w:rPr>
      <w:i/>
      <w:color w:val="918585"/>
      <w:sz w:val="22"/>
    </w:rPr>
  </w:style>
  <w:style w:type="paragraph" w:customStyle="1" w:styleId="TableBodyText">
    <w:name w:val="Table Body Text"/>
    <w:basedOn w:val="BodyText"/>
    <w:rsid w:val="00FA1C61"/>
    <w:pPr>
      <w:spacing w:before="60" w:after="60"/>
    </w:pPr>
  </w:style>
  <w:style w:type="paragraph" w:styleId="ListContinue">
    <w:name w:val="List Continue"/>
    <w:basedOn w:val="List"/>
    <w:rsid w:val="00FA1C61"/>
    <w:pPr>
      <w:ind w:firstLine="0"/>
    </w:pPr>
  </w:style>
  <w:style w:type="paragraph" w:customStyle="1" w:styleId="ListNote">
    <w:name w:val="List Note"/>
    <w:basedOn w:val="List"/>
    <w:rsid w:val="00FA1C61"/>
    <w:pPr>
      <w:pBdr>
        <w:top w:val="single" w:sz="6" w:space="2" w:color="918585"/>
        <w:bottom w:val="single" w:sz="6" w:space="2" w:color="918585"/>
      </w:pBdr>
      <w:tabs>
        <w:tab w:val="left" w:pos="1021"/>
      </w:tabs>
      <w:ind w:firstLine="0"/>
    </w:pPr>
  </w:style>
  <w:style w:type="paragraph" w:customStyle="1" w:styleId="Warning">
    <w:name w:val="Warning"/>
    <w:basedOn w:val="BodyText"/>
    <w:rsid w:val="00FA1C61"/>
    <w:pPr>
      <w:shd w:val="clear" w:color="auto" w:fill="D9D9D9"/>
      <w:tabs>
        <w:tab w:val="left" w:pos="992"/>
      </w:tabs>
      <w:ind w:left="119" w:right="119"/>
    </w:pPr>
    <w:rPr>
      <w:sz w:val="20"/>
    </w:rPr>
  </w:style>
  <w:style w:type="paragraph" w:customStyle="1" w:styleId="MarginIcons">
    <w:name w:val="Margin Icons"/>
    <w:basedOn w:val="BodyText"/>
    <w:rsid w:val="00FA1C6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A1C61"/>
    <w:rPr>
      <w:rFonts w:ascii="Courier New" w:hAnsi="Courier New"/>
    </w:rPr>
  </w:style>
  <w:style w:type="paragraph" w:customStyle="1" w:styleId="NoteBullet">
    <w:name w:val="Note Bullet"/>
    <w:basedOn w:val="Note"/>
    <w:rsid w:val="00FA1C61"/>
    <w:pPr>
      <w:tabs>
        <w:tab w:val="clear" w:pos="680"/>
      </w:tabs>
      <w:spacing w:before="60" w:after="60"/>
    </w:pPr>
  </w:style>
  <w:style w:type="paragraph" w:customStyle="1" w:styleId="SubHeading2">
    <w:name w:val="SubHeading2"/>
    <w:basedOn w:val="HeadingBase"/>
    <w:rsid w:val="00FA1C61"/>
    <w:pPr>
      <w:spacing w:before="240" w:after="60"/>
    </w:pPr>
    <w:rPr>
      <w:sz w:val="20"/>
    </w:rPr>
  </w:style>
  <w:style w:type="paragraph" w:customStyle="1" w:styleId="SubHeading1">
    <w:name w:val="SubHeading1"/>
    <w:basedOn w:val="HeadingBase"/>
    <w:rsid w:val="00FA1C61"/>
    <w:pPr>
      <w:spacing w:before="240" w:after="60"/>
    </w:pPr>
    <w:rPr>
      <w:color w:val="918585"/>
      <w:sz w:val="22"/>
    </w:rPr>
  </w:style>
  <w:style w:type="paragraph" w:customStyle="1" w:styleId="SideHeading">
    <w:name w:val="Side Heading"/>
    <w:basedOn w:val="HeadingBase"/>
    <w:rsid w:val="00FA1C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1C61"/>
    <w:pPr>
      <w:tabs>
        <w:tab w:val="num" w:pos="360"/>
      </w:tabs>
    </w:pPr>
  </w:style>
  <w:style w:type="paragraph" w:styleId="PlainText">
    <w:name w:val="Plain Text"/>
    <w:basedOn w:val="Normal"/>
    <w:link w:val="PlainTextChar"/>
    <w:rsid w:val="00FA1C61"/>
    <w:rPr>
      <w:sz w:val="20"/>
    </w:rPr>
  </w:style>
  <w:style w:type="character" w:customStyle="1" w:styleId="PlainTextChar">
    <w:name w:val="Plain Text Char"/>
    <w:basedOn w:val="DefaultParagraphFont"/>
    <w:link w:val="PlainText"/>
    <w:rsid w:val="00FA1C61"/>
    <w:rPr>
      <w:rFonts w:ascii="Courier New" w:eastAsia="Times New Roman" w:hAnsi="Courier New" w:cs="Times New Roman"/>
      <w:sz w:val="20"/>
      <w:szCs w:val="20"/>
      <w:lang w:val="en-US" w:eastAsia="en-US"/>
    </w:rPr>
  </w:style>
  <w:style w:type="character" w:customStyle="1" w:styleId="MenuOption">
    <w:name w:val="Menu Option"/>
    <w:rsid w:val="00FA1C61"/>
    <w:rPr>
      <w:b/>
      <w:smallCaps/>
    </w:rPr>
  </w:style>
  <w:style w:type="paragraph" w:customStyle="1" w:styleId="TableListNumber">
    <w:name w:val="Table List Number"/>
    <w:basedOn w:val="ListNumber"/>
    <w:rsid w:val="00FA1C61"/>
    <w:pPr>
      <w:numPr>
        <w:numId w:val="0"/>
      </w:numPr>
    </w:pPr>
  </w:style>
  <w:style w:type="paragraph" w:styleId="TOC4">
    <w:name w:val="toc 4"/>
    <w:basedOn w:val="TOCBase"/>
    <w:next w:val="Normal"/>
    <w:semiHidden/>
    <w:rsid w:val="00FA1C61"/>
    <w:pPr>
      <w:tabs>
        <w:tab w:val="right" w:leader="dot" w:pos="9071"/>
      </w:tabs>
      <w:ind w:left="1701"/>
    </w:pPr>
  </w:style>
  <w:style w:type="paragraph" w:customStyle="1" w:styleId="ListAlpha">
    <w:name w:val="List Alpha"/>
    <w:basedOn w:val="List"/>
    <w:rsid w:val="00FA1C61"/>
    <w:pPr>
      <w:numPr>
        <w:numId w:val="8"/>
      </w:numPr>
    </w:pPr>
  </w:style>
  <w:style w:type="paragraph" w:customStyle="1" w:styleId="ListAlpha2">
    <w:name w:val="List Alpha 2"/>
    <w:basedOn w:val="List2"/>
    <w:rsid w:val="00FA1C61"/>
    <w:pPr>
      <w:numPr>
        <w:numId w:val="7"/>
      </w:numPr>
    </w:pPr>
  </w:style>
  <w:style w:type="paragraph" w:styleId="List3">
    <w:name w:val="List 3"/>
    <w:basedOn w:val="BodyText"/>
    <w:rsid w:val="00FA1C61"/>
    <w:pPr>
      <w:tabs>
        <w:tab w:val="left" w:pos="1021"/>
      </w:tabs>
      <w:spacing w:before="60" w:after="60"/>
      <w:ind w:left="1020" w:hanging="340"/>
    </w:pPr>
  </w:style>
  <w:style w:type="paragraph" w:styleId="List4">
    <w:name w:val="List 4"/>
    <w:basedOn w:val="BodyText"/>
    <w:rsid w:val="00FA1C61"/>
    <w:pPr>
      <w:tabs>
        <w:tab w:val="left" w:pos="1361"/>
      </w:tabs>
      <w:spacing w:before="60" w:after="60"/>
      <w:ind w:left="1361" w:hanging="340"/>
    </w:pPr>
  </w:style>
  <w:style w:type="paragraph" w:styleId="List5">
    <w:name w:val="List 5"/>
    <w:basedOn w:val="BodyText"/>
    <w:rsid w:val="00FA1C61"/>
    <w:pPr>
      <w:tabs>
        <w:tab w:val="left" w:pos="1701"/>
      </w:tabs>
      <w:spacing w:before="60" w:after="60"/>
      <w:ind w:left="1701" w:hanging="340"/>
    </w:pPr>
  </w:style>
  <w:style w:type="paragraph" w:styleId="ListBullet3">
    <w:name w:val="List Bullet 3"/>
    <w:basedOn w:val="List3"/>
    <w:rsid w:val="00FA1C61"/>
    <w:pPr>
      <w:numPr>
        <w:numId w:val="14"/>
      </w:numPr>
      <w:tabs>
        <w:tab w:val="clear" w:pos="1021"/>
      </w:tabs>
      <w:ind w:left="1037" w:hanging="357"/>
    </w:pPr>
  </w:style>
  <w:style w:type="paragraph" w:styleId="ListBullet4">
    <w:name w:val="List Bullet 4"/>
    <w:basedOn w:val="List4"/>
    <w:rsid w:val="00FA1C61"/>
    <w:pPr>
      <w:numPr>
        <w:numId w:val="2"/>
      </w:numPr>
    </w:pPr>
  </w:style>
  <w:style w:type="paragraph" w:styleId="ListBullet5">
    <w:name w:val="List Bullet 5"/>
    <w:basedOn w:val="List5"/>
    <w:rsid w:val="00FA1C61"/>
    <w:pPr>
      <w:numPr>
        <w:numId w:val="3"/>
      </w:numPr>
    </w:pPr>
  </w:style>
  <w:style w:type="paragraph" w:styleId="ListContinue2">
    <w:name w:val="List Continue 2"/>
    <w:basedOn w:val="List2"/>
    <w:rsid w:val="00FA1C61"/>
    <w:pPr>
      <w:ind w:firstLine="0"/>
    </w:pPr>
  </w:style>
  <w:style w:type="paragraph" w:styleId="ListContinue3">
    <w:name w:val="List Continue 3"/>
    <w:basedOn w:val="List3"/>
    <w:rsid w:val="00FA1C61"/>
    <w:pPr>
      <w:ind w:left="1021" w:firstLine="0"/>
    </w:pPr>
  </w:style>
  <w:style w:type="paragraph" w:styleId="ListContinue4">
    <w:name w:val="List Continue 4"/>
    <w:basedOn w:val="List4"/>
    <w:rsid w:val="00FA1C61"/>
    <w:pPr>
      <w:ind w:firstLine="0"/>
    </w:pPr>
  </w:style>
  <w:style w:type="paragraph" w:styleId="ListContinue5">
    <w:name w:val="List Continue 5"/>
    <w:basedOn w:val="List5"/>
    <w:rsid w:val="00FA1C61"/>
    <w:pPr>
      <w:ind w:firstLine="0"/>
    </w:pPr>
  </w:style>
  <w:style w:type="paragraph" w:styleId="ListNumber3">
    <w:name w:val="List Number 3"/>
    <w:basedOn w:val="List3"/>
    <w:rsid w:val="00FA1C61"/>
    <w:pPr>
      <w:numPr>
        <w:numId w:val="4"/>
      </w:numPr>
    </w:pPr>
  </w:style>
  <w:style w:type="paragraph" w:styleId="ListNumber4">
    <w:name w:val="List Number 4"/>
    <w:basedOn w:val="List4"/>
    <w:rsid w:val="00FA1C61"/>
    <w:pPr>
      <w:numPr>
        <w:numId w:val="5"/>
      </w:numPr>
    </w:pPr>
  </w:style>
  <w:style w:type="paragraph" w:styleId="ListNumber5">
    <w:name w:val="List Number 5"/>
    <w:basedOn w:val="List5"/>
    <w:rsid w:val="00FA1C61"/>
    <w:pPr>
      <w:numPr>
        <w:numId w:val="6"/>
      </w:numPr>
    </w:pPr>
  </w:style>
  <w:style w:type="paragraph" w:styleId="BlockText">
    <w:name w:val="Block Text"/>
    <w:basedOn w:val="Normal"/>
    <w:rsid w:val="00FA1C61"/>
    <w:pPr>
      <w:spacing w:after="120"/>
      <w:ind w:left="1440" w:right="1440"/>
    </w:pPr>
  </w:style>
  <w:style w:type="character" w:customStyle="1" w:styleId="Subscript">
    <w:name w:val="Subscript"/>
    <w:rsid w:val="00FA1C61"/>
    <w:rPr>
      <w:sz w:val="16"/>
      <w:vertAlign w:val="subscript"/>
    </w:rPr>
  </w:style>
  <w:style w:type="character" w:customStyle="1" w:styleId="Superscript">
    <w:name w:val="Superscript"/>
    <w:rsid w:val="00FA1C61"/>
    <w:rPr>
      <w:sz w:val="16"/>
      <w:vertAlign w:val="superscript"/>
    </w:rPr>
  </w:style>
  <w:style w:type="character" w:customStyle="1" w:styleId="Symbols">
    <w:name w:val="Symbols"/>
    <w:rsid w:val="00FA1C61"/>
    <w:rPr>
      <w:rFonts w:ascii="Symbol" w:hAnsi="Symbol"/>
    </w:rPr>
  </w:style>
  <w:style w:type="character" w:customStyle="1" w:styleId="MenuOptions">
    <w:name w:val="Menu Options"/>
    <w:rsid w:val="00FA1C61"/>
    <w:rPr>
      <w:rFonts w:ascii="Arial Narrow" w:hAnsi="Arial Narrow"/>
      <w:smallCaps/>
    </w:rPr>
  </w:style>
  <w:style w:type="character" w:customStyle="1" w:styleId="Buttons">
    <w:name w:val="Buttons"/>
    <w:rsid w:val="00FA1C61"/>
    <w:rPr>
      <w:b/>
    </w:rPr>
  </w:style>
  <w:style w:type="character" w:customStyle="1" w:styleId="Underlined">
    <w:name w:val="Underlined"/>
    <w:rsid w:val="00FA1C61"/>
    <w:rPr>
      <w:u w:val="single"/>
    </w:rPr>
  </w:style>
  <w:style w:type="paragraph" w:customStyle="1" w:styleId="TableBodyTextRight">
    <w:name w:val="Table Body Text Right"/>
    <w:basedOn w:val="TableBodyText"/>
    <w:rsid w:val="00FA1C61"/>
    <w:pPr>
      <w:widowControl w:val="0"/>
      <w:autoSpaceDE w:val="0"/>
      <w:autoSpaceDN w:val="0"/>
      <w:adjustRightInd w:val="0"/>
      <w:jc w:val="right"/>
    </w:pPr>
    <w:rPr>
      <w:rFonts w:cs="Arial"/>
      <w:szCs w:val="18"/>
    </w:rPr>
  </w:style>
  <w:style w:type="paragraph" w:customStyle="1" w:styleId="CopyrightText">
    <w:name w:val="Copyright Text"/>
    <w:basedOn w:val="BodyText"/>
    <w:rsid w:val="00FA1C61"/>
    <w:rPr>
      <w:sz w:val="18"/>
    </w:rPr>
  </w:style>
  <w:style w:type="paragraph" w:customStyle="1" w:styleId="BodySmallRight">
    <w:name w:val="Body Small Right"/>
    <w:basedOn w:val="BodyTextRight"/>
    <w:rsid w:val="00FA1C61"/>
    <w:rPr>
      <w:sz w:val="18"/>
      <w:szCs w:val="18"/>
    </w:rPr>
  </w:style>
  <w:style w:type="paragraph" w:customStyle="1" w:styleId="MarginEdition">
    <w:name w:val="Margin Edition"/>
    <w:basedOn w:val="MarginNote"/>
    <w:rsid w:val="00FA1C61"/>
    <w:pPr>
      <w:spacing w:before="0" w:after="0"/>
    </w:pPr>
    <w:rPr>
      <w:rFonts w:ascii="Times New Roman" w:hAnsi="Times New Roman"/>
      <w:color w:val="999999"/>
    </w:rPr>
  </w:style>
  <w:style w:type="paragraph" w:customStyle="1" w:styleId="Spacer">
    <w:name w:val="Spacer"/>
    <w:basedOn w:val="Normal"/>
    <w:rsid w:val="00FA1C61"/>
    <w:rPr>
      <w:sz w:val="2"/>
      <w:szCs w:val="2"/>
    </w:rPr>
  </w:style>
  <w:style w:type="character" w:customStyle="1" w:styleId="Small">
    <w:name w:val="Small"/>
    <w:rsid w:val="00FA1C61"/>
    <w:rPr>
      <w:sz w:val="16"/>
    </w:rPr>
  </w:style>
  <w:style w:type="paragraph" w:customStyle="1" w:styleId="WideTable">
    <w:name w:val="Wide Table"/>
    <w:basedOn w:val="Normal"/>
    <w:rsid w:val="00FA1C61"/>
    <w:pPr>
      <w:ind w:left="-1418"/>
    </w:pPr>
    <w:rPr>
      <w:sz w:val="2"/>
      <w:szCs w:val="2"/>
    </w:rPr>
  </w:style>
  <w:style w:type="character" w:styleId="PageNumber">
    <w:name w:val="page number"/>
    <w:rsid w:val="00FA1C61"/>
  </w:style>
  <w:style w:type="paragraph" w:styleId="Quote">
    <w:name w:val="Quote"/>
    <w:basedOn w:val="Heading1"/>
    <w:link w:val="QuoteChar"/>
    <w:qFormat/>
    <w:rsid w:val="00FA1C61"/>
    <w:rPr>
      <w:b w:val="0"/>
      <w:sz w:val="72"/>
      <w:szCs w:val="72"/>
      <w:lang w:val="en-NZ"/>
    </w:rPr>
  </w:style>
  <w:style w:type="character" w:customStyle="1" w:styleId="QuoteChar">
    <w:name w:val="Quote Char"/>
    <w:link w:val="Quote"/>
    <w:rsid w:val="00FA1C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1C61"/>
    <w:pPr>
      <w:pageBreakBefore/>
    </w:pPr>
  </w:style>
  <w:style w:type="paragraph" w:customStyle="1" w:styleId="Border">
    <w:name w:val="Border"/>
    <w:basedOn w:val="Normal"/>
    <w:qFormat/>
    <w:rsid w:val="00FA1C61"/>
    <w:pPr>
      <w:pBdr>
        <w:top w:val="single" w:sz="18" w:space="1" w:color="auto"/>
      </w:pBdr>
    </w:pPr>
    <w:rPr>
      <w:rFonts w:ascii="Times New Roman" w:hAnsi="Times New Roman"/>
      <w:color w:val="FFFFFF"/>
      <w:sz w:val="2"/>
    </w:rPr>
  </w:style>
  <w:style w:type="character" w:styleId="IntenseEmphasis">
    <w:name w:val="Intense Emphasis"/>
    <w:uiPriority w:val="21"/>
    <w:qFormat/>
    <w:rsid w:val="00FA1C61"/>
    <w:rPr>
      <w:b/>
      <w:bCs/>
      <w:i/>
      <w:iCs/>
      <w:color w:val="auto"/>
    </w:rPr>
  </w:style>
  <w:style w:type="paragraph" w:styleId="IntenseQuote">
    <w:name w:val="Intense Quote"/>
    <w:basedOn w:val="Normal"/>
    <w:next w:val="Normal"/>
    <w:link w:val="IntenseQuoteChar"/>
    <w:uiPriority w:val="30"/>
    <w:qFormat/>
    <w:rsid w:val="00FA1C6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A1C61"/>
    <w:rPr>
      <w:rFonts w:ascii="Courier New" w:eastAsia="Times New Roman" w:hAnsi="Courier New" w:cs="Times New Roman"/>
      <w:b/>
      <w:bCs/>
      <w:i/>
      <w:iCs/>
      <w:szCs w:val="20"/>
      <w:lang w:val="en-US" w:eastAsia="en-US"/>
    </w:rPr>
  </w:style>
  <w:style w:type="character" w:styleId="SubtleReference">
    <w:name w:val="Subtle Reference"/>
    <w:uiPriority w:val="31"/>
    <w:qFormat/>
    <w:rsid w:val="00FA1C61"/>
    <w:rPr>
      <w:smallCaps/>
      <w:color w:val="auto"/>
      <w:u w:val="single"/>
    </w:rPr>
  </w:style>
  <w:style w:type="character" w:styleId="IntenseReference">
    <w:name w:val="Intense Reference"/>
    <w:uiPriority w:val="32"/>
    <w:qFormat/>
    <w:rsid w:val="00FA1C61"/>
    <w:rPr>
      <w:b/>
      <w:bCs/>
      <w:smallCaps/>
      <w:color w:val="auto"/>
      <w:spacing w:val="5"/>
      <w:u w:val="single"/>
    </w:rPr>
  </w:style>
  <w:style w:type="paragraph" w:customStyle="1" w:styleId="2ColumnHeading">
    <w:name w:val="2Column Heading"/>
    <w:basedOn w:val="BodyText"/>
    <w:qFormat/>
    <w:rsid w:val="00FA1C61"/>
    <w:pPr>
      <w:spacing w:after="60"/>
      <w:ind w:left="-2268"/>
    </w:pPr>
    <w:rPr>
      <w:b/>
    </w:rPr>
  </w:style>
  <w:style w:type="paragraph" w:customStyle="1" w:styleId="Heading1TOC">
    <w:name w:val="Heading1 TOC"/>
    <w:basedOn w:val="Normal"/>
    <w:qFormat/>
    <w:rsid w:val="00FA1C61"/>
    <w:pPr>
      <w:spacing w:before="240" w:after="120"/>
    </w:pPr>
    <w:rPr>
      <w:rFonts w:ascii="Times New Roman" w:hAnsi="Times New Roman"/>
      <w:b/>
      <w:sz w:val="32"/>
    </w:rPr>
  </w:style>
  <w:style w:type="paragraph" w:customStyle="1" w:styleId="Heading2TOC">
    <w:name w:val="Heading2 TOC"/>
    <w:basedOn w:val="Normal"/>
    <w:qFormat/>
    <w:rsid w:val="00FA1C61"/>
    <w:pPr>
      <w:spacing w:before="240" w:after="60"/>
    </w:pPr>
    <w:rPr>
      <w:rFonts w:ascii="Times New Roman" w:hAnsi="Times New Roman"/>
      <w:b/>
      <w:sz w:val="28"/>
    </w:rPr>
  </w:style>
  <w:style w:type="character" w:customStyle="1" w:styleId="Underline">
    <w:name w:val="Underline"/>
    <w:qFormat/>
    <w:rsid w:val="00FA1C61"/>
    <w:rPr>
      <w:u w:val="single"/>
    </w:rPr>
  </w:style>
  <w:style w:type="character" w:customStyle="1" w:styleId="BoldandItalics">
    <w:name w:val="Bold and Italics"/>
    <w:qFormat/>
    <w:rsid w:val="00FA1C61"/>
    <w:rPr>
      <w:b/>
      <w:i/>
      <w:u w:val="none"/>
    </w:rPr>
  </w:style>
  <w:style w:type="paragraph" w:styleId="BalloonText">
    <w:name w:val="Balloon Text"/>
    <w:basedOn w:val="Normal"/>
    <w:link w:val="BalloonTextChar"/>
    <w:rsid w:val="00FA1C61"/>
    <w:rPr>
      <w:rFonts w:ascii="Tahoma" w:hAnsi="Tahoma" w:cs="Tahoma"/>
      <w:sz w:val="16"/>
      <w:szCs w:val="16"/>
    </w:rPr>
  </w:style>
  <w:style w:type="character" w:customStyle="1" w:styleId="BalloonTextChar">
    <w:name w:val="Balloon Text Char"/>
    <w:link w:val="BalloonText"/>
    <w:rsid w:val="00FA1C6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A1C6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A1C6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1317</Words>
  <Characters>8689</Characters>
  <Application>Microsoft Office Word</Application>
  <DocSecurity>0</DocSecurity>
  <Lines>310</Lines>
  <Paragraphs>136</Paragraphs>
  <ScaleCrop>false</ScaleCrop>
  <Company>Author-it Software Corporation Ltd.</Company>
  <LinksUpToDate>false</LinksUpToDate>
  <CharactersWithSpaces>9898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MEM18089B Maintain and repair central air handling systems</dc:title>
  <dc:subject>Approved</dc:subject>
  <dc:creator>Manufacturing Skills Australia</dc:creator>
  <cp:keywords>Release: 1</cp:keywords>
  <dc:description>Copyright © 1996-2007 Author-it Software Corporation Ltd., all rights reserved.</dc:description>
  <cp:lastModifiedBy>Andrew Campey</cp:lastModifiedBy>
  <cp:revision>3</cp:revision>
  <dcterms:created xsi:type="dcterms:W3CDTF">2012-05-27T01:57:00Z</dcterms:created>
  <dcterms:modified xsi:type="dcterms:W3CDTF">2012-05-27T01:57:00Z</dcterms:modified>
</cp:coreProperties>
</file>