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523" w:rsidP="00A24523">
      <w:pPr>
        <w:pStyle w:val="Title"/>
      </w:pPr>
      <w:r>
        <w:fldChar w:fldCharType="begin"/>
      </w:r>
      <w:r>
        <w:instrText xml:space="preserve"> TITLE   \* MERGEFORMAT </w:instrText>
      </w:r>
      <w:r>
        <w:fldChar w:fldCharType="separate"/>
      </w:r>
      <w:r>
        <w:t>MEM18071B Connect/disconnect fluid conveying system components</w:t>
      </w:r>
      <w:r>
        <w:fldChar w:fldCharType="end"/>
      </w:r>
    </w:p>
    <w:p w:rsidR="00A24523" w:rsidP="00A24523">
      <w:pPr>
        <w:pStyle w:val="Version"/>
        <w:sectPr w:rsidSect="00D87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FF9" w:rsidP="00D87FF9">
      <w:pPr>
        <w:pStyle w:val="SuperHeading"/>
      </w:pPr>
      <w:r w:rsidRPr="00D87FF9">
        <w:t>MEM18071B Connect/disconnect fluid conveying system components</w:t>
      </w:r>
    </w:p>
    <w:p w:rsidR="00000000" w:rsidRPr="00D87FF9" w:rsidP="00D87FF9">
      <w:pPr>
        <w:pStyle w:val="Heading1"/>
      </w:pPr>
      <w:bookmarkStart w:id="1" w:name="O_272291"/>
      <w:bookmarkEnd w:id="1"/>
      <w:r w:rsidRPr="00D87FF9">
        <w:t>Modification History</w:t>
      </w:r>
    </w:p>
    <w:p w:rsidR="00000000" w:rsidRPr="00D87FF9" w:rsidP="00D87FF9">
      <w:pPr>
        <w:pStyle w:val="BodyText"/>
      </w:pPr>
      <w:r w:rsidRPr="00D87FF9">
        <w:t>Not Applicable</w:t>
      </w:r>
    </w:p>
    <w:p w:rsidR="00000000" w:rsidRPr="00D87FF9" w:rsidP="00D87FF9">
      <w:pPr>
        <w:pStyle w:val="AllowPageBreak"/>
      </w:pPr>
    </w:p>
    <w:p w:rsidR="00000000" w:rsidRPr="00D87FF9" w:rsidP="00D87FF9">
      <w:pPr>
        <w:pStyle w:val="Heading1"/>
      </w:pPr>
      <w:bookmarkStart w:id="2" w:name="O_212475"/>
      <w:bookmarkEnd w:id="2"/>
      <w:r w:rsidRPr="00D87FF9">
        <w:t>Unit Descriptor</w:t>
      </w:r>
    </w:p>
    <w:tbl>
      <w:tblPr>
        <w:tblW w:w="0" w:type="auto"/>
        <w:tblLayout w:type="fixed"/>
        <w:tblCellMar>
          <w:left w:w="62" w:type="dxa"/>
          <w:right w:w="62" w:type="dxa"/>
        </w:tblCellMar>
        <w:tblLook w:val="0000"/>
      </w:tblPr>
      <w:tblGrid>
        <w:gridCol w:w="2655"/>
        <w:gridCol w:w="5867"/>
      </w:tblGrid>
      <w:tr w:rsidTr="00A24523">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Th</w:t>
            </w:r>
            <w:r w:rsidRPr="00D87FF9">
              <w:t>is unit covers safely removing/replacing a range of fluid conveying components and assemblies, and inspecting/testing fluid conveying assemblies.</w:t>
            </w:r>
          </w:p>
        </w:tc>
      </w:tr>
    </w:tbl>
    <w:p w:rsidR="00A24523" w:rsidP="00D87FF9">
      <w:pPr>
        <w:pStyle w:val="BodyText"/>
      </w:pPr>
    </w:p>
    <w:p w:rsidR="00A24523" w:rsidP="00D87FF9">
      <w:pPr>
        <w:pStyle w:val="BodyText"/>
      </w:pPr>
    </w:p>
    <w:p w:rsidR="00000000" w:rsidRPr="00D87FF9" w:rsidP="00D87FF9">
      <w:pPr>
        <w:pStyle w:val="Heading1"/>
      </w:pPr>
      <w:bookmarkStart w:id="3" w:name="O_212479"/>
      <w:bookmarkEnd w:id="3"/>
      <w:r w:rsidRPr="00D87FF9">
        <w:t>Application of the Unit</w:t>
      </w:r>
    </w:p>
    <w:tbl>
      <w:tblPr>
        <w:tblW w:w="0" w:type="auto"/>
        <w:tblLayout w:type="fixed"/>
        <w:tblCellMar>
          <w:left w:w="62" w:type="dxa"/>
          <w:right w:w="62" w:type="dxa"/>
        </w:tblCellMar>
        <w:tblLook w:val="0000"/>
      </w:tblPr>
      <w:tblGrid>
        <w:gridCol w:w="2738"/>
        <w:gridCol w:w="5784"/>
      </w:tblGrid>
      <w:tr w:rsidTr="00A24523">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 xml:space="preserve">This unit applies to repairs and replacement to pressure and suction systems on fixed and mobile plant/equipment, including marine, heavy plant and manufacturing plant applications. </w:t>
            </w:r>
          </w:p>
          <w:p w:rsidR="00000000" w:rsidRPr="00D87FF9" w:rsidP="00D87FF9">
            <w:pPr>
              <w:pStyle w:val="BodyText"/>
            </w:pPr>
            <w:r w:rsidRPr="00D87FF9">
              <w:t xml:space="preserve">Fluid conveying system applications may include, but are not limited to, </w:t>
            </w:r>
            <w:r w:rsidRPr="00D87FF9">
              <w:t>hydraulic, pneumatic, water, gas, acids/corrosives/alkalines, abrasives, petroleum and other dry/wet media.</w:t>
            </w:r>
          </w:p>
          <w:p w:rsidR="00000000" w:rsidRPr="00D87FF9" w:rsidP="00D87FF9">
            <w:pPr>
              <w:pStyle w:val="BodyText"/>
            </w:pPr>
            <w:r w:rsidRPr="00D87FF9">
              <w:t>System pressures would typically range from MEM10005B MPa to 35 MPa, ranging up to 70 MPa. Functional testing of fluid conveying components and asse</w:t>
            </w:r>
            <w:r w:rsidRPr="00D87FF9">
              <w:t>mblies may include in-situ and high pressure test rigs.</w:t>
            </w:r>
          </w:p>
          <w:p w:rsidR="00000000" w:rsidRPr="00D87FF9" w:rsidP="00D87FF9">
            <w:pPr>
              <w:pStyle w:val="BodyText"/>
            </w:pPr>
            <w:r w:rsidRPr="00D87FF9">
              <w:t>This unit should not be selected when Unit MEM18055B (Dismantle, replace and assemble engineering components) or Unit MEM18052B (Maintain fluid power systems for mobile plant) has already been selecte</w:t>
            </w:r>
            <w:r w:rsidRPr="00D87FF9">
              <w:t>d.</w:t>
            </w:r>
          </w:p>
          <w:p w:rsidR="00000000" w:rsidRPr="00D87FF9" w:rsidP="00D87FF9">
            <w:pPr>
              <w:pStyle w:val="BodyText"/>
            </w:pPr>
          </w:p>
          <w:p w:rsidR="00000000" w:rsidRPr="00D87FF9" w:rsidP="00D87FF9">
            <w:pPr>
              <w:pStyle w:val="BodyText"/>
            </w:pPr>
            <w:r w:rsidRPr="00D87FF9">
              <w:rPr>
                <w:rStyle w:val="SpecialBold"/>
              </w:rPr>
              <w:t>Band</w:t>
            </w:r>
            <w:r w:rsidRPr="00D87FF9">
              <w:t>:</w:t>
            </w:r>
            <w:r w:rsidRPr="00D87FF9">
              <w:tab/>
            </w:r>
            <w:r w:rsidRPr="00D87FF9">
              <w:rPr>
                <w:rStyle w:val="SpecialBold"/>
              </w:rPr>
              <w:t>A</w:t>
            </w:r>
          </w:p>
          <w:p w:rsidR="00000000" w:rsidRPr="00D87FF9" w:rsidP="00D87FF9">
            <w:pPr>
              <w:pStyle w:val="BodyText"/>
            </w:pPr>
            <w:r w:rsidRPr="00D87FF9">
              <w:rPr>
                <w:rStyle w:val="SpecialBold"/>
              </w:rPr>
              <w:t>Unit Weight</w:t>
            </w:r>
            <w:r w:rsidRPr="00D87FF9">
              <w:t>:</w:t>
            </w:r>
            <w:r w:rsidRPr="00D87FF9">
              <w:tab/>
            </w:r>
            <w:r w:rsidRPr="00D87FF9">
              <w:rPr>
                <w:rStyle w:val="SpecialBold"/>
              </w:rPr>
              <w:t>2</w:t>
            </w:r>
          </w:p>
        </w:tc>
      </w:tr>
    </w:tbl>
    <w:p w:rsidR="00A24523" w:rsidP="00D87FF9">
      <w:pPr>
        <w:pStyle w:val="BodyText"/>
      </w:pPr>
    </w:p>
    <w:p w:rsidR="00A24523" w:rsidP="00D87FF9">
      <w:pPr>
        <w:pStyle w:val="BodyText"/>
      </w:pPr>
    </w:p>
    <w:p w:rsidR="00000000" w:rsidRPr="00D87FF9" w:rsidP="00D87FF9">
      <w:pPr>
        <w:pStyle w:val="Heading1"/>
      </w:pPr>
      <w:bookmarkStart w:id="4" w:name="O_280551"/>
      <w:bookmarkEnd w:id="4"/>
      <w:r w:rsidRPr="00D87FF9">
        <w:t>Licensing/Regulatory Information</w:t>
      </w:r>
    </w:p>
    <w:p w:rsidR="00000000" w:rsidRPr="00D87FF9" w:rsidP="00D87FF9">
      <w:pPr>
        <w:pStyle w:val="BodyText"/>
      </w:pPr>
      <w:r w:rsidRPr="00D87FF9">
        <w:t>Not Applicable</w:t>
      </w:r>
    </w:p>
    <w:p w:rsidR="00000000" w:rsidRPr="00D87FF9" w:rsidP="00D87FF9">
      <w:pPr>
        <w:pStyle w:val="AllowPageBreak"/>
      </w:pPr>
    </w:p>
    <w:p w:rsidR="00000000" w:rsidRPr="00D87FF9" w:rsidP="00D87FF9">
      <w:pPr>
        <w:pStyle w:val="Heading1"/>
      </w:pPr>
      <w:bookmarkStart w:id="5" w:name="O_212477"/>
      <w:bookmarkEnd w:id="5"/>
      <w:r w:rsidRPr="00D87FF9">
        <w:t>Pre-Requisites</w:t>
      </w:r>
    </w:p>
    <w:tbl>
      <w:tblPr>
        <w:tblW w:w="0" w:type="auto"/>
        <w:tblLayout w:type="fixed"/>
        <w:tblCellMar>
          <w:left w:w="62" w:type="dxa"/>
          <w:right w:w="62" w:type="dxa"/>
        </w:tblCellMar>
        <w:tblLook w:val="0000"/>
      </w:tblPr>
      <w:tblGrid>
        <w:gridCol w:w="2719"/>
        <w:gridCol w:w="2207"/>
        <w:gridCol w:w="3596"/>
      </w:tblGrid>
      <w:tr w:rsidTr="00A24523">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p>
        </w:tc>
      </w:tr>
      <w:tr w:rsidTr="00A2452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Work safely with industrial chemicals and materials</w:t>
            </w:r>
          </w:p>
        </w:tc>
      </w:tr>
      <w:tr w:rsidTr="00A24523">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Use hand tools</w:t>
            </w:r>
          </w:p>
        </w:tc>
      </w:tr>
    </w:tbl>
    <w:p w:rsidR="00A24523" w:rsidP="00D87FF9">
      <w:pPr>
        <w:pStyle w:val="BodyText"/>
      </w:pPr>
    </w:p>
    <w:p w:rsidR="00A24523" w:rsidP="00D87FF9">
      <w:pPr>
        <w:pStyle w:val="BodyText"/>
      </w:pPr>
    </w:p>
    <w:p w:rsidR="00000000" w:rsidRPr="00D87FF9" w:rsidP="00D87FF9">
      <w:pPr>
        <w:pStyle w:val="Heading1"/>
      </w:pPr>
      <w:bookmarkStart w:id="6" w:name="O_212476"/>
      <w:bookmarkEnd w:id="6"/>
      <w:r w:rsidRPr="00D87FF9">
        <w:t>Employability Skills Information</w:t>
      </w:r>
    </w:p>
    <w:tbl>
      <w:tblPr>
        <w:tblW w:w="0" w:type="auto"/>
        <w:tblLayout w:type="fixed"/>
        <w:tblCellMar>
          <w:left w:w="62" w:type="dxa"/>
          <w:right w:w="62" w:type="dxa"/>
        </w:tblCellMar>
        <w:tblLook w:val="0000"/>
      </w:tblPr>
      <w:tblGrid>
        <w:gridCol w:w="2802"/>
        <w:gridCol w:w="5720"/>
      </w:tblGrid>
      <w:tr w:rsidTr="00A245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This unit contains employability skills.</w:t>
            </w:r>
          </w:p>
        </w:tc>
      </w:tr>
    </w:tbl>
    <w:p w:rsidR="00A24523" w:rsidP="00D87FF9">
      <w:pPr>
        <w:pStyle w:val="BodyText"/>
      </w:pPr>
    </w:p>
    <w:p w:rsidR="00A24523" w:rsidP="00D87FF9">
      <w:pPr>
        <w:pStyle w:val="BodyText"/>
      </w:pPr>
    </w:p>
    <w:p w:rsidR="00000000" w:rsidRPr="00D87FF9" w:rsidP="00D87FF9">
      <w:pPr>
        <w:pStyle w:val="Heading1"/>
      </w:pPr>
      <w:bookmarkStart w:id="7" w:name="O_290337"/>
      <w:bookmarkEnd w:id="7"/>
      <w:r w:rsidRPr="00D87FF9">
        <w:t>Elements and Performance Criteria Pre-Content</w:t>
      </w:r>
    </w:p>
    <w:tbl>
      <w:tblPr>
        <w:tblW w:w="0" w:type="auto"/>
        <w:tblLayout w:type="fixed"/>
        <w:tblCellMar>
          <w:left w:w="62" w:type="dxa"/>
          <w:right w:w="62" w:type="dxa"/>
        </w:tblCellMar>
        <w:tblLook w:val="0000"/>
      </w:tblPr>
      <w:tblGrid>
        <w:gridCol w:w="2517"/>
        <w:gridCol w:w="6005"/>
      </w:tblGrid>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Performance criteria describe the performance needed to demonstrate achievement of the element. Where bold italicised text is used, further information is detailed in the required skills and knowledge section and the range statement. Assessment of performa</w:t>
            </w:r>
            <w:r w:rsidRPr="00D87FF9">
              <w:t>nce is to be consistent with the evidence guide.</w:t>
            </w:r>
          </w:p>
        </w:tc>
      </w:tr>
    </w:tbl>
    <w:p w:rsidR="00000000" w:rsidRPr="00D87FF9" w:rsidP="00D87FF9">
      <w:pPr>
        <w:pStyle w:val="BodyText"/>
      </w:pPr>
    </w:p>
    <w:p w:rsidR="00000000" w:rsidRPr="00D87FF9" w:rsidP="00D87FF9">
      <w:pPr>
        <w:pStyle w:val="AllowPageBreak"/>
      </w:pPr>
    </w:p>
    <w:p w:rsidR="00000000" w:rsidRPr="00D87FF9" w:rsidP="00D87FF9">
      <w:pPr>
        <w:pStyle w:val="Heading1"/>
      </w:pPr>
      <w:bookmarkStart w:id="8" w:name="O_237004"/>
      <w:bookmarkEnd w:id="8"/>
      <w:r w:rsidRPr="00D87FF9">
        <w:t>Elements and Performance Criteria</w:t>
      </w:r>
    </w:p>
    <w:tbl>
      <w:tblPr>
        <w:tblW w:w="0" w:type="auto"/>
        <w:tblLayout w:type="fixed"/>
        <w:tblCellMar>
          <w:left w:w="62" w:type="dxa"/>
          <w:right w:w="62" w:type="dxa"/>
        </w:tblCellMar>
        <w:tblLook w:val="0000"/>
      </w:tblPr>
      <w:tblGrid>
        <w:gridCol w:w="2517"/>
        <w:gridCol w:w="6005"/>
      </w:tblGrid>
      <w:tr w:rsidTr="00A24523">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PERFORMANCE CRITERIA</w:t>
            </w:r>
          </w:p>
        </w:tc>
      </w:tr>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
              <w:rPr>
                <w:lang w:val="en-NZ"/>
              </w:rPr>
            </w:pPr>
            <w:r w:rsidRPr="00D87FF9">
              <w:t>1.</w:t>
            </w:r>
            <w:r w:rsidRPr="00D87FF9">
              <w:tab/>
              <w:t xml:space="preserve">Disconnect fluid conveying components and assemblies </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List2"/>
            </w:pPr>
            <w:r w:rsidRPr="00D87FF9">
              <w:t>1.1.</w:t>
            </w:r>
            <w:r w:rsidRPr="00D87FF9">
              <w:tab/>
              <w:t>Safety/risk assessment is carried out, potentially hazardous s</w:t>
            </w:r>
            <w:r w:rsidRPr="00D87FF9">
              <w:t>ituations/conditions are identified and safety devices are positioned as required.</w:t>
            </w:r>
          </w:p>
          <w:p w:rsidR="00000000" w:rsidRPr="00D87FF9" w:rsidP="00D87FF9">
            <w:pPr>
              <w:pStyle w:val="List2"/>
            </w:pPr>
            <w:r w:rsidRPr="00D87FF9">
              <w:t>1.2.</w:t>
            </w:r>
            <w:r w:rsidRPr="00D87FF9">
              <w:tab/>
              <w:t>Fluid conveying conductor lay out is noted, recorded and labelled to standard operating procedures.</w:t>
            </w:r>
          </w:p>
          <w:p w:rsidR="00000000" w:rsidRPr="00D87FF9" w:rsidP="00D87FF9">
            <w:pPr>
              <w:pStyle w:val="List2"/>
            </w:pPr>
            <w:r w:rsidRPr="00D87FF9">
              <w:t>1.3.</w:t>
            </w:r>
            <w:r w:rsidRPr="00D87FF9">
              <w:tab/>
              <w:t>Faulty component/assembly is identified using sp</w:t>
            </w:r>
            <w:r w:rsidRPr="00D87FF9">
              <w:t>ecific trouble-shooting procedures, reference documents and fluid power principles.</w:t>
            </w:r>
          </w:p>
          <w:p w:rsidR="00000000" w:rsidRPr="00D87FF9" w:rsidP="00D87FF9">
            <w:pPr>
              <w:pStyle w:val="List2"/>
            </w:pPr>
            <w:r w:rsidRPr="00D87FF9">
              <w:t>1.4.</w:t>
            </w:r>
            <w:r w:rsidRPr="00D87FF9">
              <w:tab/>
              <w:t>Fluid conveying components and assemblies are disconnected and removed using appropriate techniques, procedures, tools and equipment.</w:t>
            </w:r>
          </w:p>
          <w:p w:rsidR="00000000" w:rsidP="00D87FF9">
            <w:pPr>
              <w:pStyle w:val="List2"/>
              <w:rPr>
                <w:lang w:val="en-NZ"/>
              </w:rPr>
            </w:pPr>
            <w:r w:rsidRPr="00D87FF9">
              <w:t>1.5.</w:t>
            </w:r>
            <w:r w:rsidRPr="00D87FF9">
              <w:tab/>
              <w:t>Open system is adequately se</w:t>
            </w:r>
            <w:r w:rsidRPr="00D87FF9">
              <w:t>aled with standard or special purpose sealing materials.</w:t>
            </w:r>
          </w:p>
        </w:tc>
      </w:tr>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
              <w:rPr>
                <w:lang w:val="en-NZ"/>
              </w:rPr>
            </w:pPr>
            <w:r w:rsidRPr="00D87FF9">
              <w:t>2.</w:t>
            </w:r>
            <w:r w:rsidRPr="00D87FF9">
              <w:tab/>
              <w:t>Obtain replacement parts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2"/>
              <w:rPr>
                <w:lang w:val="en-NZ"/>
              </w:rPr>
            </w:pPr>
            <w:r w:rsidRPr="00D87FF9">
              <w:t>2.1.</w:t>
            </w:r>
            <w:r w:rsidRPr="00D87FF9">
              <w:tab/>
              <w:t>Replacement parts are selected from manufacturer catalogues and other relevant reference sources according to international standards and specifications.</w:t>
            </w:r>
          </w:p>
        </w:tc>
      </w:tr>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
              <w:rPr>
                <w:lang w:val="en-NZ"/>
              </w:rPr>
            </w:pPr>
            <w:r w:rsidRPr="00D87FF9">
              <w:t>3.</w:t>
            </w:r>
            <w:r w:rsidRPr="00D87FF9">
              <w:tab/>
              <w:t>Test an</w:t>
            </w:r>
            <w:r w:rsidRPr="00D87FF9">
              <w:t>d store components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List2"/>
            </w:pPr>
            <w:r w:rsidRPr="00D87FF9">
              <w:t>3.1.</w:t>
            </w:r>
            <w:r w:rsidRPr="00D87FF9">
              <w:tab/>
              <w:t>Fluid conveying assemblies and individual components are pressure tested according to industry and manufacturer standards and using fluid power principles.</w:t>
            </w:r>
          </w:p>
          <w:p w:rsidR="00000000" w:rsidRPr="00D87FF9" w:rsidP="00D87FF9">
            <w:pPr>
              <w:pStyle w:val="List2"/>
            </w:pPr>
            <w:r w:rsidRPr="00D87FF9">
              <w:t>3.2.</w:t>
            </w:r>
            <w:r w:rsidRPr="00D87FF9">
              <w:tab/>
              <w:t>Condition is assessed and noted according to standard operating procedu</w:t>
            </w:r>
            <w:r w:rsidRPr="00D87FF9">
              <w:t>res.</w:t>
            </w:r>
          </w:p>
          <w:p w:rsidR="00000000" w:rsidP="00D87FF9">
            <w:pPr>
              <w:pStyle w:val="List2"/>
              <w:rPr>
                <w:lang w:val="en-NZ"/>
              </w:rPr>
            </w:pPr>
            <w:r w:rsidRPr="00D87FF9">
              <w:t>3.3.</w:t>
            </w:r>
            <w:r w:rsidRPr="00D87FF9">
              <w:tab/>
              <w:t>Components/assemblies are cleaned, sealed and stored according to industry and manufacturer standards.</w:t>
            </w:r>
          </w:p>
        </w:tc>
      </w:tr>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
              <w:rPr>
                <w:lang w:val="en-NZ"/>
              </w:rPr>
            </w:pPr>
            <w:r w:rsidRPr="00D87FF9">
              <w:t>4.</w:t>
            </w:r>
            <w:r w:rsidRPr="00D87FF9">
              <w:tab/>
              <w:t>Connect fluid conveying components and assemblies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List2"/>
            </w:pPr>
            <w:r w:rsidRPr="00D87FF9">
              <w:t>4.1.</w:t>
            </w:r>
            <w:r w:rsidRPr="00D87FF9">
              <w:tab/>
              <w:t>Connections are checked and prepared for reconnection.</w:t>
            </w:r>
          </w:p>
          <w:p w:rsidR="00000000" w:rsidRPr="00D87FF9" w:rsidP="00D87FF9">
            <w:pPr>
              <w:pStyle w:val="List2"/>
            </w:pPr>
            <w:r w:rsidRPr="00D87FF9">
              <w:t>4.2.</w:t>
            </w:r>
            <w:r w:rsidRPr="00D87FF9">
              <w:tab/>
              <w:t>Components and assemblie</w:t>
            </w:r>
            <w:r w:rsidRPr="00D87FF9">
              <w:t>s are connected to equipment to specifications using appropriate techniques.</w:t>
            </w:r>
          </w:p>
          <w:p w:rsidR="00000000" w:rsidRPr="00D87FF9" w:rsidP="00D87FF9">
            <w:pPr>
              <w:pStyle w:val="List2"/>
            </w:pPr>
            <w:r w:rsidRPr="00D87FF9">
              <w:t>4.3.</w:t>
            </w:r>
            <w:r w:rsidRPr="00D87FF9">
              <w:tab/>
              <w:t>Tagged out equipment, signage and safety blocking devices are removed according to standard operating procedures.</w:t>
            </w:r>
          </w:p>
          <w:p w:rsidR="00000000" w:rsidP="00D87FF9">
            <w:pPr>
              <w:pStyle w:val="List2"/>
              <w:rPr>
                <w:lang w:val="en-NZ"/>
              </w:rPr>
            </w:pPr>
            <w:r w:rsidRPr="00D87FF9">
              <w:t>4.4.</w:t>
            </w:r>
            <w:r w:rsidRPr="00D87FF9">
              <w:tab/>
              <w:t>Equipment and fluid conveying systems are checked and t</w:t>
            </w:r>
            <w:r w:rsidRPr="00D87FF9">
              <w:t>ested for correct operation according to manufacturer and industry standards.</w:t>
            </w:r>
          </w:p>
        </w:tc>
      </w:tr>
      <w:tr w:rsidTr="00A2452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List"/>
              <w:rPr>
                <w:lang w:val="en-NZ"/>
              </w:rPr>
            </w:pPr>
            <w:r w:rsidRPr="00D87FF9">
              <w:t>5.</w:t>
            </w:r>
            <w:r w:rsidRPr="00D87FF9">
              <w:tab/>
              <w:t>Report results</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List2"/>
            </w:pPr>
            <w:r w:rsidRPr="00D87FF9">
              <w:t>5.1.</w:t>
            </w:r>
            <w:r w:rsidRPr="00D87FF9">
              <w:tab/>
              <w:t>Reporting and certification procedures are followed.</w:t>
            </w:r>
          </w:p>
          <w:p w:rsidR="00000000" w:rsidRPr="00D87FF9" w:rsidP="00D87FF9">
            <w:pPr>
              <w:pStyle w:val="List2"/>
            </w:pPr>
            <w:r w:rsidRPr="00D87FF9">
              <w:t>5.2.</w:t>
            </w:r>
            <w:r w:rsidRPr="00D87FF9">
              <w:tab/>
              <w:t>All relevant information is completed and correct.</w:t>
            </w:r>
          </w:p>
        </w:tc>
      </w:tr>
    </w:tbl>
    <w:p w:rsidR="00A24523" w:rsidP="00D87FF9">
      <w:pPr>
        <w:pStyle w:val="BodyText"/>
      </w:pPr>
    </w:p>
    <w:p w:rsidR="00A24523" w:rsidP="00D87FF9">
      <w:pPr>
        <w:pStyle w:val="BodyText"/>
      </w:pPr>
    </w:p>
    <w:p w:rsidR="00000000" w:rsidRPr="00D87FF9" w:rsidP="00D87FF9">
      <w:pPr>
        <w:pStyle w:val="Heading1"/>
      </w:pPr>
      <w:bookmarkStart w:id="9" w:name="O_260954"/>
      <w:bookmarkEnd w:id="9"/>
      <w:r w:rsidRPr="00D87FF9">
        <w:t>Required Skills and Knowledge</w:t>
      </w:r>
    </w:p>
    <w:tbl>
      <w:tblPr>
        <w:tblW w:w="0" w:type="auto"/>
        <w:tblLayout w:type="fixed"/>
        <w:tblCellMar>
          <w:left w:w="62" w:type="dxa"/>
          <w:right w:w="62" w:type="dxa"/>
        </w:tblCellMar>
        <w:tblLook w:val="0000"/>
      </w:tblPr>
      <w:tblGrid>
        <w:gridCol w:w="8522"/>
      </w:tblGrid>
      <w:tr w:rsidTr="00A245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REQUIRED SKILLS AND KNOWLEDGE</w:t>
            </w:r>
          </w:p>
        </w:tc>
      </w:tr>
      <w:tr w:rsidTr="00A245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This section describes the skills and knowledge required for this unit.</w:t>
            </w:r>
          </w:p>
        </w:tc>
      </w:tr>
      <w:tr w:rsidTr="00A24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Required skills</w:t>
            </w:r>
          </w:p>
        </w:tc>
      </w:tr>
      <w:tr w:rsidTr="00A24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Look for evidence that confirms skills in:</w:t>
            </w:r>
          </w:p>
          <w:p w:rsidR="00000000" w:rsidRPr="00D87FF9" w:rsidP="00D87FF9">
            <w:pPr>
              <w:pStyle w:val="ListBullet"/>
            </w:pPr>
            <w:r w:rsidRPr="00D87FF9">
              <w:t xml:space="preserve">identifying potentially hazardous situations </w:t>
            </w:r>
          </w:p>
          <w:p w:rsidR="00000000" w:rsidRPr="00D87FF9" w:rsidP="00D87FF9">
            <w:pPr>
              <w:pStyle w:val="ListBullet"/>
            </w:pPr>
            <w:r w:rsidRPr="00D87FF9">
              <w:t>tagging, locking off safety/security</w:t>
            </w:r>
          </w:p>
          <w:p w:rsidR="00000000" w:rsidRPr="00D87FF9" w:rsidP="00D87FF9">
            <w:pPr>
              <w:pStyle w:val="ListBullet"/>
            </w:pPr>
            <w:r w:rsidRPr="00D87FF9">
              <w:t>locating faulty component</w:t>
            </w:r>
          </w:p>
          <w:p w:rsidR="00000000" w:rsidRPr="00D87FF9" w:rsidP="00D87FF9">
            <w:pPr>
              <w:pStyle w:val="ListBullet"/>
            </w:pPr>
            <w:r w:rsidRPr="00D87FF9">
              <w:t xml:space="preserve">neutralising pressures </w:t>
            </w:r>
          </w:p>
          <w:p w:rsidR="00000000" w:rsidRPr="00D87FF9" w:rsidP="00D87FF9">
            <w:pPr>
              <w:pStyle w:val="ListBullet"/>
            </w:pPr>
            <w:r w:rsidRPr="00D87FF9">
              <w:t>removing components/assemblies</w:t>
            </w:r>
          </w:p>
          <w:p w:rsidR="00000000" w:rsidRPr="00D87FF9" w:rsidP="00D87FF9">
            <w:pPr>
              <w:pStyle w:val="ListBullet"/>
            </w:pPr>
            <w:r w:rsidRPr="00D87FF9">
              <w:t>applying safe working practices</w:t>
            </w:r>
          </w:p>
          <w:p w:rsidR="00000000" w:rsidRPr="00D87FF9" w:rsidP="00D87FF9">
            <w:pPr>
              <w:pStyle w:val="ListBullet"/>
            </w:pPr>
            <w:r w:rsidRPr="00D87FF9">
              <w:t>sealing system</w:t>
            </w:r>
          </w:p>
          <w:p w:rsidR="00000000" w:rsidRPr="00D87FF9" w:rsidP="00D87FF9">
            <w:pPr>
              <w:pStyle w:val="ListBullet"/>
            </w:pPr>
            <w:r w:rsidRPr="00D87FF9">
              <w:t>interpreting reference materials to identify required part(s)</w:t>
            </w:r>
          </w:p>
          <w:p w:rsidR="00000000" w:rsidRPr="00D87FF9" w:rsidP="00D87FF9">
            <w:pPr>
              <w:pStyle w:val="ListBullet"/>
            </w:pPr>
            <w:r w:rsidRPr="00D87FF9">
              <w:t>performing pressure testing</w:t>
            </w:r>
          </w:p>
          <w:p w:rsidR="00000000" w:rsidRPr="00D87FF9" w:rsidP="00D87FF9">
            <w:pPr>
              <w:pStyle w:val="ListBullet"/>
            </w:pPr>
            <w:r w:rsidRPr="00D87FF9">
              <w:t>u</w:t>
            </w:r>
            <w:r w:rsidRPr="00D87FF9">
              <w:t xml:space="preserve">ndertaking condition and serviceability assessment </w:t>
            </w:r>
          </w:p>
          <w:p w:rsidR="00000000" w:rsidRPr="00D87FF9" w:rsidP="00D87FF9">
            <w:pPr>
              <w:pStyle w:val="ListBullet"/>
            </w:pPr>
            <w:r w:rsidRPr="00D87FF9">
              <w:t>cleaning, sealing and storing components</w:t>
            </w:r>
          </w:p>
          <w:p w:rsidR="00000000" w:rsidRPr="00D87FF9" w:rsidP="00D87FF9">
            <w:pPr>
              <w:pStyle w:val="ListBullet"/>
            </w:pPr>
            <w:r w:rsidRPr="00D87FF9">
              <w:t>connecting components</w:t>
            </w:r>
          </w:p>
          <w:p w:rsidR="00000000" w:rsidRPr="00D87FF9" w:rsidP="00D87FF9">
            <w:pPr>
              <w:pStyle w:val="ListBullet"/>
            </w:pPr>
            <w:r w:rsidRPr="00D87FF9">
              <w:t>testing components</w:t>
            </w:r>
          </w:p>
          <w:p w:rsidR="00000000" w:rsidP="00D87FF9">
            <w:pPr>
              <w:pStyle w:val="ListBullet"/>
              <w:rPr>
                <w:lang w:val="en-NZ"/>
              </w:rPr>
            </w:pPr>
            <w:r w:rsidRPr="00D87FF9">
              <w:t>completing routine reports</w:t>
            </w:r>
          </w:p>
        </w:tc>
      </w:tr>
      <w:tr w:rsidTr="00A24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Required knowledge</w:t>
            </w:r>
          </w:p>
        </w:tc>
      </w:tr>
      <w:tr w:rsidTr="00A245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Look for evidence that confirms knowledge of:</w:t>
            </w:r>
          </w:p>
          <w:p w:rsidR="00000000" w:rsidRPr="00D87FF9" w:rsidP="00D87FF9">
            <w:pPr>
              <w:pStyle w:val="ListBullet"/>
            </w:pPr>
            <w:r w:rsidRPr="00D87FF9">
              <w:t xml:space="preserve">different sources of stored energy and their applications </w:t>
            </w:r>
          </w:p>
          <w:p w:rsidR="00000000" w:rsidRPr="00D87FF9" w:rsidP="00D87FF9">
            <w:pPr>
              <w:pStyle w:val="ListBullet"/>
            </w:pPr>
            <w:r w:rsidRPr="00D87FF9">
              <w:t>hazardous situations/conditions</w:t>
            </w:r>
          </w:p>
          <w:p w:rsidR="00000000" w:rsidRPr="00D87FF9" w:rsidP="00D87FF9">
            <w:pPr>
              <w:pStyle w:val="ListBullet"/>
            </w:pPr>
            <w:r w:rsidRPr="00D87FF9">
              <w:t>OHS responsibilities of customer and self</w:t>
            </w:r>
          </w:p>
          <w:p w:rsidR="00000000" w:rsidRPr="00D87FF9" w:rsidP="00D87FF9">
            <w:pPr>
              <w:pStyle w:val="ListBullet"/>
            </w:pPr>
            <w:r w:rsidRPr="00D87FF9">
              <w:t>safety/security lock-off devices and signage</w:t>
            </w:r>
          </w:p>
          <w:p w:rsidR="00000000" w:rsidRPr="00D87FF9" w:rsidP="00D87FF9">
            <w:pPr>
              <w:pStyle w:val="ListBullet"/>
            </w:pPr>
            <w:r w:rsidRPr="00D87FF9">
              <w:t>the reasons for installing lock-off devices and signage</w:t>
            </w:r>
          </w:p>
          <w:p w:rsidR="00000000" w:rsidRPr="00D87FF9" w:rsidP="00D87FF9">
            <w:pPr>
              <w:pStyle w:val="ListBullet"/>
            </w:pPr>
            <w:r w:rsidRPr="00D87FF9">
              <w:t>the procedures for ins</w:t>
            </w:r>
            <w:r w:rsidRPr="00D87FF9">
              <w:t>talling lock-off devices and signage</w:t>
            </w:r>
          </w:p>
          <w:p w:rsidR="00000000" w:rsidRPr="00D87FF9" w:rsidP="00D87FF9">
            <w:pPr>
              <w:pStyle w:val="ListBullet"/>
            </w:pPr>
            <w:r w:rsidRPr="00D87FF9">
              <w:t>procedures to record and label components</w:t>
            </w:r>
          </w:p>
          <w:p w:rsidR="00000000" w:rsidRPr="00D87FF9" w:rsidP="00D87FF9">
            <w:pPr>
              <w:pStyle w:val="ListBullet"/>
            </w:pPr>
            <w:r w:rsidRPr="00D87FF9">
              <w:t>trouble shooting techniques</w:t>
            </w:r>
          </w:p>
          <w:p w:rsidR="00000000" w:rsidRPr="00D87FF9" w:rsidP="00D87FF9">
            <w:pPr>
              <w:pStyle w:val="ListBullet"/>
            </w:pPr>
            <w:r w:rsidRPr="00D87FF9">
              <w:t>techniques, procedures and safety practices including neutralisation of pressures</w:t>
            </w:r>
          </w:p>
          <w:p w:rsidR="00000000" w:rsidRPr="00D87FF9" w:rsidP="00D87FF9">
            <w:pPr>
              <w:pStyle w:val="ListBullet"/>
            </w:pPr>
            <w:r w:rsidRPr="00D87FF9">
              <w:t xml:space="preserve">standard and specific sealing materials and techniques </w:t>
            </w:r>
          </w:p>
          <w:p w:rsidR="00000000" w:rsidRPr="00D87FF9" w:rsidP="00D87FF9">
            <w:pPr>
              <w:pStyle w:val="ListBullet"/>
            </w:pPr>
            <w:r w:rsidRPr="00D87FF9">
              <w:t>different f</w:t>
            </w:r>
            <w:r w:rsidRPr="00D87FF9">
              <w:t>luid conveying parts and their function</w:t>
            </w:r>
          </w:p>
          <w:p w:rsidR="00000000" w:rsidRPr="00D87FF9" w:rsidP="00D87FF9">
            <w:pPr>
              <w:pStyle w:val="ListBullet"/>
            </w:pPr>
            <w:r w:rsidRPr="00D87FF9">
              <w:t>techniques and safety practices for pressure testing</w:t>
            </w:r>
          </w:p>
          <w:p w:rsidR="00000000" w:rsidRPr="00D87FF9" w:rsidP="00D87FF9">
            <w:pPr>
              <w:pStyle w:val="ListBullet"/>
            </w:pPr>
            <w:r w:rsidRPr="00D87FF9">
              <w:t>basic functions of fluid power systems, including: effects of heat/contamination; pressures, flow rates and temperatures; hose strength and size; effect of media on hoses; test, operational and burst pressures</w:t>
            </w:r>
          </w:p>
          <w:p w:rsidR="00000000" w:rsidRPr="00D87FF9" w:rsidP="00D87FF9">
            <w:pPr>
              <w:pStyle w:val="ListBullet"/>
            </w:pPr>
            <w:r w:rsidRPr="00D87FF9">
              <w:t xml:space="preserve">criteria for assessment </w:t>
            </w:r>
          </w:p>
          <w:p w:rsidR="00000000" w:rsidRPr="00D87FF9" w:rsidP="00D87FF9">
            <w:pPr>
              <w:pStyle w:val="ListBullet"/>
            </w:pPr>
            <w:r w:rsidRPr="00D87FF9">
              <w:t>storage methods and r</w:t>
            </w:r>
            <w:r w:rsidRPr="00D87FF9">
              <w:t>equirements</w:t>
            </w:r>
          </w:p>
          <w:p w:rsidR="00000000" w:rsidRPr="00D87FF9" w:rsidP="00D87FF9">
            <w:pPr>
              <w:pStyle w:val="ListBullet"/>
            </w:pPr>
            <w:r w:rsidRPr="00D87FF9">
              <w:t>methods of cleaning, sealing and storing</w:t>
            </w:r>
          </w:p>
          <w:p w:rsidR="00000000" w:rsidRPr="00D87FF9" w:rsidP="00D87FF9">
            <w:pPr>
              <w:pStyle w:val="ListBullet"/>
            </w:pPr>
            <w:r w:rsidRPr="00D87FF9">
              <w:t>criteria for checking connection</w:t>
            </w:r>
          </w:p>
          <w:p w:rsidR="00000000" w:rsidRPr="00D87FF9" w:rsidP="00D87FF9">
            <w:pPr>
              <w:pStyle w:val="ListBullet"/>
            </w:pPr>
            <w:r w:rsidRPr="00D87FF9">
              <w:t>techniques for connection</w:t>
            </w:r>
          </w:p>
          <w:p w:rsidR="00000000" w:rsidRPr="00D87FF9" w:rsidP="00D87FF9">
            <w:pPr>
              <w:pStyle w:val="ListBullet"/>
            </w:pPr>
            <w:r w:rsidRPr="00D87FF9">
              <w:t xml:space="preserve">procedure for removal </w:t>
            </w:r>
          </w:p>
          <w:p w:rsidR="00000000" w:rsidRPr="00D87FF9" w:rsidP="00D87FF9">
            <w:pPr>
              <w:pStyle w:val="ListBullet"/>
            </w:pPr>
            <w:r w:rsidRPr="00D87FF9">
              <w:t>testing procedures</w:t>
            </w:r>
          </w:p>
          <w:p w:rsidR="00000000" w:rsidRPr="00D87FF9" w:rsidP="00D87FF9">
            <w:pPr>
              <w:pStyle w:val="ListBullet"/>
            </w:pPr>
            <w:r w:rsidRPr="00D87FF9">
              <w:t>safety requirements</w:t>
            </w:r>
          </w:p>
          <w:p w:rsidR="00000000" w:rsidRPr="00D87FF9" w:rsidP="00D87FF9">
            <w:pPr>
              <w:pStyle w:val="ListBullet"/>
            </w:pPr>
            <w:r w:rsidRPr="00D87FF9">
              <w:t>reporting procedures and media for reporting</w:t>
            </w:r>
          </w:p>
          <w:p w:rsidR="00000000" w:rsidRPr="00D87FF9" w:rsidP="00D87FF9">
            <w:pPr>
              <w:pStyle w:val="ListBullet"/>
            </w:pPr>
            <w:r w:rsidRPr="00D87FF9">
              <w:t>required information</w:t>
            </w:r>
          </w:p>
        </w:tc>
      </w:tr>
    </w:tbl>
    <w:p w:rsidR="00A24523" w:rsidP="00D87FF9">
      <w:pPr>
        <w:pStyle w:val="BodyText"/>
      </w:pPr>
    </w:p>
    <w:p w:rsidR="00A24523" w:rsidP="00D87FF9">
      <w:pPr>
        <w:pStyle w:val="BodyText"/>
      </w:pPr>
    </w:p>
    <w:p w:rsidR="00000000" w:rsidRPr="00D87FF9" w:rsidP="00D87FF9">
      <w:pPr>
        <w:pStyle w:val="AllowPageBreak"/>
      </w:pPr>
    </w:p>
    <w:p w:rsidR="00000000" w:rsidRPr="00D87FF9" w:rsidP="00D87FF9">
      <w:pPr>
        <w:pStyle w:val="Heading1"/>
      </w:pPr>
      <w:bookmarkStart w:id="10" w:name="O_244988"/>
      <w:bookmarkEnd w:id="10"/>
      <w:r w:rsidRPr="00D87FF9">
        <w:t>Evidence Guide</w:t>
      </w:r>
    </w:p>
    <w:tbl>
      <w:tblPr>
        <w:tblW w:w="9570" w:type="dxa"/>
        <w:tblLayout w:type="fixed"/>
        <w:tblCellMar>
          <w:left w:w="62" w:type="dxa"/>
          <w:right w:w="62" w:type="dxa"/>
        </w:tblCellMar>
        <w:tblLook w:val="0000"/>
      </w:tblPr>
      <w:tblGrid>
        <w:gridCol w:w="3908"/>
        <w:gridCol w:w="5662"/>
      </w:tblGrid>
      <w:tr w:rsidTr="00A245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EVIDENCE GUIDE</w:t>
            </w:r>
          </w:p>
        </w:tc>
      </w:tr>
      <w:tr w:rsidTr="00A245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The evidence guide provides advice on assessment and must be read in conjunction with the performance criteria, required skills and knowledge, range statement and the Assessment Guidelines for</w:t>
            </w:r>
            <w:r w:rsidRPr="00D87FF9">
              <w:t xml:space="preserve"> the Training Package.</w:t>
            </w:r>
          </w:p>
        </w:tc>
      </w:tr>
      <w:tr w:rsidTr="00A24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A person who demonstrates competency in this unit must be able to connect/disconnect fluid conveying system components. Competency in this unit cannot be claimed until all prerequisites have been satisfied.</w:t>
            </w:r>
          </w:p>
        </w:tc>
      </w:tr>
      <w:tr w:rsidTr="00A24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Assessors must be satisfied that the candidate can competently and consistently perform all elements of the unit as specified by the criteria, including required k</w:t>
            </w:r>
            <w:r w:rsidRPr="00D87FF9">
              <w:t>nowledge, and be capable of applying the competency in new and different situations and contexts.</w:t>
            </w:r>
          </w:p>
        </w:tc>
      </w:tr>
      <w:tr w:rsidTr="00A24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This unit may be assessed on the job, off the job or a combination of both on and off the job. Where assessm</w:t>
            </w:r>
            <w:r w:rsidRPr="00D87FF9">
              <w:t>ent occurs off the job, that is the candidate is not in productive work, then an appropriate simulation must be used where the range of conditions reflects realistic workplace situations. The competencies covered by this unit would be demonstrated by an in</w:t>
            </w:r>
            <w:r w:rsidRPr="00D87FF9">
              <w:t xml:space="preserve">dividual working alone or as part of a team. The assessment environment should not disadvantage the candidate. </w:t>
            </w:r>
          </w:p>
          <w:p w:rsidR="00000000" w:rsidP="00D87FF9">
            <w:pPr>
              <w:pStyle w:val="BodyText"/>
              <w:rPr>
                <w:lang w:val="en-NZ"/>
              </w:rPr>
            </w:pPr>
            <w:r w:rsidRPr="00D87FF9">
              <w:t>This unit could be assessed in conjunction with any other units address</w:t>
            </w:r>
            <w:r w:rsidRPr="00D87FF9">
              <w:t>ing the safety, quality, communication, materials handling, recording and reporting associated with connecting/disconnecting fluid conveying system components or other units requiring the exercise of the skills and knowledge covered by this unit.</w:t>
            </w:r>
          </w:p>
        </w:tc>
      </w:tr>
      <w:tr w:rsidTr="00A24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Method o</w:t>
            </w:r>
            <w:r w:rsidRPr="00D87FF9">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Assessors should gather a range of evidence that is valid, sufficient, current and authentic. Evidence can be gathered through a variety of ways including direct observation, supervisor's reports, project work, samples and questioning. Questio</w:t>
            </w:r>
            <w:r w:rsidRPr="00D87FF9">
              <w:t>ning techniques should not require language, literacy and numeracy skills beyond those required in this unit of competency. The candidate must have access to all tools, equipment, materials and documentation required. The candidate must be permitted to ref</w:t>
            </w:r>
            <w:r w:rsidRPr="00D87FF9">
              <w:t>er to any relevant workplace procedures, product and manufacturing specifications, codes, standards, manuals and reference materials.</w:t>
            </w:r>
          </w:p>
        </w:tc>
      </w:tr>
      <w:tr w:rsidTr="00A245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p>
        </w:tc>
      </w:tr>
    </w:tbl>
    <w:p w:rsidR="00A24523" w:rsidP="00D87FF9">
      <w:pPr>
        <w:pStyle w:val="BodyText"/>
      </w:pPr>
    </w:p>
    <w:p w:rsidR="00A24523" w:rsidP="00D87FF9">
      <w:pPr>
        <w:pStyle w:val="BodyText"/>
      </w:pPr>
    </w:p>
    <w:p w:rsidR="00000000" w:rsidRPr="00D87FF9" w:rsidP="00D87FF9">
      <w:pPr>
        <w:pStyle w:val="Heading1"/>
      </w:pPr>
      <w:bookmarkStart w:id="11" w:name="O_252971"/>
      <w:bookmarkEnd w:id="11"/>
      <w:r w:rsidRPr="00D87FF9">
        <w:t>Range Statement</w:t>
      </w:r>
    </w:p>
    <w:tbl>
      <w:tblPr>
        <w:tblW w:w="0" w:type="auto"/>
        <w:tblLayout w:type="fixed"/>
        <w:tblCellMar>
          <w:left w:w="62" w:type="dxa"/>
          <w:right w:w="62" w:type="dxa"/>
        </w:tblCellMar>
        <w:tblLook w:val="0000"/>
      </w:tblPr>
      <w:tblGrid>
        <w:gridCol w:w="3626"/>
        <w:gridCol w:w="4896"/>
      </w:tblGrid>
      <w:tr w:rsidTr="00A245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RANGE STATEMENT</w:t>
            </w:r>
          </w:p>
        </w:tc>
      </w:tr>
      <w:tr w:rsidTr="00A245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The range statement relates to the unit of competency as a whole. It allows for different work environments and situations that may affect performance. Bold italicised wording, if used in the performance criteria, is detailed below. Essential operating con</w:t>
            </w:r>
            <w:r w:rsidRPr="00D87FF9">
              <w:t>ditions that may be present with training and assessment (depending on the work situation, needs of the candidate, accessibility of the item, and local industry and regional contexts) may also be included.</w:t>
            </w:r>
          </w:p>
        </w:tc>
      </w:tr>
      <w:tr w:rsidTr="00A24523">
        <w:tblPrEx>
          <w:tblW w:w="0" w:type="auto"/>
          <w:tblLayout w:type="fixed"/>
          <w:tblCellMar>
            <w:left w:w="62" w:type="dxa"/>
            <w:right w:w="62" w:type="dxa"/>
          </w:tblCellMar>
          <w:tblLook w:val="0000"/>
        </w:tblPrEx>
        <w:tc>
          <w:tcPr>
            <w:tcW w:w="3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Potentially hazardous situations</w:t>
            </w:r>
            <w:r w:rsidRPr="00D87FF9">
              <w:t>/</w:t>
            </w:r>
            <w:r w:rsidRPr="00D87FF9">
              <w:rPr>
                <w:rStyle w:val="SpecialBold"/>
              </w:rPr>
              <w:t>conditions</w:t>
            </w:r>
          </w:p>
        </w:tc>
        <w:tc>
          <w:tcPr>
            <w:tcW w:w="4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Accu</w:t>
            </w:r>
            <w:r w:rsidRPr="00D87FF9">
              <w:t>mulated pressure, contamination, fluid handling</w:t>
            </w:r>
          </w:p>
        </w:tc>
      </w:tr>
      <w:tr w:rsidTr="00A24523">
        <w:tblPrEx>
          <w:tblW w:w="0" w:type="auto"/>
          <w:tblLayout w:type="fixed"/>
          <w:tblCellMar>
            <w:left w:w="62" w:type="dxa"/>
            <w:right w:w="62" w:type="dxa"/>
          </w:tblCellMar>
          <w:tblLook w:val="0000"/>
        </w:tblPrEx>
        <w:tc>
          <w:tcPr>
            <w:tcW w:w="3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Reference documents</w:t>
            </w:r>
          </w:p>
        </w:tc>
        <w:tc>
          <w:tcPr>
            <w:tcW w:w="4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t>Manufacturer product catalogues, tables and charts, schematic diagrams</w:t>
            </w:r>
          </w:p>
        </w:tc>
      </w:tr>
      <w:tr w:rsidTr="00A24523">
        <w:tblPrEx>
          <w:tblW w:w="0" w:type="auto"/>
          <w:tblLayout w:type="fixed"/>
          <w:tblCellMar>
            <w:left w:w="62" w:type="dxa"/>
            <w:right w:w="62" w:type="dxa"/>
          </w:tblCellMar>
          <w:tblLook w:val="0000"/>
        </w:tblPrEx>
        <w:tc>
          <w:tcPr>
            <w:tcW w:w="3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Components and assemblies</w:t>
            </w:r>
          </w:p>
        </w:tc>
        <w:tc>
          <w:tcPr>
            <w:tcW w:w="4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High pressure seals, seats, hoses, tubes, pipes, fittings, connectors, adaptors and ancho</w:t>
            </w:r>
            <w:r w:rsidRPr="00D87FF9">
              <w:t>rs, and other associated attachments</w:t>
            </w:r>
          </w:p>
        </w:tc>
      </w:tr>
    </w:tbl>
    <w:p w:rsidR="00A24523" w:rsidP="00D87FF9">
      <w:pPr>
        <w:pStyle w:val="BodyText"/>
      </w:pPr>
    </w:p>
    <w:p w:rsidR="00A24523" w:rsidP="00D87FF9">
      <w:pPr>
        <w:pStyle w:val="BodyText"/>
      </w:pPr>
    </w:p>
    <w:p w:rsidR="00000000" w:rsidRPr="00D87FF9" w:rsidP="00D87FF9">
      <w:pPr>
        <w:pStyle w:val="Heading1"/>
      </w:pPr>
      <w:bookmarkStart w:id="12" w:name="O_212481"/>
      <w:bookmarkEnd w:id="12"/>
      <w:r w:rsidRPr="00D87FF9">
        <w:t>Unit Sector(s)</w:t>
      </w:r>
    </w:p>
    <w:tbl>
      <w:tblPr>
        <w:tblW w:w="0" w:type="auto"/>
        <w:tblLayout w:type="fixed"/>
        <w:tblCellMar>
          <w:left w:w="62" w:type="dxa"/>
          <w:right w:w="62" w:type="dxa"/>
        </w:tblCellMar>
        <w:tblLook w:val="0000"/>
      </w:tblPr>
      <w:tblGrid>
        <w:gridCol w:w="2654"/>
        <w:gridCol w:w="5868"/>
      </w:tblGrid>
      <w:tr w:rsidTr="00A245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p>
        </w:tc>
      </w:tr>
    </w:tbl>
    <w:p w:rsidR="00A24523" w:rsidP="00D87FF9">
      <w:pPr>
        <w:pStyle w:val="BodyText"/>
      </w:pPr>
    </w:p>
    <w:p w:rsidR="00A24523" w:rsidP="00D87FF9">
      <w:pPr>
        <w:pStyle w:val="BodyText"/>
      </w:pPr>
    </w:p>
    <w:p w:rsidR="00000000" w:rsidRPr="00D87FF9" w:rsidP="00D87FF9">
      <w:pPr>
        <w:pStyle w:val="Heading1"/>
      </w:pPr>
      <w:bookmarkStart w:id="13" w:name="O_212478"/>
      <w:bookmarkEnd w:id="13"/>
      <w:r w:rsidRPr="00D87FF9">
        <w:t>Co-requisite units</w:t>
      </w:r>
    </w:p>
    <w:tbl>
      <w:tblPr>
        <w:tblW w:w="0" w:type="auto"/>
        <w:tblLayout w:type="fixed"/>
        <w:tblCellMar>
          <w:left w:w="62" w:type="dxa"/>
          <w:right w:w="62" w:type="dxa"/>
        </w:tblCellMar>
        <w:tblLook w:val="0000"/>
      </w:tblPr>
      <w:tblGrid>
        <w:gridCol w:w="2641"/>
        <w:gridCol w:w="1322"/>
        <w:gridCol w:w="4559"/>
      </w:tblGrid>
      <w:tr w:rsidTr="00A245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p>
        </w:tc>
      </w:tr>
      <w:tr w:rsidTr="00A245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p>
        </w:tc>
      </w:tr>
      <w:tr w:rsidTr="00A245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p>
        </w:tc>
      </w:tr>
    </w:tbl>
    <w:p w:rsidR="00A24523" w:rsidP="00D87FF9">
      <w:pPr>
        <w:pStyle w:val="BodyText"/>
      </w:pPr>
    </w:p>
    <w:p w:rsidR="00A24523" w:rsidP="00D87FF9">
      <w:pPr>
        <w:pStyle w:val="BodyText"/>
      </w:pPr>
    </w:p>
    <w:p w:rsidR="00000000" w:rsidRPr="00D87FF9" w:rsidP="00D87FF9">
      <w:pPr>
        <w:pStyle w:val="Heading1"/>
      </w:pPr>
      <w:bookmarkStart w:id="14" w:name="O_212480"/>
      <w:bookmarkEnd w:id="14"/>
      <w:r w:rsidRPr="00D87FF9">
        <w:t>Competency field</w:t>
      </w:r>
    </w:p>
    <w:tbl>
      <w:tblPr>
        <w:tblW w:w="0" w:type="auto"/>
        <w:tblLayout w:type="fixed"/>
        <w:tblCellMar>
          <w:left w:w="62" w:type="dxa"/>
          <w:right w:w="62" w:type="dxa"/>
        </w:tblCellMar>
        <w:tblLook w:val="0000"/>
      </w:tblPr>
      <w:tblGrid>
        <w:gridCol w:w="2775"/>
        <w:gridCol w:w="5747"/>
      </w:tblGrid>
      <w:tr w:rsidTr="00A245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FF9">
            <w:pPr>
              <w:pStyle w:val="BodyText"/>
              <w:rPr>
                <w:lang w:val="en-NZ"/>
              </w:rPr>
            </w:pPr>
            <w:r w:rsidRPr="00D87FF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FF9" w:rsidP="00D87FF9">
            <w:pPr>
              <w:pStyle w:val="BodyText"/>
            </w:pPr>
            <w:r w:rsidRPr="00D87FF9">
              <w:t>Maintenance and diagnostics</w:t>
            </w:r>
          </w:p>
        </w:tc>
      </w:tr>
    </w:tbl>
    <w:p w:rsidR="00A24523" w:rsidP="00D87FF9">
      <w:pPr>
        <w:pStyle w:val="BodyText"/>
      </w:pPr>
    </w:p>
    <w:p w:rsidR="00A24523" w:rsidP="00D87FF9">
      <w:pPr>
        <w:pStyle w:val="BodyText"/>
      </w:pPr>
    </w:p>
    <w:p w:rsidR="00000000" w:rsidRPr="00D87FF9" w:rsidP="00D87FF9"/>
    <w:sectPr w:rsidSect="00D87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523" w:rsidP="00A24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23" w:rsidP="00D87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4523" w:rsidP="00D87F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4523" w:rsidP="00D87F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F9" w:rsidRPr="00A24523" w:rsidP="00A245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23" w:rsidP="00D87FF9">
    <w:pPr>
      <w:pStyle w:val="Header"/>
      <w:framePr w:wrap="around"/>
    </w:pPr>
    <w:r>
      <w:fldChar w:fldCharType="begin"/>
    </w:r>
    <w:r>
      <w:instrText xml:space="preserve"> TITLE   \* MERGEFORMAT </w:instrText>
    </w:r>
    <w:r>
      <w:fldChar w:fldCharType="separate"/>
    </w:r>
    <w:r>
      <w:t>MEM18071B Connect/disconnect fluid conveying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523" w:rsidP="00D87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0A4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0E6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FF9"/>
    <w:pPr>
      <w:spacing w:before="360" w:after="60"/>
      <w:outlineLvl w:val="0"/>
    </w:pPr>
    <w:rPr>
      <w:sz w:val="32"/>
    </w:rPr>
  </w:style>
  <w:style w:type="paragraph" w:styleId="Heading2">
    <w:name w:val="heading 2"/>
    <w:basedOn w:val="HeadingBase"/>
    <w:next w:val="BodyText"/>
    <w:link w:val="Heading2Char"/>
    <w:qFormat/>
    <w:rsid w:val="00D87FF9"/>
    <w:pPr>
      <w:keepLines/>
      <w:spacing w:before="240" w:after="120"/>
      <w:outlineLvl w:val="1"/>
    </w:pPr>
    <w:rPr>
      <w:sz w:val="28"/>
      <w:szCs w:val="40"/>
    </w:rPr>
  </w:style>
  <w:style w:type="paragraph" w:styleId="Heading3">
    <w:name w:val="heading 3"/>
    <w:basedOn w:val="HeadingBase"/>
    <w:next w:val="BodyText"/>
    <w:link w:val="Heading3Char"/>
    <w:qFormat/>
    <w:rsid w:val="00D87FF9"/>
    <w:pPr>
      <w:spacing w:before="180" w:after="120"/>
      <w:outlineLvl w:val="2"/>
    </w:pPr>
    <w:rPr>
      <w:spacing w:val="-10"/>
      <w:kern w:val="32"/>
    </w:rPr>
  </w:style>
  <w:style w:type="paragraph" w:styleId="Heading4">
    <w:name w:val="heading 4"/>
    <w:basedOn w:val="HeadingBase"/>
    <w:next w:val="BodyText"/>
    <w:link w:val="Heading4Char"/>
    <w:qFormat/>
    <w:rsid w:val="00D87FF9"/>
    <w:pPr>
      <w:spacing w:before="160" w:after="120"/>
      <w:outlineLvl w:val="3"/>
    </w:pPr>
    <w:rPr>
      <w:sz w:val="22"/>
    </w:rPr>
  </w:style>
  <w:style w:type="paragraph" w:styleId="Heading5">
    <w:name w:val="heading 5"/>
    <w:basedOn w:val="HeadingBase"/>
    <w:next w:val="Normal"/>
    <w:link w:val="Heading5Char"/>
    <w:qFormat/>
    <w:rsid w:val="00D87FF9"/>
    <w:pPr>
      <w:spacing w:before="80"/>
      <w:outlineLvl w:val="4"/>
    </w:pPr>
    <w:rPr>
      <w:color w:val="918585"/>
      <w:sz w:val="20"/>
    </w:rPr>
  </w:style>
  <w:style w:type="paragraph" w:styleId="Heading6">
    <w:name w:val="heading 6"/>
    <w:basedOn w:val="HeadingBase"/>
    <w:next w:val="Normal"/>
    <w:link w:val="Heading6Char"/>
    <w:qFormat/>
    <w:rsid w:val="00D87FF9"/>
    <w:pPr>
      <w:spacing w:before="60"/>
      <w:outlineLvl w:val="5"/>
    </w:pPr>
    <w:rPr>
      <w:color w:val="918585"/>
      <w:sz w:val="20"/>
    </w:rPr>
  </w:style>
  <w:style w:type="paragraph" w:styleId="Heading7">
    <w:name w:val="heading 7"/>
    <w:basedOn w:val="Normal"/>
    <w:next w:val="Normal"/>
    <w:link w:val="Heading7Char"/>
    <w:qFormat/>
    <w:rsid w:val="00D87FF9"/>
    <w:pPr>
      <w:ind w:left="720"/>
      <w:outlineLvl w:val="6"/>
    </w:pPr>
    <w:rPr>
      <w:i/>
    </w:rPr>
  </w:style>
  <w:style w:type="paragraph" w:styleId="Heading8">
    <w:name w:val="heading 8"/>
    <w:basedOn w:val="Normal"/>
    <w:next w:val="Normal"/>
    <w:link w:val="Heading8Char"/>
    <w:qFormat/>
    <w:rsid w:val="00D87FF9"/>
    <w:pPr>
      <w:ind w:left="720"/>
      <w:outlineLvl w:val="7"/>
    </w:pPr>
    <w:rPr>
      <w:i/>
    </w:rPr>
  </w:style>
  <w:style w:type="paragraph" w:styleId="Heading9">
    <w:name w:val="heading 9"/>
    <w:basedOn w:val="Normal"/>
    <w:next w:val="Normal"/>
    <w:link w:val="Heading9Char"/>
    <w:qFormat/>
    <w:rsid w:val="00D87FF9"/>
    <w:pPr>
      <w:ind w:left="720"/>
      <w:outlineLvl w:val="8"/>
    </w:pPr>
    <w:rPr>
      <w:i/>
    </w:rPr>
  </w:style>
  <w:style w:type="character" w:default="1" w:styleId="DefaultParagraphFont">
    <w:name w:val="Default Paragraph Font"/>
    <w:uiPriority w:val="1"/>
    <w:unhideWhenUsed/>
    <w:rsid w:val="00D87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FF9"/>
  </w:style>
  <w:style w:type="character" w:customStyle="1" w:styleId="Heading1Char">
    <w:name w:val="Heading 1 Char"/>
    <w:link w:val="Heading1"/>
    <w:rsid w:val="00D87FF9"/>
    <w:rPr>
      <w:rFonts w:ascii="Times New Roman" w:eastAsia="Times New Roman" w:hAnsi="Times New Roman" w:cs="Times New Roman"/>
      <w:b/>
      <w:sz w:val="32"/>
      <w:szCs w:val="20"/>
      <w:lang w:eastAsia="en-US"/>
    </w:rPr>
  </w:style>
  <w:style w:type="paragraph" w:styleId="BodyText">
    <w:name w:val="Body Text"/>
    <w:basedOn w:val="Normal"/>
    <w:link w:val="BodyTextChar"/>
    <w:rsid w:val="00D87FF9"/>
    <w:pPr>
      <w:spacing w:before="120" w:after="120"/>
      <w:contextualSpacing/>
    </w:pPr>
    <w:rPr>
      <w:rFonts w:ascii="Times New Roman" w:hAnsi="Times New Roman"/>
      <w:sz w:val="24"/>
      <w:szCs w:val="22"/>
    </w:rPr>
  </w:style>
  <w:style w:type="character" w:customStyle="1" w:styleId="BodyTextChar">
    <w:name w:val="Body Text Char"/>
    <w:link w:val="BodyText"/>
    <w:rsid w:val="00D87FF9"/>
    <w:rPr>
      <w:rFonts w:ascii="Times New Roman" w:eastAsia="Times New Roman" w:hAnsi="Times New Roman" w:cs="Times New Roman"/>
      <w:sz w:val="24"/>
      <w:lang w:val="en-US" w:eastAsia="en-US"/>
    </w:rPr>
  </w:style>
  <w:style w:type="paragraph" w:styleId="Footer">
    <w:name w:val="footer"/>
    <w:basedOn w:val="Normal"/>
    <w:link w:val="FooterChar"/>
    <w:rsid w:val="00D87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7FF9"/>
    <w:rPr>
      <w:rFonts w:ascii="Times New Roman" w:eastAsia="Times New Roman" w:hAnsi="Times New Roman" w:cs="Times New Roman"/>
      <w:sz w:val="16"/>
      <w:lang w:val="en-US" w:eastAsia="en-US"/>
    </w:rPr>
  </w:style>
  <w:style w:type="paragraph" w:styleId="List">
    <w:name w:val="List"/>
    <w:basedOn w:val="BodyText"/>
    <w:next w:val="BodyText"/>
    <w:rsid w:val="00D87FF9"/>
    <w:pPr>
      <w:tabs>
        <w:tab w:val="left" w:pos="340"/>
      </w:tabs>
      <w:spacing w:before="60" w:after="60"/>
      <w:ind w:left="340" w:hanging="340"/>
    </w:pPr>
  </w:style>
  <w:style w:type="paragraph" w:styleId="ListBullet">
    <w:name w:val="List Bullet"/>
    <w:basedOn w:val="List"/>
    <w:rsid w:val="00D87FF9"/>
    <w:pPr>
      <w:numPr>
        <w:numId w:val="12"/>
      </w:numPr>
      <w:tabs>
        <w:tab w:val="clear" w:pos="340"/>
      </w:tabs>
      <w:spacing w:before="40" w:after="40"/>
    </w:pPr>
  </w:style>
  <w:style w:type="character" w:customStyle="1" w:styleId="SpecialBold">
    <w:name w:val="Special Bold"/>
    <w:rsid w:val="00D87FF9"/>
    <w:rPr>
      <w:b/>
      <w:spacing w:val="0"/>
    </w:rPr>
  </w:style>
  <w:style w:type="paragraph" w:customStyle="1" w:styleId="SuperHeading">
    <w:name w:val="SuperHeading"/>
    <w:basedOn w:val="Normal"/>
    <w:rsid w:val="00D87FF9"/>
    <w:pPr>
      <w:spacing w:before="240" w:after="120"/>
      <w:outlineLvl w:val="0"/>
    </w:pPr>
    <w:rPr>
      <w:rFonts w:ascii="Times New Roman" w:hAnsi="Times New Roman"/>
      <w:b/>
      <w:sz w:val="28"/>
    </w:rPr>
  </w:style>
  <w:style w:type="paragraph" w:customStyle="1" w:styleId="AllowPageBreak">
    <w:name w:val="AllowPageBreak"/>
    <w:rsid w:val="00D87F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7FF9"/>
    <w:pPr>
      <w:tabs>
        <w:tab w:val="left" w:pos="680"/>
      </w:tabs>
      <w:spacing w:before="60" w:after="60"/>
      <w:ind w:left="680" w:hanging="340"/>
    </w:pPr>
  </w:style>
  <w:style w:type="character" w:customStyle="1" w:styleId="Heading2Char">
    <w:name w:val="Heading 2 Char"/>
    <w:link w:val="Heading2"/>
    <w:rsid w:val="00D87FF9"/>
    <w:rPr>
      <w:rFonts w:ascii="Times New Roman" w:eastAsia="Times New Roman" w:hAnsi="Times New Roman" w:cs="Times New Roman"/>
      <w:b/>
      <w:sz w:val="28"/>
      <w:szCs w:val="40"/>
      <w:lang w:eastAsia="en-US"/>
    </w:rPr>
  </w:style>
  <w:style w:type="character" w:customStyle="1" w:styleId="Heading3Char">
    <w:name w:val="Heading 3 Char"/>
    <w:link w:val="Heading3"/>
    <w:rsid w:val="00D87F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7FF9"/>
    <w:rPr>
      <w:rFonts w:ascii="Times New Roman" w:eastAsia="Times New Roman" w:hAnsi="Times New Roman" w:cs="Times New Roman"/>
      <w:b/>
      <w:szCs w:val="20"/>
      <w:lang w:eastAsia="en-US"/>
    </w:rPr>
  </w:style>
  <w:style w:type="character" w:customStyle="1" w:styleId="Heading5Char">
    <w:name w:val="Heading 5 Char"/>
    <w:link w:val="Heading5"/>
    <w:rsid w:val="00D87F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7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F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F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FF9"/>
    <w:rPr>
      <w:rFonts w:ascii="Courier New" w:eastAsia="Times New Roman" w:hAnsi="Courier New" w:cs="Times New Roman"/>
      <w:i/>
      <w:szCs w:val="20"/>
      <w:lang w:val="en-US" w:eastAsia="en-US"/>
    </w:rPr>
  </w:style>
  <w:style w:type="paragraph" w:customStyle="1" w:styleId="HeadingBase">
    <w:name w:val="Heading Base"/>
    <w:rsid w:val="00D87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FF9"/>
    <w:pPr>
      <w:tabs>
        <w:tab w:val="right" w:leader="dot" w:pos="9072"/>
      </w:tabs>
      <w:ind w:left="567"/>
    </w:pPr>
    <w:rPr>
      <w:szCs w:val="22"/>
    </w:rPr>
  </w:style>
  <w:style w:type="paragraph" w:customStyle="1" w:styleId="TOCBase">
    <w:name w:val="TOC Base"/>
    <w:rsid w:val="00D87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FF9"/>
    <w:pPr>
      <w:tabs>
        <w:tab w:val="right" w:leader="dot" w:pos="9072"/>
      </w:tabs>
      <w:spacing w:before="40" w:after="40"/>
      <w:ind w:left="284"/>
    </w:pPr>
    <w:rPr>
      <w:rFonts w:ascii="Times New Roman" w:hAnsi="Times New Roman"/>
    </w:rPr>
  </w:style>
  <w:style w:type="paragraph" w:styleId="TOC1">
    <w:name w:val="toc 1"/>
    <w:basedOn w:val="TOCBase"/>
    <w:next w:val="Normal"/>
    <w:rsid w:val="00D87F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FF9"/>
    <w:pPr>
      <w:spacing w:before="5040"/>
      <w:jc w:val="center"/>
    </w:pPr>
    <w:rPr>
      <w:sz w:val="48"/>
      <w:szCs w:val="72"/>
      <w:lang w:val="en-US"/>
    </w:rPr>
  </w:style>
  <w:style w:type="character" w:customStyle="1" w:styleId="TitleChar">
    <w:name w:val="Title Char"/>
    <w:link w:val="Title"/>
    <w:rsid w:val="00D87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FF9"/>
    <w:pPr>
      <w:tabs>
        <w:tab w:val="left" w:pos="3600"/>
        <w:tab w:val="left" w:pos="3958"/>
      </w:tabs>
    </w:pPr>
  </w:style>
  <w:style w:type="paragraph" w:customStyle="1" w:styleId="Note">
    <w:name w:val="Note"/>
    <w:basedOn w:val="BodyText"/>
    <w:rsid w:val="00D87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FF9"/>
    <w:pPr>
      <w:framePr w:wrap="auto" w:hAnchor="text" w:y="6049"/>
    </w:pPr>
    <w:rPr>
      <w:color w:val="000000"/>
      <w:sz w:val="40"/>
    </w:rPr>
  </w:style>
  <w:style w:type="paragraph" w:customStyle="1" w:styleId="TOCTitle">
    <w:name w:val="TOCTitle"/>
    <w:basedOn w:val="Heading1"/>
    <w:rsid w:val="00D87FF9"/>
    <w:pPr>
      <w:spacing w:after="240"/>
      <w:jc w:val="center"/>
      <w:outlineLvl w:val="9"/>
    </w:pPr>
    <w:rPr>
      <w:caps/>
    </w:rPr>
  </w:style>
  <w:style w:type="paragraph" w:customStyle="1" w:styleId="Version">
    <w:name w:val="Version"/>
    <w:rsid w:val="00D87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FF9"/>
    <w:pPr>
      <w:numPr>
        <w:numId w:val="13"/>
      </w:numPr>
      <w:tabs>
        <w:tab w:val="clear" w:pos="680"/>
      </w:tabs>
    </w:pPr>
  </w:style>
  <w:style w:type="paragraph" w:styleId="Index1">
    <w:name w:val="index 1"/>
    <w:basedOn w:val="Normal"/>
    <w:next w:val="Normal"/>
    <w:semiHidden/>
    <w:rsid w:val="00D87FF9"/>
    <w:pPr>
      <w:keepNext w:val="0"/>
      <w:tabs>
        <w:tab w:val="right" w:pos="4176"/>
      </w:tabs>
      <w:ind w:left="198" w:hanging="198"/>
    </w:pPr>
    <w:rPr>
      <w:rFonts w:ascii="Garamond" w:hAnsi="Garamond"/>
    </w:rPr>
  </w:style>
  <w:style w:type="paragraph" w:styleId="IndexHeading">
    <w:name w:val="index heading"/>
    <w:basedOn w:val="Normal"/>
    <w:next w:val="Index1"/>
    <w:semiHidden/>
    <w:rsid w:val="00D87FF9"/>
    <w:pPr>
      <w:spacing w:before="120" w:after="120"/>
    </w:pPr>
    <w:rPr>
      <w:rFonts w:ascii="Arial" w:hAnsi="Arial"/>
      <w:b/>
      <w:color w:val="918585"/>
      <w:sz w:val="24"/>
    </w:rPr>
  </w:style>
  <w:style w:type="paragraph" w:styleId="Header">
    <w:name w:val="header"/>
    <w:basedOn w:val="Normal"/>
    <w:link w:val="HeaderChar"/>
    <w:rsid w:val="00D87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7FF9"/>
    <w:rPr>
      <w:rFonts w:ascii="Times New Roman" w:eastAsia="Times New Roman" w:hAnsi="Times New Roman" w:cs="Times New Roman"/>
      <w:sz w:val="16"/>
      <w:szCs w:val="20"/>
      <w:lang w:val="en-GB" w:eastAsia="en-US"/>
    </w:rPr>
  </w:style>
  <w:style w:type="paragraph" w:customStyle="1" w:styleId="Chapter">
    <w:name w:val="Chapter"/>
    <w:basedOn w:val="Normal"/>
    <w:rsid w:val="00D87FF9"/>
    <w:pPr>
      <w:spacing w:before="240"/>
    </w:pPr>
    <w:rPr>
      <w:rFonts w:ascii="Times New Roman" w:hAnsi="Times New Roman"/>
      <w:smallCaps/>
      <w:spacing w:val="80"/>
      <w:sz w:val="28"/>
    </w:rPr>
  </w:style>
  <w:style w:type="paragraph" w:customStyle="1" w:styleId="InChapter">
    <w:name w:val="InChapter"/>
    <w:basedOn w:val="Heading3"/>
    <w:rsid w:val="00D87FF9"/>
    <w:pPr>
      <w:spacing w:after="240"/>
      <w:outlineLvl w:val="9"/>
    </w:pPr>
    <w:rPr>
      <w:noProof/>
    </w:rPr>
  </w:style>
  <w:style w:type="paragraph" w:styleId="Index2">
    <w:name w:val="index 2"/>
    <w:basedOn w:val="Normal"/>
    <w:next w:val="Normal"/>
    <w:semiHidden/>
    <w:rsid w:val="00D87FF9"/>
    <w:pPr>
      <w:tabs>
        <w:tab w:val="right" w:pos="4176"/>
      </w:tabs>
      <w:ind w:left="568" w:hanging="284"/>
    </w:pPr>
    <w:rPr>
      <w:rFonts w:ascii="Garamond" w:hAnsi="Garamond"/>
    </w:rPr>
  </w:style>
  <w:style w:type="paragraph" w:customStyle="1" w:styleId="Byline">
    <w:name w:val="Byline"/>
    <w:rsid w:val="00D87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FF9"/>
    <w:pPr>
      <w:tabs>
        <w:tab w:val="clear" w:pos="3600"/>
        <w:tab w:val="clear" w:pos="3958"/>
      </w:tabs>
      <w:jc w:val="right"/>
    </w:pPr>
  </w:style>
  <w:style w:type="character" w:styleId="Emphasis">
    <w:name w:val="Emphasis"/>
    <w:qFormat/>
    <w:rsid w:val="00D87FF9"/>
    <w:rPr>
      <w:i/>
    </w:rPr>
  </w:style>
  <w:style w:type="paragraph" w:styleId="Caption">
    <w:name w:val="caption"/>
    <w:basedOn w:val="BodyText"/>
    <w:next w:val="Normal"/>
    <w:qFormat/>
    <w:rsid w:val="00D87FF9"/>
    <w:pPr>
      <w:framePr w:w="2268" w:hSpace="181" w:vSpace="181" w:wrap="around" w:vAnchor="text" w:hAnchor="page" w:x="1135" w:y="285" w:anchorLock="1"/>
    </w:pPr>
    <w:rPr>
      <w:i/>
    </w:rPr>
  </w:style>
  <w:style w:type="paragraph" w:customStyle="1" w:styleId="MiniTOCTitle">
    <w:name w:val="MiniTOCTitle"/>
    <w:basedOn w:val="Heading4"/>
    <w:rsid w:val="00D87FF9"/>
    <w:pPr>
      <w:spacing w:before="240"/>
      <w:outlineLvl w:val="9"/>
    </w:pPr>
    <w:rPr>
      <w:noProof/>
      <w:sz w:val="24"/>
    </w:rPr>
  </w:style>
  <w:style w:type="paragraph" w:customStyle="1" w:styleId="MiniTOCItem">
    <w:name w:val="MiniTOCItem"/>
    <w:basedOn w:val="ListBullet"/>
    <w:rsid w:val="00D87FF9"/>
    <w:pPr>
      <w:numPr>
        <w:numId w:val="0"/>
      </w:numPr>
      <w:tabs>
        <w:tab w:val="right" w:leader="dot" w:pos="6521"/>
      </w:tabs>
      <w:spacing w:before="0" w:after="0"/>
    </w:pPr>
  </w:style>
  <w:style w:type="paragraph" w:customStyle="1" w:styleId="TOFTitle">
    <w:name w:val="TOFTitle"/>
    <w:basedOn w:val="TOCTitle"/>
    <w:rsid w:val="00D87FF9"/>
  </w:style>
  <w:style w:type="paragraph" w:styleId="TableofFigures">
    <w:name w:val="table of figures"/>
    <w:basedOn w:val="Normal"/>
    <w:next w:val="Normal"/>
    <w:semiHidden/>
    <w:rsid w:val="00D87FF9"/>
    <w:pPr>
      <w:tabs>
        <w:tab w:val="right" w:leader="dot" w:pos="9072"/>
      </w:tabs>
      <w:ind w:left="970" w:hanging="403"/>
    </w:pPr>
    <w:rPr>
      <w:rFonts w:ascii="Times New Roman" w:hAnsi="Times New Roman"/>
      <w:b/>
    </w:rPr>
  </w:style>
  <w:style w:type="paragraph" w:styleId="ListNumber">
    <w:name w:val="List Number"/>
    <w:basedOn w:val="List"/>
    <w:rsid w:val="00D87FF9"/>
    <w:pPr>
      <w:numPr>
        <w:numId w:val="10"/>
      </w:numPr>
    </w:pPr>
  </w:style>
  <w:style w:type="character" w:customStyle="1" w:styleId="WingdingSymbols">
    <w:name w:val="Wingding Symbols"/>
    <w:rsid w:val="00D87FF9"/>
    <w:rPr>
      <w:rFonts w:ascii="Wingdings" w:hAnsi="Wingdings"/>
    </w:rPr>
  </w:style>
  <w:style w:type="paragraph" w:customStyle="1" w:styleId="TableHeading">
    <w:name w:val="Table Heading"/>
    <w:basedOn w:val="HeadingBase"/>
    <w:rsid w:val="00D87FF9"/>
    <w:pPr>
      <w:keepLines/>
      <w:pBdr>
        <w:bottom w:val="single" w:sz="6" w:space="1" w:color="918585"/>
      </w:pBdr>
      <w:spacing w:before="240"/>
    </w:pPr>
  </w:style>
  <w:style w:type="character" w:customStyle="1" w:styleId="HotSpot">
    <w:name w:val="HotSpot"/>
    <w:rsid w:val="00D87FF9"/>
    <w:rPr>
      <w:color w:val="0033CC"/>
      <w:u w:val="none"/>
    </w:rPr>
  </w:style>
  <w:style w:type="paragraph" w:customStyle="1" w:styleId="BodyTextRight">
    <w:name w:val="Body Text Right"/>
    <w:basedOn w:val="BodyText"/>
    <w:rsid w:val="00D87FF9"/>
    <w:pPr>
      <w:spacing w:before="0" w:after="0"/>
      <w:jc w:val="right"/>
    </w:pPr>
  </w:style>
  <w:style w:type="paragraph" w:styleId="Index3">
    <w:name w:val="index 3"/>
    <w:basedOn w:val="ListNumber2"/>
    <w:next w:val="Normal"/>
    <w:semiHidden/>
    <w:rsid w:val="00D87FF9"/>
    <w:pPr>
      <w:numPr>
        <w:numId w:val="0"/>
      </w:numPr>
      <w:tabs>
        <w:tab w:val="right" w:leader="dot" w:pos="4176"/>
      </w:tabs>
    </w:pPr>
  </w:style>
  <w:style w:type="paragraph" w:styleId="ListNumber2">
    <w:name w:val="List Number 2"/>
    <w:basedOn w:val="List2"/>
    <w:rsid w:val="00D87FF9"/>
    <w:pPr>
      <w:numPr>
        <w:numId w:val="9"/>
      </w:numPr>
      <w:tabs>
        <w:tab w:val="clear" w:pos="1060"/>
      </w:tabs>
    </w:pPr>
  </w:style>
  <w:style w:type="paragraph" w:customStyle="1" w:styleId="MarginNote">
    <w:name w:val="Margin Note"/>
    <w:basedOn w:val="BodyText"/>
    <w:rsid w:val="00D87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7F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FF9"/>
    <w:rPr>
      <w:sz w:val="32"/>
    </w:rPr>
  </w:style>
  <w:style w:type="paragraph" w:customStyle="1" w:styleId="HeadingProcedure">
    <w:name w:val="Heading Procedure"/>
    <w:basedOn w:val="HeadingBase"/>
    <w:next w:val="Normal"/>
    <w:rsid w:val="00D87FF9"/>
    <w:pPr>
      <w:tabs>
        <w:tab w:val="left" w:pos="0"/>
      </w:tabs>
      <w:spacing w:before="120" w:after="60"/>
    </w:pPr>
    <w:rPr>
      <w:i/>
      <w:color w:val="918585"/>
      <w:sz w:val="22"/>
    </w:rPr>
  </w:style>
  <w:style w:type="paragraph" w:customStyle="1" w:styleId="TableBodyText">
    <w:name w:val="Table Body Text"/>
    <w:basedOn w:val="BodyText"/>
    <w:rsid w:val="00D87FF9"/>
    <w:pPr>
      <w:spacing w:before="60" w:after="60"/>
    </w:pPr>
  </w:style>
  <w:style w:type="paragraph" w:styleId="ListContinue">
    <w:name w:val="List Continue"/>
    <w:basedOn w:val="List"/>
    <w:rsid w:val="00D87FF9"/>
    <w:pPr>
      <w:ind w:firstLine="0"/>
    </w:pPr>
  </w:style>
  <w:style w:type="paragraph" w:customStyle="1" w:styleId="ListNote">
    <w:name w:val="List Note"/>
    <w:basedOn w:val="List"/>
    <w:rsid w:val="00D87FF9"/>
    <w:pPr>
      <w:pBdr>
        <w:top w:val="single" w:sz="6" w:space="2" w:color="918585"/>
        <w:bottom w:val="single" w:sz="6" w:space="2" w:color="918585"/>
      </w:pBdr>
      <w:tabs>
        <w:tab w:val="left" w:pos="1021"/>
      </w:tabs>
      <w:ind w:firstLine="0"/>
    </w:pPr>
  </w:style>
  <w:style w:type="paragraph" w:customStyle="1" w:styleId="Warning">
    <w:name w:val="Warning"/>
    <w:basedOn w:val="BodyText"/>
    <w:rsid w:val="00D87FF9"/>
    <w:pPr>
      <w:shd w:val="clear" w:color="auto" w:fill="D9D9D9"/>
      <w:tabs>
        <w:tab w:val="left" w:pos="992"/>
      </w:tabs>
      <w:ind w:left="119" w:right="119"/>
    </w:pPr>
    <w:rPr>
      <w:sz w:val="20"/>
    </w:rPr>
  </w:style>
  <w:style w:type="paragraph" w:customStyle="1" w:styleId="MarginIcons">
    <w:name w:val="Margin Icons"/>
    <w:basedOn w:val="BodyText"/>
    <w:rsid w:val="00D87F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7FF9"/>
    <w:rPr>
      <w:rFonts w:ascii="Courier New" w:hAnsi="Courier New"/>
    </w:rPr>
  </w:style>
  <w:style w:type="paragraph" w:customStyle="1" w:styleId="NoteBullet">
    <w:name w:val="Note Bullet"/>
    <w:basedOn w:val="Note"/>
    <w:rsid w:val="00D87FF9"/>
    <w:pPr>
      <w:tabs>
        <w:tab w:val="clear" w:pos="680"/>
      </w:tabs>
      <w:spacing w:before="60" w:after="60"/>
    </w:pPr>
  </w:style>
  <w:style w:type="paragraph" w:customStyle="1" w:styleId="SubHeading2">
    <w:name w:val="SubHeading2"/>
    <w:basedOn w:val="HeadingBase"/>
    <w:rsid w:val="00D87FF9"/>
    <w:pPr>
      <w:spacing w:before="240" w:after="60"/>
    </w:pPr>
    <w:rPr>
      <w:sz w:val="20"/>
    </w:rPr>
  </w:style>
  <w:style w:type="paragraph" w:customStyle="1" w:styleId="SubHeading1">
    <w:name w:val="SubHeading1"/>
    <w:basedOn w:val="HeadingBase"/>
    <w:rsid w:val="00D87FF9"/>
    <w:pPr>
      <w:spacing w:before="240" w:after="60"/>
    </w:pPr>
    <w:rPr>
      <w:color w:val="918585"/>
      <w:sz w:val="22"/>
    </w:rPr>
  </w:style>
  <w:style w:type="paragraph" w:customStyle="1" w:styleId="SideHeading">
    <w:name w:val="Side Heading"/>
    <w:basedOn w:val="HeadingBase"/>
    <w:rsid w:val="00D87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FF9"/>
    <w:pPr>
      <w:tabs>
        <w:tab w:val="num" w:pos="360"/>
      </w:tabs>
    </w:pPr>
  </w:style>
  <w:style w:type="paragraph" w:styleId="PlainText">
    <w:name w:val="Plain Text"/>
    <w:basedOn w:val="Normal"/>
    <w:link w:val="PlainTextChar"/>
    <w:rsid w:val="00D87FF9"/>
    <w:rPr>
      <w:sz w:val="20"/>
    </w:rPr>
  </w:style>
  <w:style w:type="character" w:customStyle="1" w:styleId="PlainTextChar">
    <w:name w:val="Plain Text Char"/>
    <w:basedOn w:val="DefaultParagraphFont"/>
    <w:link w:val="PlainText"/>
    <w:rsid w:val="00D87FF9"/>
    <w:rPr>
      <w:rFonts w:ascii="Courier New" w:eastAsia="Times New Roman" w:hAnsi="Courier New" w:cs="Times New Roman"/>
      <w:sz w:val="20"/>
      <w:szCs w:val="20"/>
      <w:lang w:val="en-US" w:eastAsia="en-US"/>
    </w:rPr>
  </w:style>
  <w:style w:type="character" w:customStyle="1" w:styleId="MenuOption">
    <w:name w:val="Menu Option"/>
    <w:rsid w:val="00D87FF9"/>
    <w:rPr>
      <w:b/>
      <w:smallCaps/>
    </w:rPr>
  </w:style>
  <w:style w:type="paragraph" w:customStyle="1" w:styleId="TableListNumber">
    <w:name w:val="Table List Number"/>
    <w:basedOn w:val="ListNumber"/>
    <w:rsid w:val="00D87FF9"/>
    <w:pPr>
      <w:numPr>
        <w:numId w:val="0"/>
      </w:numPr>
    </w:pPr>
  </w:style>
  <w:style w:type="paragraph" w:styleId="TOC4">
    <w:name w:val="toc 4"/>
    <w:basedOn w:val="TOCBase"/>
    <w:next w:val="Normal"/>
    <w:semiHidden/>
    <w:rsid w:val="00D87FF9"/>
    <w:pPr>
      <w:tabs>
        <w:tab w:val="right" w:leader="dot" w:pos="9071"/>
      </w:tabs>
      <w:ind w:left="1701"/>
    </w:pPr>
  </w:style>
  <w:style w:type="paragraph" w:customStyle="1" w:styleId="ListAlpha">
    <w:name w:val="List Alpha"/>
    <w:basedOn w:val="List"/>
    <w:rsid w:val="00D87FF9"/>
    <w:pPr>
      <w:numPr>
        <w:numId w:val="8"/>
      </w:numPr>
    </w:pPr>
  </w:style>
  <w:style w:type="paragraph" w:customStyle="1" w:styleId="ListAlpha2">
    <w:name w:val="List Alpha 2"/>
    <w:basedOn w:val="List2"/>
    <w:rsid w:val="00D87FF9"/>
    <w:pPr>
      <w:numPr>
        <w:numId w:val="7"/>
      </w:numPr>
    </w:pPr>
  </w:style>
  <w:style w:type="paragraph" w:styleId="List3">
    <w:name w:val="List 3"/>
    <w:basedOn w:val="BodyText"/>
    <w:rsid w:val="00D87FF9"/>
    <w:pPr>
      <w:tabs>
        <w:tab w:val="left" w:pos="1021"/>
      </w:tabs>
      <w:spacing w:before="60" w:after="60"/>
      <w:ind w:left="1020" w:hanging="340"/>
    </w:pPr>
  </w:style>
  <w:style w:type="paragraph" w:styleId="List4">
    <w:name w:val="List 4"/>
    <w:basedOn w:val="BodyText"/>
    <w:rsid w:val="00D87FF9"/>
    <w:pPr>
      <w:tabs>
        <w:tab w:val="left" w:pos="1361"/>
      </w:tabs>
      <w:spacing w:before="60" w:after="60"/>
      <w:ind w:left="1361" w:hanging="340"/>
    </w:pPr>
  </w:style>
  <w:style w:type="paragraph" w:styleId="List5">
    <w:name w:val="List 5"/>
    <w:basedOn w:val="BodyText"/>
    <w:rsid w:val="00D87FF9"/>
    <w:pPr>
      <w:tabs>
        <w:tab w:val="left" w:pos="1701"/>
      </w:tabs>
      <w:spacing w:before="60" w:after="60"/>
      <w:ind w:left="1701" w:hanging="340"/>
    </w:pPr>
  </w:style>
  <w:style w:type="paragraph" w:styleId="ListBullet3">
    <w:name w:val="List Bullet 3"/>
    <w:basedOn w:val="List3"/>
    <w:rsid w:val="00D87FF9"/>
    <w:pPr>
      <w:numPr>
        <w:numId w:val="14"/>
      </w:numPr>
      <w:tabs>
        <w:tab w:val="clear" w:pos="1021"/>
      </w:tabs>
      <w:ind w:left="1037" w:hanging="357"/>
    </w:pPr>
  </w:style>
  <w:style w:type="paragraph" w:styleId="ListBullet4">
    <w:name w:val="List Bullet 4"/>
    <w:basedOn w:val="List4"/>
    <w:rsid w:val="00D87FF9"/>
    <w:pPr>
      <w:numPr>
        <w:numId w:val="2"/>
      </w:numPr>
    </w:pPr>
  </w:style>
  <w:style w:type="paragraph" w:styleId="ListBullet5">
    <w:name w:val="List Bullet 5"/>
    <w:basedOn w:val="List5"/>
    <w:rsid w:val="00D87FF9"/>
    <w:pPr>
      <w:numPr>
        <w:numId w:val="3"/>
      </w:numPr>
    </w:pPr>
  </w:style>
  <w:style w:type="paragraph" w:styleId="ListContinue2">
    <w:name w:val="List Continue 2"/>
    <w:basedOn w:val="List2"/>
    <w:rsid w:val="00D87FF9"/>
    <w:pPr>
      <w:ind w:firstLine="0"/>
    </w:pPr>
  </w:style>
  <w:style w:type="paragraph" w:styleId="ListContinue3">
    <w:name w:val="List Continue 3"/>
    <w:basedOn w:val="List3"/>
    <w:rsid w:val="00D87FF9"/>
    <w:pPr>
      <w:ind w:left="1021" w:firstLine="0"/>
    </w:pPr>
  </w:style>
  <w:style w:type="paragraph" w:styleId="ListContinue4">
    <w:name w:val="List Continue 4"/>
    <w:basedOn w:val="List4"/>
    <w:rsid w:val="00D87FF9"/>
    <w:pPr>
      <w:ind w:firstLine="0"/>
    </w:pPr>
  </w:style>
  <w:style w:type="paragraph" w:styleId="ListContinue5">
    <w:name w:val="List Continue 5"/>
    <w:basedOn w:val="List5"/>
    <w:rsid w:val="00D87FF9"/>
    <w:pPr>
      <w:ind w:firstLine="0"/>
    </w:pPr>
  </w:style>
  <w:style w:type="paragraph" w:styleId="ListNumber3">
    <w:name w:val="List Number 3"/>
    <w:basedOn w:val="List3"/>
    <w:rsid w:val="00D87FF9"/>
    <w:pPr>
      <w:numPr>
        <w:numId w:val="4"/>
      </w:numPr>
    </w:pPr>
  </w:style>
  <w:style w:type="paragraph" w:styleId="ListNumber4">
    <w:name w:val="List Number 4"/>
    <w:basedOn w:val="List4"/>
    <w:rsid w:val="00D87FF9"/>
    <w:pPr>
      <w:numPr>
        <w:numId w:val="5"/>
      </w:numPr>
    </w:pPr>
  </w:style>
  <w:style w:type="paragraph" w:styleId="ListNumber5">
    <w:name w:val="List Number 5"/>
    <w:basedOn w:val="List5"/>
    <w:rsid w:val="00D87FF9"/>
    <w:pPr>
      <w:numPr>
        <w:numId w:val="6"/>
      </w:numPr>
    </w:pPr>
  </w:style>
  <w:style w:type="paragraph" w:styleId="BlockText">
    <w:name w:val="Block Text"/>
    <w:basedOn w:val="Normal"/>
    <w:rsid w:val="00D87FF9"/>
    <w:pPr>
      <w:spacing w:after="120"/>
      <w:ind w:left="1440" w:right="1440"/>
    </w:pPr>
  </w:style>
  <w:style w:type="character" w:customStyle="1" w:styleId="Subscript">
    <w:name w:val="Subscript"/>
    <w:rsid w:val="00D87FF9"/>
    <w:rPr>
      <w:sz w:val="16"/>
      <w:vertAlign w:val="subscript"/>
    </w:rPr>
  </w:style>
  <w:style w:type="character" w:customStyle="1" w:styleId="Superscript">
    <w:name w:val="Superscript"/>
    <w:rsid w:val="00D87FF9"/>
    <w:rPr>
      <w:sz w:val="16"/>
      <w:vertAlign w:val="superscript"/>
    </w:rPr>
  </w:style>
  <w:style w:type="character" w:customStyle="1" w:styleId="Symbols">
    <w:name w:val="Symbols"/>
    <w:rsid w:val="00D87FF9"/>
    <w:rPr>
      <w:rFonts w:ascii="Symbol" w:hAnsi="Symbol"/>
    </w:rPr>
  </w:style>
  <w:style w:type="character" w:customStyle="1" w:styleId="MenuOptions">
    <w:name w:val="Menu Options"/>
    <w:rsid w:val="00D87FF9"/>
    <w:rPr>
      <w:rFonts w:ascii="Arial Narrow" w:hAnsi="Arial Narrow"/>
      <w:smallCaps/>
    </w:rPr>
  </w:style>
  <w:style w:type="character" w:customStyle="1" w:styleId="Buttons">
    <w:name w:val="Buttons"/>
    <w:rsid w:val="00D87FF9"/>
    <w:rPr>
      <w:b/>
    </w:rPr>
  </w:style>
  <w:style w:type="character" w:customStyle="1" w:styleId="Underlined">
    <w:name w:val="Underlined"/>
    <w:rsid w:val="00D87FF9"/>
    <w:rPr>
      <w:u w:val="single"/>
    </w:rPr>
  </w:style>
  <w:style w:type="paragraph" w:customStyle="1" w:styleId="TableBodyTextRight">
    <w:name w:val="Table Body Text Right"/>
    <w:basedOn w:val="TableBodyText"/>
    <w:rsid w:val="00D87FF9"/>
    <w:pPr>
      <w:widowControl w:val="0"/>
      <w:autoSpaceDE w:val="0"/>
      <w:autoSpaceDN w:val="0"/>
      <w:adjustRightInd w:val="0"/>
      <w:jc w:val="right"/>
    </w:pPr>
    <w:rPr>
      <w:rFonts w:cs="Arial"/>
      <w:szCs w:val="18"/>
    </w:rPr>
  </w:style>
  <w:style w:type="paragraph" w:customStyle="1" w:styleId="CopyrightText">
    <w:name w:val="Copyright Text"/>
    <w:basedOn w:val="BodyText"/>
    <w:rsid w:val="00D87FF9"/>
    <w:rPr>
      <w:sz w:val="18"/>
    </w:rPr>
  </w:style>
  <w:style w:type="paragraph" w:customStyle="1" w:styleId="BodySmallRight">
    <w:name w:val="Body Small Right"/>
    <w:basedOn w:val="BodyTextRight"/>
    <w:rsid w:val="00D87FF9"/>
    <w:rPr>
      <w:sz w:val="18"/>
      <w:szCs w:val="18"/>
    </w:rPr>
  </w:style>
  <w:style w:type="paragraph" w:customStyle="1" w:styleId="MarginEdition">
    <w:name w:val="Margin Edition"/>
    <w:basedOn w:val="MarginNote"/>
    <w:rsid w:val="00D87FF9"/>
    <w:pPr>
      <w:spacing w:before="0" w:after="0"/>
    </w:pPr>
    <w:rPr>
      <w:rFonts w:ascii="Times New Roman" w:hAnsi="Times New Roman"/>
      <w:color w:val="999999"/>
    </w:rPr>
  </w:style>
  <w:style w:type="paragraph" w:customStyle="1" w:styleId="Spacer">
    <w:name w:val="Spacer"/>
    <w:basedOn w:val="Normal"/>
    <w:rsid w:val="00D87FF9"/>
    <w:rPr>
      <w:sz w:val="2"/>
      <w:szCs w:val="2"/>
    </w:rPr>
  </w:style>
  <w:style w:type="character" w:customStyle="1" w:styleId="Small">
    <w:name w:val="Small"/>
    <w:rsid w:val="00D87FF9"/>
    <w:rPr>
      <w:sz w:val="16"/>
    </w:rPr>
  </w:style>
  <w:style w:type="paragraph" w:customStyle="1" w:styleId="WideTable">
    <w:name w:val="Wide Table"/>
    <w:basedOn w:val="Normal"/>
    <w:rsid w:val="00D87FF9"/>
    <w:pPr>
      <w:ind w:left="-1418"/>
    </w:pPr>
    <w:rPr>
      <w:sz w:val="2"/>
      <w:szCs w:val="2"/>
    </w:rPr>
  </w:style>
  <w:style w:type="character" w:styleId="PageNumber">
    <w:name w:val="page number"/>
    <w:rsid w:val="00D87FF9"/>
  </w:style>
  <w:style w:type="paragraph" w:styleId="Quote">
    <w:name w:val="Quote"/>
    <w:basedOn w:val="Heading1"/>
    <w:link w:val="QuoteChar"/>
    <w:qFormat/>
    <w:rsid w:val="00D87FF9"/>
    <w:rPr>
      <w:b w:val="0"/>
      <w:sz w:val="72"/>
      <w:szCs w:val="72"/>
      <w:lang w:val="en-NZ"/>
    </w:rPr>
  </w:style>
  <w:style w:type="character" w:customStyle="1" w:styleId="QuoteChar">
    <w:name w:val="Quote Char"/>
    <w:link w:val="Quote"/>
    <w:rsid w:val="00D87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FF9"/>
    <w:pPr>
      <w:pageBreakBefore/>
    </w:pPr>
  </w:style>
  <w:style w:type="paragraph" w:customStyle="1" w:styleId="Border">
    <w:name w:val="Border"/>
    <w:basedOn w:val="Normal"/>
    <w:qFormat/>
    <w:rsid w:val="00D87FF9"/>
    <w:pPr>
      <w:pBdr>
        <w:top w:val="single" w:sz="18" w:space="1" w:color="auto"/>
      </w:pBdr>
    </w:pPr>
    <w:rPr>
      <w:rFonts w:ascii="Times New Roman" w:hAnsi="Times New Roman"/>
      <w:color w:val="FFFFFF"/>
      <w:sz w:val="2"/>
    </w:rPr>
  </w:style>
  <w:style w:type="character" w:styleId="IntenseEmphasis">
    <w:name w:val="Intense Emphasis"/>
    <w:uiPriority w:val="21"/>
    <w:qFormat/>
    <w:rsid w:val="00D87FF9"/>
    <w:rPr>
      <w:b/>
      <w:bCs/>
      <w:i/>
      <w:iCs/>
      <w:color w:val="auto"/>
    </w:rPr>
  </w:style>
  <w:style w:type="paragraph" w:styleId="IntenseQuote">
    <w:name w:val="Intense Quote"/>
    <w:basedOn w:val="Normal"/>
    <w:next w:val="Normal"/>
    <w:link w:val="IntenseQuoteChar"/>
    <w:uiPriority w:val="30"/>
    <w:qFormat/>
    <w:rsid w:val="00D87F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7FF9"/>
    <w:rPr>
      <w:rFonts w:ascii="Courier New" w:eastAsia="Times New Roman" w:hAnsi="Courier New" w:cs="Times New Roman"/>
      <w:b/>
      <w:bCs/>
      <w:i/>
      <w:iCs/>
      <w:szCs w:val="20"/>
      <w:lang w:val="en-US" w:eastAsia="en-US"/>
    </w:rPr>
  </w:style>
  <w:style w:type="character" w:styleId="SubtleReference">
    <w:name w:val="Subtle Reference"/>
    <w:uiPriority w:val="31"/>
    <w:qFormat/>
    <w:rsid w:val="00D87FF9"/>
    <w:rPr>
      <w:smallCaps/>
      <w:color w:val="auto"/>
      <w:u w:val="single"/>
    </w:rPr>
  </w:style>
  <w:style w:type="character" w:styleId="IntenseReference">
    <w:name w:val="Intense Reference"/>
    <w:uiPriority w:val="32"/>
    <w:qFormat/>
    <w:rsid w:val="00D87FF9"/>
    <w:rPr>
      <w:b/>
      <w:bCs/>
      <w:smallCaps/>
      <w:color w:val="auto"/>
      <w:spacing w:val="5"/>
      <w:u w:val="single"/>
    </w:rPr>
  </w:style>
  <w:style w:type="paragraph" w:customStyle="1" w:styleId="2ColumnHeading">
    <w:name w:val="2Column Heading"/>
    <w:basedOn w:val="BodyText"/>
    <w:qFormat/>
    <w:rsid w:val="00D87FF9"/>
    <w:pPr>
      <w:spacing w:after="60"/>
      <w:ind w:left="-2268"/>
    </w:pPr>
    <w:rPr>
      <w:b/>
    </w:rPr>
  </w:style>
  <w:style w:type="paragraph" w:customStyle="1" w:styleId="Heading1TOC">
    <w:name w:val="Heading1 TOC"/>
    <w:basedOn w:val="Normal"/>
    <w:qFormat/>
    <w:rsid w:val="00D87FF9"/>
    <w:pPr>
      <w:spacing w:before="240" w:after="120"/>
    </w:pPr>
    <w:rPr>
      <w:rFonts w:ascii="Times New Roman" w:hAnsi="Times New Roman"/>
      <w:b/>
      <w:sz w:val="32"/>
    </w:rPr>
  </w:style>
  <w:style w:type="paragraph" w:customStyle="1" w:styleId="Heading2TOC">
    <w:name w:val="Heading2 TOC"/>
    <w:basedOn w:val="Normal"/>
    <w:qFormat/>
    <w:rsid w:val="00D87FF9"/>
    <w:pPr>
      <w:spacing w:before="240" w:after="60"/>
    </w:pPr>
    <w:rPr>
      <w:rFonts w:ascii="Times New Roman" w:hAnsi="Times New Roman"/>
      <w:b/>
      <w:sz w:val="28"/>
    </w:rPr>
  </w:style>
  <w:style w:type="character" w:customStyle="1" w:styleId="Underline">
    <w:name w:val="Underline"/>
    <w:qFormat/>
    <w:rsid w:val="00D87FF9"/>
    <w:rPr>
      <w:u w:val="single"/>
    </w:rPr>
  </w:style>
  <w:style w:type="character" w:customStyle="1" w:styleId="BoldandItalics">
    <w:name w:val="Bold and Italics"/>
    <w:qFormat/>
    <w:rsid w:val="00D87FF9"/>
    <w:rPr>
      <w:b/>
      <w:i/>
      <w:u w:val="none"/>
    </w:rPr>
  </w:style>
  <w:style w:type="paragraph" w:styleId="BalloonText">
    <w:name w:val="Balloon Text"/>
    <w:basedOn w:val="Normal"/>
    <w:link w:val="BalloonTextChar"/>
    <w:rsid w:val="00D87FF9"/>
    <w:rPr>
      <w:rFonts w:ascii="Tahoma" w:hAnsi="Tahoma" w:cs="Tahoma"/>
      <w:sz w:val="16"/>
      <w:szCs w:val="16"/>
    </w:rPr>
  </w:style>
  <w:style w:type="character" w:customStyle="1" w:styleId="BalloonTextChar">
    <w:name w:val="Balloon Text Char"/>
    <w:link w:val="BalloonText"/>
    <w:rsid w:val="00D87F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F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7F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1191</Words>
  <Characters>7776</Characters>
  <Application>Microsoft Office Word</Application>
  <DocSecurity>0</DocSecurity>
  <Lines>271</Lines>
  <Paragraphs>127</Paragraphs>
  <ScaleCrop>false</ScaleCrop>
  <Company>Author-it Software Corporation Ltd.</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MEM18071B Connect/disconnect fluid conveying system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2012-05-27T01:57:00Z</dcterms:created>
  <dcterms:modified xsi:type="dcterms:W3CDTF">2012-05-27T01:57:00Z</dcterms:modified>
</cp:coreProperties>
</file>