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7E76" w:rsidP="009C7E76">
      <w:pPr>
        <w:pStyle w:val="Title"/>
      </w:pPr>
      <w:r>
        <w:fldChar w:fldCharType="begin"/>
      </w:r>
      <w:r>
        <w:instrText xml:space="preserve"> TITLE   \* MERGEFORMAT </w:instrText>
      </w:r>
      <w:r>
        <w:fldChar w:fldCharType="separate"/>
      </w:r>
      <w:r>
        <w:t>MEM18069B Maintain, repair instrumentation process control analysers</w:t>
      </w:r>
      <w:r>
        <w:fldChar w:fldCharType="end"/>
      </w:r>
    </w:p>
    <w:p w:rsidR="009C7E76" w:rsidP="009C7E76">
      <w:pPr>
        <w:pStyle w:val="Version"/>
        <w:sectPr w:rsidSect="000901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13E" w:rsidP="0009013E">
      <w:pPr>
        <w:pStyle w:val="SuperHeading"/>
      </w:pPr>
      <w:r w:rsidRPr="0009013E">
        <w:t>MEM18069B Maintain, repair instrumentation process control analysers</w:t>
      </w:r>
    </w:p>
    <w:p w:rsidR="00000000" w:rsidRPr="0009013E" w:rsidP="0009013E">
      <w:pPr>
        <w:pStyle w:val="Heading1"/>
      </w:pPr>
      <w:bookmarkStart w:id="1" w:name="O_272289"/>
      <w:bookmarkEnd w:id="1"/>
      <w:r w:rsidRPr="0009013E">
        <w:t>Modification History</w:t>
      </w:r>
    </w:p>
    <w:p w:rsidR="00000000" w:rsidRPr="0009013E" w:rsidP="0009013E">
      <w:pPr>
        <w:pStyle w:val="BodyText"/>
      </w:pPr>
      <w:r w:rsidRPr="0009013E">
        <w:t>Not Applicable</w:t>
      </w:r>
    </w:p>
    <w:p w:rsidR="00000000" w:rsidRPr="0009013E" w:rsidP="0009013E">
      <w:pPr>
        <w:pStyle w:val="AllowPageBreak"/>
      </w:pPr>
    </w:p>
    <w:p w:rsidR="00000000" w:rsidRPr="0009013E" w:rsidP="0009013E">
      <w:pPr>
        <w:pStyle w:val="Heading1"/>
      </w:pPr>
      <w:bookmarkStart w:id="2" w:name="O_212461"/>
      <w:bookmarkEnd w:id="2"/>
      <w:r w:rsidRPr="0009013E">
        <w:t>Unit Descriptor</w:t>
      </w:r>
    </w:p>
    <w:tbl>
      <w:tblPr>
        <w:tblW w:w="0" w:type="auto"/>
        <w:tblLayout w:type="fixed"/>
        <w:tblCellMar>
          <w:left w:w="62" w:type="dxa"/>
          <w:right w:w="62" w:type="dxa"/>
        </w:tblCellMar>
        <w:tblLook w:val="0000"/>
      </w:tblPr>
      <w:tblGrid>
        <w:gridCol w:w="2660"/>
        <w:gridCol w:w="5862"/>
      </w:tblGrid>
      <w:tr w:rsidTr="009C7E76">
        <w:tblPrEx>
          <w:tblW w:w="0" w:type="auto"/>
          <w:tblLayout w:type="fixed"/>
          <w:tblCellMar>
            <w:left w:w="62" w:type="dxa"/>
            <w:right w:w="62" w:type="dxa"/>
          </w:tblCellMar>
          <w:tblLook w:val="0000"/>
        </w:tblPrEx>
        <w:trPr>
          <w:tblHeader/>
        </w:trPr>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13E" w:rsidP="0009013E">
            <w:pPr>
              <w:pStyle w:val="BodyText"/>
            </w:pPr>
            <w:r w:rsidRPr="0009013E">
              <w:t>This unit covers performing preventative maintenance on process contro</w:t>
            </w:r>
            <w:r w:rsidRPr="0009013E">
              <w:t>l analysers; completing fault documentation; planning corrective action; repairing, replacing, overhauling, calibrating and testing; re-installing and recommissioning process control analysers.</w:t>
            </w:r>
          </w:p>
        </w:tc>
      </w:tr>
    </w:tbl>
    <w:p w:rsidR="009C7E76" w:rsidP="0009013E">
      <w:pPr>
        <w:pStyle w:val="BodyText"/>
      </w:pPr>
    </w:p>
    <w:p w:rsidR="009C7E76" w:rsidP="0009013E">
      <w:pPr>
        <w:pStyle w:val="BodyText"/>
      </w:pPr>
    </w:p>
    <w:p w:rsidR="00000000" w:rsidRPr="0009013E" w:rsidP="0009013E">
      <w:pPr>
        <w:pStyle w:val="Heading1"/>
      </w:pPr>
      <w:bookmarkStart w:id="3" w:name="O_212465"/>
      <w:bookmarkEnd w:id="3"/>
      <w:r w:rsidRPr="0009013E">
        <w:t>Application of the Unit</w:t>
      </w:r>
    </w:p>
    <w:tbl>
      <w:tblPr>
        <w:tblW w:w="0" w:type="auto"/>
        <w:tblLayout w:type="fixed"/>
        <w:tblCellMar>
          <w:left w:w="62" w:type="dxa"/>
          <w:right w:w="62" w:type="dxa"/>
        </w:tblCellMar>
        <w:tblLook w:val="0000"/>
      </w:tblPr>
      <w:tblGrid>
        <w:gridCol w:w="2745"/>
        <w:gridCol w:w="5777"/>
      </w:tblGrid>
      <w:tr w:rsidTr="009C7E76">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13E" w:rsidP="0009013E">
            <w:pPr>
              <w:pStyle w:val="BodyText"/>
            </w:pPr>
            <w:r w:rsidRPr="0009013E">
              <w:t>This unit applies to the use of electrical and electronic test equipment for transmission and signal measurement, and extends to the use of liquid analysis devices for the measurement of pH, selective ions, oxygen and electrolytic c</w:t>
            </w:r>
            <w:r w:rsidRPr="0009013E">
              <w:t>onductivity.</w:t>
            </w:r>
          </w:p>
          <w:p w:rsidR="00000000" w:rsidRPr="0009013E" w:rsidP="0009013E">
            <w:pPr>
              <w:pStyle w:val="BodyText"/>
            </w:pPr>
            <w:r w:rsidRPr="0009013E">
              <w:t>Included is the use of gas analysis devices operating on the principles of thermal conductivity, thermal reaction, combustion, paramagnetism, chemical absorption, ionisation, infra-red, ultraviolet, emission or absorption and solid electrolyti</w:t>
            </w:r>
            <w:r w:rsidRPr="0009013E">
              <w:t xml:space="preserve">c conductivity. </w:t>
            </w:r>
          </w:p>
          <w:p w:rsidR="00000000" w:rsidRPr="0009013E" w:rsidP="0009013E">
            <w:pPr>
              <w:pStyle w:val="BodyText"/>
            </w:pPr>
            <w:r w:rsidRPr="0009013E">
              <w:t xml:space="preserve">Tasks involve the use of hygrometers, wet and dry bulb and calibration of gas cylinders and gas supply equipment, the use of chemical calibration solutions and the use of special calibration devices specific to chemical detectors. Central </w:t>
            </w:r>
            <w:r w:rsidRPr="0009013E">
              <w:t>to the task is the interpretation of electrical and electronic circuit diagrams and the interpretation of calibration and analysis data and procedures in accordance with manufacturers' data sheets. Safety codes of practice including the identification, han</w:t>
            </w:r>
            <w:r w:rsidRPr="0009013E">
              <w:t xml:space="preserve">dling and appropriate use of high pressure gas cylinders, equipment and chemical solutions are included. </w:t>
            </w:r>
          </w:p>
          <w:p w:rsidR="00000000" w:rsidRPr="0009013E" w:rsidP="0009013E">
            <w:pPr>
              <w:pStyle w:val="BodyText"/>
            </w:pPr>
            <w:r w:rsidRPr="0009013E">
              <w:t>Work is undertaken autonomously or in a team environment, using predetermined standards of quality, safety and workshop procedures. Tasks are performe</w:t>
            </w:r>
            <w:r w:rsidRPr="0009013E">
              <w:t>d in laboratory, workshop or on-site environments.</w:t>
            </w:r>
          </w:p>
          <w:p w:rsidR="00000000" w:rsidRPr="0009013E" w:rsidP="0009013E">
            <w:pPr>
              <w:pStyle w:val="BodyText"/>
            </w:pPr>
            <w:r w:rsidRPr="0009013E">
              <w:t xml:space="preserve">Unit MEM05002B (Perform high reliability soldering and desoldering) must also be selected if soldering of components is required to advanced or military specifications, where the reliability of electrical </w:t>
            </w:r>
            <w:r w:rsidRPr="0009013E">
              <w:t xml:space="preserve">connections is critical, or where surface mounted devices are being soldered/de-soldered. </w:t>
            </w:r>
          </w:p>
          <w:p w:rsidR="00000000" w:rsidRPr="0009013E" w:rsidP="0009013E">
            <w:pPr>
              <w:pStyle w:val="BodyText"/>
            </w:pPr>
            <w:r w:rsidRPr="0009013E">
              <w:t>If diagnosis and repair of electronic equipment is undertaken to component level Unit MEM18056B (Diagnose and repair analog equipment and components) and/or Unit MEM</w:t>
            </w:r>
            <w:r w:rsidRPr="0009013E">
              <w:t>18065B (Diagnose and repair digital equipment and components) should be selected.</w:t>
            </w:r>
          </w:p>
          <w:p w:rsidR="00000000" w:rsidRPr="0009013E" w:rsidP="0009013E">
            <w:pPr>
              <w:pStyle w:val="BodyText"/>
            </w:pPr>
          </w:p>
          <w:p w:rsidR="00000000" w:rsidRPr="0009013E" w:rsidP="0009013E">
            <w:pPr>
              <w:pStyle w:val="BodyText"/>
            </w:pPr>
            <w:r w:rsidRPr="0009013E">
              <w:rPr>
                <w:rStyle w:val="SpecialBold"/>
              </w:rPr>
              <w:t>Band</w:t>
            </w:r>
            <w:r w:rsidRPr="0009013E">
              <w:t>:</w:t>
            </w:r>
            <w:r w:rsidRPr="0009013E">
              <w:tab/>
            </w:r>
            <w:r w:rsidRPr="0009013E">
              <w:rPr>
                <w:rStyle w:val="SpecialBold"/>
              </w:rPr>
              <w:t>B</w:t>
            </w:r>
          </w:p>
          <w:p w:rsidR="00000000" w:rsidRPr="0009013E" w:rsidP="0009013E">
            <w:pPr>
              <w:pStyle w:val="BodyText"/>
            </w:pPr>
            <w:r w:rsidRPr="0009013E">
              <w:rPr>
                <w:rStyle w:val="SpecialBold"/>
              </w:rPr>
              <w:t>Unit Weight</w:t>
            </w:r>
            <w:r w:rsidRPr="0009013E">
              <w:t>:</w:t>
            </w:r>
            <w:r w:rsidRPr="0009013E">
              <w:tab/>
            </w:r>
            <w:r w:rsidRPr="0009013E">
              <w:rPr>
                <w:rStyle w:val="SpecialBold"/>
              </w:rPr>
              <w:t>6</w:t>
            </w:r>
          </w:p>
        </w:tc>
      </w:tr>
    </w:tbl>
    <w:p w:rsidR="009C7E76" w:rsidP="0009013E">
      <w:pPr>
        <w:pStyle w:val="BodyText"/>
      </w:pPr>
    </w:p>
    <w:p w:rsidR="009C7E76" w:rsidP="0009013E">
      <w:pPr>
        <w:pStyle w:val="BodyText"/>
      </w:pPr>
    </w:p>
    <w:p w:rsidR="00000000" w:rsidRPr="0009013E" w:rsidP="0009013E">
      <w:pPr>
        <w:pStyle w:val="Heading1"/>
      </w:pPr>
      <w:bookmarkStart w:id="4" w:name="O_280549"/>
      <w:bookmarkEnd w:id="4"/>
      <w:r w:rsidRPr="0009013E">
        <w:t>Licensing/Regulatory Information</w:t>
      </w:r>
    </w:p>
    <w:p w:rsidR="00000000" w:rsidRPr="0009013E" w:rsidP="0009013E">
      <w:pPr>
        <w:pStyle w:val="BodyText"/>
      </w:pPr>
      <w:r w:rsidRPr="0009013E">
        <w:t>Not Applicable</w:t>
      </w:r>
    </w:p>
    <w:p w:rsidR="00000000" w:rsidRPr="0009013E" w:rsidP="0009013E">
      <w:pPr>
        <w:pStyle w:val="AllowPageBreak"/>
      </w:pPr>
    </w:p>
    <w:p w:rsidR="00000000" w:rsidRPr="0009013E" w:rsidP="0009013E">
      <w:pPr>
        <w:pStyle w:val="Heading1"/>
      </w:pPr>
      <w:bookmarkStart w:id="5" w:name="O_212463"/>
      <w:bookmarkEnd w:id="5"/>
      <w:r w:rsidRPr="0009013E">
        <w:t>Pre-Requisites</w:t>
      </w:r>
    </w:p>
    <w:tbl>
      <w:tblPr>
        <w:tblW w:w="0" w:type="auto"/>
        <w:tblLayout w:type="fixed"/>
        <w:tblCellMar>
          <w:left w:w="62" w:type="dxa"/>
          <w:right w:w="62" w:type="dxa"/>
        </w:tblCellMar>
        <w:tblLook w:val="0000"/>
      </w:tblPr>
      <w:tblGrid>
        <w:gridCol w:w="2687"/>
        <w:gridCol w:w="2207"/>
        <w:gridCol w:w="3628"/>
      </w:tblGrid>
      <w:tr w:rsidTr="009C7E76">
        <w:tblPrEx>
          <w:tblW w:w="0" w:type="auto"/>
          <w:tblLayout w:type="fixed"/>
          <w:tblCellMar>
            <w:left w:w="62" w:type="dxa"/>
            <w:right w:w="62" w:type="dxa"/>
          </w:tblCellMar>
          <w:tblLook w:val="0000"/>
        </w:tblPrEx>
        <w:trPr>
          <w:tblHeader/>
        </w:trPr>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rPr>
                <w:rStyle w:val="SpecialBold"/>
              </w:rPr>
              <w:t>Prerequisite units</w:t>
            </w:r>
          </w:p>
        </w:tc>
        <w:tc>
          <w:tcPr>
            <w:tcW w:w="583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p>
        </w:tc>
      </w:tr>
      <w:tr w:rsidTr="009C7E76">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rPr>
                <w:rStyle w:val="SpecialBold"/>
              </w:rPr>
              <w:t>Path 1</w:t>
            </w:r>
            <w:r w:rsidRPr="0009013E">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MEM05001B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Perform manual soldering/desoldering - electrical/electronic components</w:t>
            </w:r>
          </w:p>
        </w:tc>
      </w:tr>
      <w:tr w:rsidTr="009C7E76">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MEM09002B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Interpret technical drawing</w:t>
            </w:r>
          </w:p>
        </w:tc>
      </w:tr>
      <w:tr w:rsidTr="009C7E76">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MEM12004B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Perform precision electrical/electronic measurement</w:t>
            </w:r>
          </w:p>
        </w:tc>
      </w:tr>
      <w:tr w:rsidTr="009C7E76">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MEM12023A</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Perform engineering measurements</w:t>
            </w:r>
          </w:p>
        </w:tc>
      </w:tr>
      <w:tr w:rsidTr="009C7E76">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MEM18001C</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Use hand tools</w:t>
            </w:r>
          </w:p>
        </w:tc>
      </w:tr>
      <w:tr w:rsidTr="009C7E76">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MEM18002B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Use power tools/hand held operations</w:t>
            </w:r>
          </w:p>
        </w:tc>
      </w:tr>
      <w:tr w:rsidTr="009C7E76">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MEM18054B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Fault find, test and calibrate instrumentation systems and equipment</w:t>
            </w:r>
          </w:p>
        </w:tc>
      </w:tr>
      <w:tr w:rsidTr="009C7E76">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MEM18055B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Dismantle, replace and assemble engineering components</w:t>
            </w:r>
          </w:p>
        </w:tc>
      </w:tr>
      <w:tr w:rsidTr="009C7E76">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MEM18057B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Maintain/service analog/digital electronic equipment</w:t>
            </w:r>
          </w:p>
        </w:tc>
      </w:tr>
      <w:tr w:rsidTr="009C7E76">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MEM18062B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Install, maintain and calibrate instrumentation sensors, transmitters and final control elements</w:t>
            </w:r>
          </w:p>
        </w:tc>
      </w:tr>
      <w:tr w:rsidTr="009C7E76">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rPr>
                <w:rStyle w:val="SpecialBold"/>
              </w:rPr>
              <w:t>Path 2</w:t>
            </w:r>
            <w:r w:rsidRPr="0009013E">
              <w:t xml:space="preserve">  </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MEM09002B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Interpret technical drawing</w:t>
            </w:r>
          </w:p>
        </w:tc>
      </w:tr>
      <w:tr w:rsidTr="009C7E76">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MEM12002B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Perform electrical/electronic meas</w:t>
            </w:r>
            <w:r w:rsidRPr="0009013E">
              <w:t>urement</w:t>
            </w:r>
          </w:p>
        </w:tc>
      </w:tr>
      <w:tr w:rsidTr="009C7E76">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MEM12023A</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Perform engineering measurements</w:t>
            </w:r>
          </w:p>
        </w:tc>
      </w:tr>
      <w:tr w:rsidTr="009C7E76">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MEM18001C</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Use hand tools</w:t>
            </w:r>
          </w:p>
        </w:tc>
      </w:tr>
      <w:tr w:rsidTr="009C7E76">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MEM18002B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Use power tools/hand held operations</w:t>
            </w:r>
          </w:p>
        </w:tc>
      </w:tr>
      <w:tr w:rsidTr="009C7E76">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MEM18054B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Fault find, test and calibrate instrumentation systems and equipment</w:t>
            </w:r>
          </w:p>
        </w:tc>
      </w:tr>
      <w:tr w:rsidTr="009C7E76">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MEM18055B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Dismantle, replace and assemble engineering components</w:t>
            </w:r>
          </w:p>
        </w:tc>
      </w:tr>
      <w:tr w:rsidTr="009C7E76">
        <w:tblPrEx>
          <w:tblW w:w="0" w:type="auto"/>
          <w:tblLayout w:type="fixed"/>
          <w:tblCellMar>
            <w:left w:w="62" w:type="dxa"/>
            <w:right w:w="62" w:type="dxa"/>
          </w:tblCellMar>
          <w:tblLook w:val="0000"/>
        </w:tblPrEx>
        <w:tc>
          <w:tcPr>
            <w:tcW w:w="26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MEM18064B</w:t>
            </w:r>
          </w:p>
        </w:tc>
        <w:tc>
          <w:tcPr>
            <w:tcW w:w="3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13E" w:rsidP="0009013E">
            <w:pPr>
              <w:pStyle w:val="BodyText"/>
            </w:pPr>
            <w:r w:rsidRPr="0009013E">
              <w:t>Maintain instrumentation system components</w:t>
            </w:r>
          </w:p>
        </w:tc>
      </w:tr>
    </w:tbl>
    <w:p w:rsidR="009C7E76" w:rsidP="0009013E">
      <w:pPr>
        <w:pStyle w:val="BodyText"/>
      </w:pPr>
    </w:p>
    <w:p w:rsidR="009C7E76" w:rsidP="0009013E">
      <w:pPr>
        <w:pStyle w:val="BodyText"/>
      </w:pPr>
    </w:p>
    <w:p w:rsidR="00000000" w:rsidRPr="0009013E" w:rsidP="0009013E">
      <w:pPr>
        <w:pStyle w:val="Heading1"/>
      </w:pPr>
      <w:bookmarkStart w:id="6" w:name="O_212462"/>
      <w:bookmarkEnd w:id="6"/>
      <w:r w:rsidRPr="0009013E">
        <w:t>Employability Skills Information</w:t>
      </w:r>
    </w:p>
    <w:tbl>
      <w:tblPr>
        <w:tblW w:w="0" w:type="auto"/>
        <w:tblLayout w:type="fixed"/>
        <w:tblCellMar>
          <w:left w:w="62" w:type="dxa"/>
          <w:right w:w="62" w:type="dxa"/>
        </w:tblCellMar>
        <w:tblLook w:val="0000"/>
      </w:tblPr>
      <w:tblGrid>
        <w:gridCol w:w="2802"/>
        <w:gridCol w:w="5720"/>
      </w:tblGrid>
      <w:tr w:rsidTr="009C7E7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13E" w:rsidP="0009013E">
            <w:pPr>
              <w:pStyle w:val="BodyText"/>
            </w:pPr>
            <w:r w:rsidRPr="0009013E">
              <w:t>This unit contains employability skills.</w:t>
            </w:r>
          </w:p>
        </w:tc>
      </w:tr>
    </w:tbl>
    <w:p w:rsidR="009C7E76" w:rsidP="0009013E">
      <w:pPr>
        <w:pStyle w:val="BodyText"/>
      </w:pPr>
    </w:p>
    <w:p w:rsidR="009C7E76" w:rsidP="0009013E">
      <w:pPr>
        <w:pStyle w:val="BodyText"/>
      </w:pPr>
    </w:p>
    <w:p w:rsidR="00000000" w:rsidRPr="0009013E" w:rsidP="0009013E">
      <w:pPr>
        <w:pStyle w:val="Heading1"/>
      </w:pPr>
      <w:bookmarkStart w:id="7" w:name="O_290335"/>
      <w:bookmarkEnd w:id="7"/>
      <w:r w:rsidRPr="0009013E">
        <w:t>Elements and Performance Criteria Pre-Content</w:t>
      </w:r>
    </w:p>
    <w:tbl>
      <w:tblPr>
        <w:tblW w:w="0" w:type="auto"/>
        <w:tblLayout w:type="fixed"/>
        <w:tblCellMar>
          <w:left w:w="62" w:type="dxa"/>
          <w:right w:w="62" w:type="dxa"/>
        </w:tblCellMar>
        <w:tblLook w:val="0000"/>
      </w:tblPr>
      <w:tblGrid>
        <w:gridCol w:w="2579"/>
        <w:gridCol w:w="5943"/>
      </w:tblGrid>
      <w:tr w:rsidTr="009C7E76">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Elements describe the essential outcomes of a unit of competency.</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13E" w:rsidP="0009013E">
            <w:pPr>
              <w:pStyle w:val="BodyText"/>
            </w:pPr>
            <w:r w:rsidRPr="0009013E">
              <w:t>Performance criteria describe the performance needed to demonstrate achievement of the element. Where bold italicised text is used, further info</w:t>
            </w:r>
            <w:r w:rsidRPr="0009013E">
              <w:t>rmation is detailed in the required skills and knowledge section and the range statement. Assessment of performance is to be consistent with the evidence guide.</w:t>
            </w:r>
          </w:p>
        </w:tc>
      </w:tr>
    </w:tbl>
    <w:p w:rsidR="00000000" w:rsidRPr="0009013E" w:rsidP="0009013E">
      <w:pPr>
        <w:pStyle w:val="BodyText"/>
      </w:pPr>
    </w:p>
    <w:p w:rsidR="00000000" w:rsidRPr="0009013E" w:rsidP="0009013E">
      <w:pPr>
        <w:pStyle w:val="AllowPageBreak"/>
      </w:pPr>
    </w:p>
    <w:p w:rsidR="00000000" w:rsidRPr="0009013E" w:rsidP="0009013E">
      <w:pPr>
        <w:pStyle w:val="Heading1"/>
      </w:pPr>
      <w:bookmarkStart w:id="8" w:name="O_237002"/>
      <w:bookmarkEnd w:id="8"/>
      <w:r w:rsidRPr="0009013E">
        <w:t>Elements and Performance Criteria</w:t>
      </w:r>
    </w:p>
    <w:tbl>
      <w:tblPr>
        <w:tblW w:w="0" w:type="auto"/>
        <w:tblLayout w:type="fixed"/>
        <w:tblCellMar>
          <w:left w:w="62" w:type="dxa"/>
          <w:right w:w="62" w:type="dxa"/>
        </w:tblCellMar>
        <w:tblLook w:val="0000"/>
      </w:tblPr>
      <w:tblGrid>
        <w:gridCol w:w="2579"/>
        <w:gridCol w:w="5943"/>
      </w:tblGrid>
      <w:tr w:rsidTr="009C7E76">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13E" w:rsidP="0009013E">
            <w:pPr>
              <w:pStyle w:val="BodyText"/>
            </w:pPr>
            <w:r w:rsidRPr="0009013E">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rPr>
                <w:rStyle w:val="SpecialBold"/>
              </w:rPr>
              <w:t>PERFORMANCE CRITERIA</w:t>
            </w:r>
          </w:p>
        </w:tc>
      </w:tr>
      <w:tr w:rsidTr="009C7E76">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List"/>
              <w:rPr>
                <w:lang w:val="en-NZ"/>
              </w:rPr>
            </w:pPr>
            <w:r w:rsidRPr="0009013E">
              <w:t>1.</w:t>
            </w:r>
            <w:r w:rsidRPr="0009013E">
              <w:tab/>
            </w:r>
            <w:r w:rsidRPr="0009013E">
              <w:t>Perform preventative maintenance on process control analysers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13E" w:rsidP="0009013E">
            <w:pPr>
              <w:pStyle w:val="List2"/>
            </w:pPr>
            <w:r w:rsidRPr="0009013E">
              <w:t>1.1.</w:t>
            </w:r>
            <w:r w:rsidRPr="0009013E">
              <w:tab/>
              <w:t>Specification requirements are determined from manufacturers' manuals, maintenance schedules and other relevant documents.</w:t>
            </w:r>
          </w:p>
          <w:p w:rsidR="00000000" w:rsidRPr="0009013E" w:rsidP="0009013E">
            <w:pPr>
              <w:pStyle w:val="List2"/>
            </w:pPr>
            <w:r w:rsidRPr="0009013E">
              <w:t>1.2.</w:t>
            </w:r>
            <w:r w:rsidRPr="0009013E">
              <w:tab/>
              <w:t>Using knowledge of process control analyser characteristics a</w:t>
            </w:r>
            <w:r w:rsidRPr="0009013E">
              <w:t>nd principles of operation, specification requirements are interpreted, defined and understood.</w:t>
            </w:r>
          </w:p>
          <w:p w:rsidR="00000000" w:rsidRPr="0009013E" w:rsidP="0009013E">
            <w:pPr>
              <w:pStyle w:val="List2"/>
            </w:pPr>
            <w:r w:rsidRPr="0009013E">
              <w:t>1.3.</w:t>
            </w:r>
            <w:r w:rsidRPr="0009013E">
              <w:tab/>
              <w:t>Preventative maintenance schedules are performed on process control analysers to service and maintain analysers within defined specifications.</w:t>
            </w:r>
          </w:p>
          <w:p w:rsidR="00000000" w:rsidRPr="0009013E" w:rsidP="0009013E">
            <w:pPr>
              <w:pStyle w:val="List2"/>
            </w:pPr>
            <w:r w:rsidRPr="0009013E">
              <w:t>1.4.</w:t>
            </w:r>
            <w:r w:rsidRPr="0009013E">
              <w:tab/>
            </w:r>
            <w:r w:rsidRPr="0009013E">
              <w:t>Using appropriate electrical and electronic test equipment, techniques and procedures, specified process control analysers are diagnosed within the system or within the laboratory to determine correct operation or malfunction.</w:t>
            </w:r>
          </w:p>
          <w:p w:rsidR="00000000" w:rsidRPr="0009013E" w:rsidP="0009013E">
            <w:pPr>
              <w:pStyle w:val="List2"/>
            </w:pPr>
            <w:r w:rsidRPr="0009013E">
              <w:t>1.5.</w:t>
            </w:r>
            <w:r w:rsidRPr="0009013E">
              <w:tab/>
              <w:t>Operation of process con</w:t>
            </w:r>
            <w:r w:rsidRPr="0009013E">
              <w:t>trol analysers are monitored and assessed against predetermined laboratory data and/or  the fault condition is identified, localised and monitored.</w:t>
            </w:r>
          </w:p>
          <w:p w:rsidR="00000000" w:rsidRPr="0009013E" w:rsidP="0009013E">
            <w:pPr>
              <w:pStyle w:val="List2"/>
            </w:pPr>
            <w:r w:rsidRPr="0009013E">
              <w:t>1.6.</w:t>
            </w:r>
            <w:r w:rsidRPr="0009013E">
              <w:tab/>
              <w:t>Using appropriate test equipment and procedures, correct operation of analysers is tested, and/or the f</w:t>
            </w:r>
            <w:r w:rsidRPr="0009013E">
              <w:t>ault condition is identified, localised and monitored.</w:t>
            </w:r>
          </w:p>
          <w:p w:rsidR="00000000" w:rsidRPr="0009013E" w:rsidP="0009013E">
            <w:pPr>
              <w:pStyle w:val="List2"/>
            </w:pPr>
            <w:r w:rsidRPr="0009013E">
              <w:t>1.7.</w:t>
            </w:r>
            <w:r w:rsidRPr="0009013E">
              <w:tab/>
              <w:t>Correct operation is confirmed.</w:t>
            </w:r>
          </w:p>
          <w:p w:rsidR="00000000" w:rsidP="0009013E">
            <w:pPr>
              <w:pStyle w:val="List2"/>
              <w:rPr>
                <w:lang w:val="en-NZ"/>
              </w:rPr>
            </w:pPr>
            <w:r w:rsidRPr="0009013E">
              <w:t>1.8.</w:t>
            </w:r>
            <w:r w:rsidRPr="0009013E">
              <w:tab/>
              <w:t>Faults and malfunctions are identified and confirmed.</w:t>
            </w:r>
          </w:p>
        </w:tc>
      </w:tr>
      <w:tr w:rsidTr="009C7E76">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List"/>
              <w:rPr>
                <w:lang w:val="en-NZ"/>
              </w:rPr>
            </w:pPr>
            <w:r w:rsidRPr="0009013E">
              <w:t>2.</w:t>
            </w:r>
            <w:r w:rsidRPr="0009013E">
              <w:tab/>
              <w:t>Complete fault documentation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List2"/>
              <w:rPr>
                <w:lang w:val="en-NZ"/>
              </w:rPr>
            </w:pPr>
            <w:r w:rsidRPr="0009013E">
              <w:t>2.1.</w:t>
            </w:r>
            <w:r w:rsidRPr="0009013E">
              <w:tab/>
              <w:t>Faults and malfunctions are documented or reported according to sta</w:t>
            </w:r>
            <w:r w:rsidRPr="0009013E">
              <w:t>ndard operating procedures.</w:t>
            </w:r>
          </w:p>
        </w:tc>
      </w:tr>
      <w:tr w:rsidTr="009C7E76">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List"/>
              <w:rPr>
                <w:lang w:val="en-NZ"/>
              </w:rPr>
            </w:pPr>
            <w:r w:rsidRPr="0009013E">
              <w:t>3.</w:t>
            </w:r>
            <w:r w:rsidRPr="0009013E">
              <w:tab/>
              <w:t>Plan corrective action</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List2"/>
              <w:rPr>
                <w:lang w:val="en-NZ"/>
              </w:rPr>
            </w:pPr>
            <w:r w:rsidRPr="0009013E">
              <w:t>3.1.</w:t>
            </w:r>
            <w:r w:rsidRPr="0009013E">
              <w:tab/>
              <w:t>Corrective action is planned autonomously or in consultation with appropriate personnel and actioned.</w:t>
            </w:r>
          </w:p>
        </w:tc>
      </w:tr>
      <w:tr w:rsidTr="009C7E76">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List"/>
              <w:rPr>
                <w:lang w:val="en-NZ"/>
              </w:rPr>
            </w:pPr>
            <w:r w:rsidRPr="0009013E">
              <w:t>4.</w:t>
            </w:r>
            <w:r w:rsidRPr="0009013E">
              <w:tab/>
              <w:t>Repair, replace, overhaul process control analysers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13E" w:rsidP="0009013E">
            <w:pPr>
              <w:pStyle w:val="List2"/>
            </w:pPr>
            <w:r w:rsidRPr="0009013E">
              <w:t>4.1.</w:t>
            </w:r>
            <w:r w:rsidRPr="0009013E">
              <w:tab/>
              <w:t>Process control analysers are exa</w:t>
            </w:r>
            <w:r w:rsidRPr="0009013E">
              <w:t>mined or verified for repair, replacement or overhaul using correct tools/equipment and appropriate principles, techniques and procedures.</w:t>
            </w:r>
          </w:p>
          <w:p w:rsidR="00000000" w:rsidRPr="0009013E" w:rsidP="0009013E">
            <w:pPr>
              <w:pStyle w:val="List2"/>
            </w:pPr>
            <w:r w:rsidRPr="0009013E">
              <w:t>4.2.</w:t>
            </w:r>
            <w:r w:rsidRPr="0009013E">
              <w:tab/>
              <w:t>Replacement items are selected from manufacturers' parts lists or catalogues according to specifications require</w:t>
            </w:r>
            <w:r w:rsidRPr="0009013E">
              <w:t>d.</w:t>
            </w:r>
          </w:p>
          <w:p w:rsidR="00000000" w:rsidRPr="0009013E" w:rsidP="0009013E">
            <w:pPr>
              <w:pStyle w:val="List2"/>
            </w:pPr>
            <w:r w:rsidRPr="0009013E">
              <w:t>4.3.</w:t>
            </w:r>
            <w:r w:rsidRPr="0009013E">
              <w:tab/>
              <w:t>Faulty items are repaired or overhauled using correct principles, techniques, tools, equipment and procedures.</w:t>
            </w:r>
          </w:p>
          <w:p w:rsidR="00000000" w:rsidRPr="0009013E" w:rsidP="0009013E">
            <w:pPr>
              <w:pStyle w:val="List2"/>
            </w:pPr>
            <w:r w:rsidRPr="0009013E">
              <w:t>4.4.</w:t>
            </w:r>
            <w:r w:rsidRPr="0009013E">
              <w:tab/>
              <w:t>Repaired, overhauled and replacement items are prepared for refitting according to standard operating procedures.</w:t>
            </w:r>
          </w:p>
          <w:p w:rsidR="00000000" w:rsidRPr="0009013E" w:rsidP="0009013E">
            <w:pPr>
              <w:pStyle w:val="List2"/>
            </w:pPr>
            <w:r w:rsidRPr="0009013E">
              <w:t>4.5.</w:t>
            </w:r>
            <w:r w:rsidRPr="0009013E">
              <w:tab/>
              <w:t>Process contr</w:t>
            </w:r>
            <w:r w:rsidRPr="0009013E">
              <w:t>ol analysers are refitted using correct principles, tools, equipment and procedures.</w:t>
            </w:r>
          </w:p>
          <w:p w:rsidR="00000000" w:rsidP="0009013E">
            <w:pPr>
              <w:pStyle w:val="List2"/>
              <w:rPr>
                <w:lang w:val="en-NZ"/>
              </w:rPr>
            </w:pPr>
            <w:r w:rsidRPr="0009013E">
              <w:t>4.6.</w:t>
            </w:r>
            <w:r w:rsidRPr="0009013E">
              <w:tab/>
              <w:t>Refitted process control analysers are prepared for testing and calibration.</w:t>
            </w:r>
          </w:p>
        </w:tc>
      </w:tr>
      <w:tr w:rsidTr="009C7E76">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List"/>
              <w:rPr>
                <w:lang w:val="en-NZ"/>
              </w:rPr>
            </w:pPr>
            <w:r w:rsidRPr="0009013E">
              <w:t>5.</w:t>
            </w:r>
            <w:r w:rsidRPr="0009013E">
              <w:tab/>
              <w:t>Calibrate and test process control analysers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13E" w:rsidP="0009013E">
            <w:pPr>
              <w:pStyle w:val="List2"/>
            </w:pPr>
            <w:r w:rsidRPr="0009013E">
              <w:t>5.1.</w:t>
            </w:r>
            <w:r w:rsidRPr="0009013E">
              <w:tab/>
            </w:r>
            <w:r w:rsidRPr="0009013E">
              <w:t>Process control analysers are calibrated against appropriate physical standards using correct calibration devices, equipment, techniques and procedures.</w:t>
            </w:r>
          </w:p>
          <w:p w:rsidR="00000000" w:rsidRPr="0009013E" w:rsidP="0009013E">
            <w:pPr>
              <w:pStyle w:val="List2"/>
            </w:pPr>
            <w:r w:rsidRPr="0009013E">
              <w:t>5.2.</w:t>
            </w:r>
            <w:r w:rsidRPr="0009013E">
              <w:tab/>
              <w:t>Calibrated process control analysers are tested using appropriate test equipment.</w:t>
            </w:r>
          </w:p>
          <w:p w:rsidR="00000000" w:rsidRPr="0009013E" w:rsidP="0009013E">
            <w:pPr>
              <w:pStyle w:val="List2"/>
            </w:pPr>
            <w:r w:rsidRPr="0009013E">
              <w:t>5.3.</w:t>
            </w:r>
            <w:r w:rsidRPr="0009013E">
              <w:tab/>
              <w:t>Calibration</w:t>
            </w:r>
            <w:r w:rsidRPr="0009013E">
              <w:t xml:space="preserve"> and analysis data is collected.</w:t>
            </w:r>
          </w:p>
          <w:p w:rsidR="00000000" w:rsidRPr="0009013E" w:rsidP="0009013E">
            <w:pPr>
              <w:pStyle w:val="List2"/>
            </w:pPr>
            <w:r w:rsidRPr="0009013E">
              <w:t>5.4.</w:t>
            </w:r>
            <w:r w:rsidRPr="0009013E">
              <w:tab/>
              <w:t>Calibration and analysis data is interpreted.</w:t>
            </w:r>
          </w:p>
          <w:p w:rsidR="00000000" w:rsidP="0009013E">
            <w:pPr>
              <w:pStyle w:val="List2"/>
              <w:rPr>
                <w:lang w:val="en-NZ"/>
              </w:rPr>
            </w:pPr>
            <w:r w:rsidRPr="0009013E">
              <w:t>5.5.</w:t>
            </w:r>
            <w:r w:rsidRPr="0009013E">
              <w:tab/>
              <w:t>Calibration and analysis data is assessed in accordance with manufacturers' data sheets, codes of practice and safety procedures.</w:t>
            </w:r>
          </w:p>
        </w:tc>
      </w:tr>
      <w:tr w:rsidTr="009C7E76">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List"/>
              <w:rPr>
                <w:lang w:val="en-NZ"/>
              </w:rPr>
            </w:pPr>
            <w:r w:rsidRPr="0009013E">
              <w:t>6.</w:t>
            </w:r>
            <w:r w:rsidRPr="0009013E">
              <w:tab/>
              <w:t>Re-install and recommission proce</w:t>
            </w:r>
            <w:r w:rsidRPr="0009013E">
              <w:t>ss control analysers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13E" w:rsidP="0009013E">
            <w:pPr>
              <w:pStyle w:val="List2"/>
            </w:pPr>
            <w:r w:rsidRPr="0009013E">
              <w:t>6.1.</w:t>
            </w:r>
            <w:r w:rsidRPr="0009013E">
              <w:tab/>
              <w:t>Process control analysers are put into service to specifications with due regard to process requirements, codes of practice, safety, commissioning procedures and techniques.</w:t>
            </w:r>
          </w:p>
          <w:p w:rsidR="00000000" w:rsidRPr="0009013E" w:rsidP="0009013E">
            <w:pPr>
              <w:pStyle w:val="List2"/>
            </w:pPr>
            <w:r w:rsidRPr="0009013E">
              <w:t>6.2.</w:t>
            </w:r>
            <w:r w:rsidRPr="0009013E">
              <w:tab/>
              <w:t>Service reports are completed to standard operating</w:t>
            </w:r>
            <w:r w:rsidRPr="0009013E">
              <w:t xml:space="preserve"> procedures.</w:t>
            </w:r>
          </w:p>
        </w:tc>
      </w:tr>
    </w:tbl>
    <w:p w:rsidR="009C7E76" w:rsidP="0009013E">
      <w:pPr>
        <w:pStyle w:val="BodyText"/>
      </w:pPr>
    </w:p>
    <w:p w:rsidR="009C7E76" w:rsidP="0009013E">
      <w:pPr>
        <w:pStyle w:val="BodyText"/>
      </w:pPr>
    </w:p>
    <w:p w:rsidR="00000000" w:rsidRPr="0009013E" w:rsidP="0009013E">
      <w:pPr>
        <w:pStyle w:val="Heading1"/>
      </w:pPr>
      <w:bookmarkStart w:id="9" w:name="O_260952"/>
      <w:bookmarkEnd w:id="9"/>
      <w:r w:rsidRPr="0009013E">
        <w:t>Required Skills and Knowledge</w:t>
      </w:r>
    </w:p>
    <w:tbl>
      <w:tblPr>
        <w:tblW w:w="0" w:type="auto"/>
        <w:tblLayout w:type="fixed"/>
        <w:tblCellMar>
          <w:left w:w="62" w:type="dxa"/>
          <w:right w:w="62" w:type="dxa"/>
        </w:tblCellMar>
        <w:tblLook w:val="0000"/>
      </w:tblPr>
      <w:tblGrid>
        <w:gridCol w:w="8522"/>
      </w:tblGrid>
      <w:tr w:rsidTr="009C7E7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013E">
            <w:pPr>
              <w:pStyle w:val="BodyText"/>
              <w:rPr>
                <w:lang w:val="en-NZ"/>
              </w:rPr>
            </w:pPr>
            <w:r w:rsidRPr="0009013E">
              <w:rPr>
                <w:rStyle w:val="SpecialBold"/>
              </w:rPr>
              <w:t>REQUIRED SKILLS AND KNOWLEDGE</w:t>
            </w:r>
          </w:p>
        </w:tc>
      </w:tr>
      <w:tr w:rsidTr="009C7E7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This section describes the skills and knowledge required for this unit.</w:t>
            </w:r>
          </w:p>
        </w:tc>
      </w:tr>
      <w:tr w:rsidTr="009C7E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rPr>
                <w:rStyle w:val="SpecialBold"/>
              </w:rPr>
              <w:t>Required skills</w:t>
            </w:r>
          </w:p>
        </w:tc>
      </w:tr>
      <w:tr w:rsidTr="009C7E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13E" w:rsidP="0009013E">
            <w:pPr>
              <w:pStyle w:val="BodyText"/>
            </w:pPr>
            <w:r w:rsidRPr="0009013E">
              <w:t>Look for evidence that confirms skills in:</w:t>
            </w:r>
          </w:p>
          <w:p w:rsidR="00000000" w:rsidRPr="0009013E" w:rsidP="0009013E">
            <w:pPr>
              <w:pStyle w:val="ListBullet"/>
            </w:pPr>
            <w:r w:rsidRPr="0009013E">
              <w:t>obtaining and interpreting relevant data sheets, circuit diagrams, engineering drawings, instructions, manufacturers' manuals, maintenance schedules, supplier catalogues, standard workplace procedures and other reference documents</w:t>
            </w:r>
          </w:p>
          <w:p w:rsidR="00000000" w:rsidRPr="0009013E" w:rsidP="0009013E">
            <w:pPr>
              <w:pStyle w:val="ListBullet"/>
            </w:pPr>
            <w:r w:rsidRPr="0009013E">
              <w:t>performing scheduled/prev</w:t>
            </w:r>
            <w:r w:rsidRPr="0009013E">
              <w:t xml:space="preserve">entative maintenance on process control analysers </w:t>
            </w:r>
          </w:p>
          <w:p w:rsidR="00000000" w:rsidRPr="0009013E" w:rsidP="0009013E">
            <w:pPr>
              <w:pStyle w:val="ListBullet"/>
            </w:pPr>
            <w:r w:rsidRPr="0009013E">
              <w:t>determining correct function or the malfunction of process control analysers</w:t>
            </w:r>
          </w:p>
          <w:p w:rsidR="00000000" w:rsidRPr="0009013E" w:rsidP="0009013E">
            <w:pPr>
              <w:pStyle w:val="ListBullet"/>
            </w:pPr>
            <w:r w:rsidRPr="0009013E">
              <w:t xml:space="preserve">recording test results </w:t>
            </w:r>
          </w:p>
          <w:p w:rsidR="00000000" w:rsidRPr="0009013E" w:rsidP="0009013E">
            <w:pPr>
              <w:pStyle w:val="ListBullet"/>
            </w:pPr>
            <w:r w:rsidRPr="0009013E">
              <w:t>monitoring apparent faults</w:t>
            </w:r>
          </w:p>
          <w:p w:rsidR="00000000" w:rsidRPr="0009013E" w:rsidP="0009013E">
            <w:pPr>
              <w:pStyle w:val="ListBullet"/>
            </w:pPr>
            <w:r w:rsidRPr="0009013E">
              <w:t>identifying, monitoring and localising faults in process control analysers us</w:t>
            </w:r>
            <w:r w:rsidRPr="0009013E">
              <w:t>ing a structured diagnostic approach</w:t>
            </w:r>
          </w:p>
          <w:p w:rsidR="00000000" w:rsidRPr="0009013E" w:rsidP="0009013E">
            <w:pPr>
              <w:pStyle w:val="ListBullet"/>
            </w:pPr>
            <w:r w:rsidRPr="0009013E">
              <w:t xml:space="preserve">confirming correct action of process control analysers </w:t>
            </w:r>
          </w:p>
          <w:p w:rsidR="00000000" w:rsidRPr="0009013E" w:rsidP="0009013E">
            <w:pPr>
              <w:pStyle w:val="ListBullet"/>
            </w:pPr>
            <w:r w:rsidRPr="0009013E">
              <w:t xml:space="preserve">recording/reporting faults and malfunctions in process control analysers </w:t>
            </w:r>
          </w:p>
          <w:p w:rsidR="00000000" w:rsidRPr="0009013E" w:rsidP="0009013E">
            <w:pPr>
              <w:pStyle w:val="ListBullet"/>
            </w:pPr>
            <w:r w:rsidRPr="0009013E">
              <w:t xml:space="preserve">preparing sequential action plan to correct faults in process control analysers </w:t>
            </w:r>
          </w:p>
          <w:p w:rsidR="00000000" w:rsidRPr="0009013E" w:rsidP="0009013E">
            <w:pPr>
              <w:pStyle w:val="ListBullet"/>
            </w:pPr>
            <w:r w:rsidRPr="0009013E">
              <w:t xml:space="preserve">checking and marking process control analysers for replacement, repair or overhaul </w:t>
            </w:r>
          </w:p>
          <w:p w:rsidR="00000000" w:rsidRPr="0009013E" w:rsidP="0009013E">
            <w:pPr>
              <w:pStyle w:val="ListBullet"/>
            </w:pPr>
            <w:r w:rsidRPr="0009013E">
              <w:t>repairing and overhauling faulty items</w:t>
            </w:r>
          </w:p>
          <w:p w:rsidR="00000000" w:rsidRPr="0009013E" w:rsidP="0009013E">
            <w:pPr>
              <w:pStyle w:val="ListBullet"/>
            </w:pPr>
            <w:r w:rsidRPr="0009013E">
              <w:t xml:space="preserve">preparing repaired, overhauled and replacement items for fitting/refitting </w:t>
            </w:r>
          </w:p>
          <w:p w:rsidR="00000000" w:rsidRPr="0009013E" w:rsidP="0009013E">
            <w:pPr>
              <w:pStyle w:val="ListBullet"/>
            </w:pPr>
            <w:r w:rsidRPr="0009013E">
              <w:t xml:space="preserve">fitting/refitting process control analysers </w:t>
            </w:r>
          </w:p>
          <w:p w:rsidR="00000000" w:rsidRPr="0009013E" w:rsidP="0009013E">
            <w:pPr>
              <w:pStyle w:val="ListBullet"/>
            </w:pPr>
            <w:r w:rsidRPr="0009013E">
              <w:t>preparing pr</w:t>
            </w:r>
            <w:r w:rsidRPr="0009013E">
              <w:t xml:space="preserve">ocess control analysers for testing and calibration </w:t>
            </w:r>
          </w:p>
          <w:p w:rsidR="00000000" w:rsidRPr="0009013E" w:rsidP="0009013E">
            <w:pPr>
              <w:pStyle w:val="ListBullet"/>
            </w:pPr>
            <w:r w:rsidRPr="0009013E">
              <w:t>calibrating process control analysers against appropriate physical standards using appropriate calibration devices, equipment and techniques</w:t>
            </w:r>
          </w:p>
          <w:p w:rsidR="00000000" w:rsidRPr="0009013E" w:rsidP="0009013E">
            <w:pPr>
              <w:pStyle w:val="ListBullet"/>
            </w:pPr>
            <w:r w:rsidRPr="0009013E">
              <w:t>testing calibrated process control analysers using appropriate</w:t>
            </w:r>
            <w:r w:rsidRPr="0009013E">
              <w:t xml:space="preserve"> equipment </w:t>
            </w:r>
          </w:p>
          <w:p w:rsidR="00000000" w:rsidRPr="0009013E" w:rsidP="0009013E">
            <w:pPr>
              <w:pStyle w:val="ListBullet"/>
            </w:pPr>
            <w:r w:rsidRPr="0009013E">
              <w:t xml:space="preserve">obtaining relevant calibration and analysis data with respect to the given process controller </w:t>
            </w:r>
          </w:p>
          <w:p w:rsidR="00000000" w:rsidRPr="0009013E" w:rsidP="0009013E">
            <w:pPr>
              <w:pStyle w:val="ListBullet"/>
            </w:pPr>
            <w:r w:rsidRPr="0009013E">
              <w:t>recommissioning process control analysers</w:t>
            </w:r>
          </w:p>
          <w:p w:rsidR="00000000" w:rsidP="0009013E">
            <w:pPr>
              <w:pStyle w:val="ListBullet"/>
              <w:rPr>
                <w:lang w:val="en-NZ"/>
              </w:rPr>
            </w:pPr>
            <w:r w:rsidRPr="0009013E">
              <w:t>completing necessary service reports</w:t>
            </w:r>
          </w:p>
        </w:tc>
      </w:tr>
      <w:tr w:rsidTr="009C7E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rPr>
                <w:rStyle w:val="SpecialBold"/>
              </w:rPr>
              <w:t>Required knowledge</w:t>
            </w:r>
          </w:p>
        </w:tc>
      </w:tr>
      <w:tr w:rsidTr="009C7E7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13E" w:rsidP="0009013E">
            <w:pPr>
              <w:pStyle w:val="BodyText"/>
            </w:pPr>
            <w:r w:rsidRPr="0009013E">
              <w:t>Look for evidence that confirms knowledge of:</w:t>
            </w:r>
          </w:p>
          <w:p w:rsidR="00000000" w:rsidRPr="0009013E" w:rsidP="0009013E">
            <w:pPr>
              <w:pStyle w:val="ListBullet"/>
            </w:pPr>
            <w:r w:rsidRPr="0009013E">
              <w:t xml:space="preserve">specifications for the process control analyser to be installed </w:t>
            </w:r>
          </w:p>
          <w:p w:rsidR="00000000" w:rsidRPr="0009013E" w:rsidP="0009013E">
            <w:pPr>
              <w:pStyle w:val="ListBullet"/>
            </w:pPr>
            <w:r w:rsidRPr="0009013E">
              <w:t>procedures for maintaining process control analysers</w:t>
            </w:r>
          </w:p>
          <w:p w:rsidR="00000000" w:rsidRPr="0009013E" w:rsidP="0009013E">
            <w:pPr>
              <w:pStyle w:val="ListBullet"/>
            </w:pPr>
            <w:r w:rsidRPr="0009013E">
              <w:t xml:space="preserve">the maintenance to be undertaken and the frequency at which process control analysers are to be maintained </w:t>
            </w:r>
          </w:p>
          <w:p w:rsidR="00000000" w:rsidRPr="0009013E" w:rsidP="0009013E">
            <w:pPr>
              <w:pStyle w:val="ListBullet"/>
            </w:pPr>
            <w:r w:rsidRPr="0009013E">
              <w:t>procedures for determining cor</w:t>
            </w:r>
            <w:r w:rsidRPr="0009013E">
              <w:t>rect function or the malfunction of process control analysers</w:t>
            </w:r>
          </w:p>
          <w:p w:rsidR="00000000" w:rsidRPr="0009013E" w:rsidP="0009013E">
            <w:pPr>
              <w:pStyle w:val="ListBullet"/>
            </w:pPr>
            <w:r w:rsidRPr="0009013E">
              <w:t>test equipment and diagnostic techniques required to determine correct function or malfunction of process control analysers</w:t>
            </w:r>
          </w:p>
          <w:p w:rsidR="00000000" w:rsidRPr="0009013E" w:rsidP="0009013E">
            <w:pPr>
              <w:pStyle w:val="ListBullet"/>
            </w:pPr>
            <w:r w:rsidRPr="0009013E">
              <w:t>procedures for recording test results and procedures for monitoring ap</w:t>
            </w:r>
            <w:r w:rsidRPr="0009013E">
              <w:t>parent faults detected from test results</w:t>
            </w:r>
          </w:p>
          <w:p w:rsidR="00000000" w:rsidRPr="0009013E" w:rsidP="0009013E">
            <w:pPr>
              <w:pStyle w:val="ListBullet"/>
            </w:pPr>
            <w:r w:rsidRPr="0009013E">
              <w:t xml:space="preserve">probable causes of variations between test results and specifications </w:t>
            </w:r>
          </w:p>
          <w:p w:rsidR="00000000" w:rsidRPr="0009013E" w:rsidP="0009013E">
            <w:pPr>
              <w:pStyle w:val="ListBullet"/>
            </w:pPr>
            <w:r w:rsidRPr="0009013E">
              <w:t xml:space="preserve">procedures for reporting/recording faults and/or malfunctions in process control analysers </w:t>
            </w:r>
          </w:p>
          <w:p w:rsidR="00000000" w:rsidRPr="0009013E" w:rsidP="0009013E">
            <w:pPr>
              <w:pStyle w:val="ListBullet"/>
            </w:pPr>
            <w:r w:rsidRPr="0009013E">
              <w:t>action to be taken to return the process control ana</w:t>
            </w:r>
            <w:r w:rsidRPr="0009013E">
              <w:t>lysers to specification and reasons for undertaking the proposed actions</w:t>
            </w:r>
          </w:p>
          <w:p w:rsidR="00000000" w:rsidRPr="0009013E" w:rsidP="0009013E">
            <w:pPr>
              <w:pStyle w:val="ListBullet"/>
            </w:pPr>
            <w:r w:rsidRPr="0009013E">
              <w:t>persons to be consulted in planning the corrective action</w:t>
            </w:r>
          </w:p>
          <w:p w:rsidR="00000000" w:rsidRPr="0009013E" w:rsidP="0009013E">
            <w:pPr>
              <w:pStyle w:val="ListBullet"/>
            </w:pPr>
            <w:r w:rsidRPr="0009013E">
              <w:t>sequence of actions to be taken</w:t>
            </w:r>
          </w:p>
          <w:p w:rsidR="00000000" w:rsidRPr="0009013E" w:rsidP="0009013E">
            <w:pPr>
              <w:pStyle w:val="ListBullet"/>
            </w:pPr>
            <w:r w:rsidRPr="0009013E">
              <w:t>procedures for marking components for repair, replacement or overhaul</w:t>
            </w:r>
          </w:p>
          <w:p w:rsidR="00000000" w:rsidRPr="0009013E" w:rsidP="0009013E">
            <w:pPr>
              <w:pStyle w:val="ListBullet"/>
            </w:pPr>
            <w:r w:rsidRPr="0009013E">
              <w:t>tools, equipment and te</w:t>
            </w:r>
            <w:r w:rsidRPr="0009013E">
              <w:t>chniques required to test components and reasons for marking components for repair, replacement and/or overhaul</w:t>
            </w:r>
          </w:p>
          <w:p w:rsidR="00000000" w:rsidRPr="0009013E" w:rsidP="0009013E">
            <w:pPr>
              <w:pStyle w:val="ListBullet"/>
            </w:pPr>
            <w:r w:rsidRPr="0009013E">
              <w:t>specifications for the component(s) to be replaced</w:t>
            </w:r>
          </w:p>
          <w:p w:rsidR="00000000" w:rsidRPr="0009013E" w:rsidP="0009013E">
            <w:pPr>
              <w:pStyle w:val="ListBullet"/>
            </w:pPr>
            <w:r w:rsidRPr="0009013E">
              <w:t>procedures, tools, techniques and equipment required to repair/overhaul the faulty items</w:t>
            </w:r>
          </w:p>
          <w:p w:rsidR="00000000" w:rsidRPr="0009013E" w:rsidP="0009013E">
            <w:pPr>
              <w:pStyle w:val="ListBullet"/>
            </w:pPr>
            <w:r w:rsidRPr="0009013E">
              <w:t xml:space="preserve">preparation requirements of items to be fitted/refitted </w:t>
            </w:r>
          </w:p>
          <w:p w:rsidR="00000000" w:rsidRPr="0009013E" w:rsidP="0009013E">
            <w:pPr>
              <w:pStyle w:val="ListBullet"/>
            </w:pPr>
            <w:r w:rsidRPr="0009013E">
              <w:t>procedures for preparing items for fitting/refitting</w:t>
            </w:r>
          </w:p>
          <w:p w:rsidR="00000000" w:rsidRPr="0009013E" w:rsidP="0009013E">
            <w:pPr>
              <w:pStyle w:val="ListBullet"/>
            </w:pPr>
            <w:r w:rsidRPr="0009013E">
              <w:t xml:space="preserve">procedures for fitting/refitting process control analysers  </w:t>
            </w:r>
          </w:p>
          <w:p w:rsidR="00000000" w:rsidRPr="0009013E" w:rsidP="0009013E">
            <w:pPr>
              <w:pStyle w:val="ListBullet"/>
            </w:pPr>
            <w:r w:rsidRPr="0009013E">
              <w:t>tools, techniques and equipment required to fit/refit process control analysers</w:t>
            </w:r>
          </w:p>
          <w:p w:rsidR="00000000" w:rsidRPr="0009013E" w:rsidP="0009013E">
            <w:pPr>
              <w:pStyle w:val="ListBullet"/>
            </w:pPr>
            <w:r w:rsidRPr="0009013E">
              <w:t>prepa</w:t>
            </w:r>
            <w:r w:rsidRPr="0009013E">
              <w:t xml:space="preserve">ration requirements of process control analysers prior to testing and calibration </w:t>
            </w:r>
          </w:p>
          <w:p w:rsidR="00000000" w:rsidRPr="0009013E" w:rsidP="0009013E">
            <w:pPr>
              <w:pStyle w:val="ListBullet"/>
            </w:pPr>
            <w:r w:rsidRPr="0009013E">
              <w:t xml:space="preserve">procedures for calibrating process control analysers  </w:t>
            </w:r>
          </w:p>
          <w:p w:rsidR="00000000" w:rsidRPr="0009013E" w:rsidP="0009013E">
            <w:pPr>
              <w:pStyle w:val="ListBullet"/>
            </w:pPr>
            <w:r w:rsidRPr="0009013E">
              <w:t>physical standards against which process control analysers are to be calibrated</w:t>
            </w:r>
          </w:p>
          <w:p w:rsidR="00000000" w:rsidRPr="0009013E" w:rsidP="0009013E">
            <w:pPr>
              <w:pStyle w:val="ListBullet"/>
            </w:pPr>
            <w:r w:rsidRPr="0009013E">
              <w:t>devices, equipment and techniques requ</w:t>
            </w:r>
            <w:r w:rsidRPr="0009013E">
              <w:t>ired to calibrate process control analysers</w:t>
            </w:r>
          </w:p>
          <w:p w:rsidR="00000000" w:rsidRPr="0009013E" w:rsidP="0009013E">
            <w:pPr>
              <w:pStyle w:val="ListBullet"/>
            </w:pPr>
            <w:r w:rsidRPr="0009013E">
              <w:t xml:space="preserve">equipment and procedures for testing calibrated process control analysers </w:t>
            </w:r>
          </w:p>
          <w:p w:rsidR="00000000" w:rsidRPr="0009013E" w:rsidP="0009013E">
            <w:pPr>
              <w:pStyle w:val="ListBullet"/>
            </w:pPr>
            <w:r w:rsidRPr="0009013E">
              <w:t>probable causes of any variations/deviations detected</w:t>
            </w:r>
          </w:p>
          <w:p w:rsidR="00000000" w:rsidRPr="0009013E" w:rsidP="0009013E">
            <w:pPr>
              <w:pStyle w:val="ListBullet"/>
            </w:pPr>
            <w:r w:rsidRPr="0009013E">
              <w:t>action to be taken to return the process control analyser to specification and reas</w:t>
            </w:r>
            <w:r w:rsidRPr="0009013E">
              <w:t>ons for undertaking the proposed action(s)</w:t>
            </w:r>
          </w:p>
          <w:p w:rsidR="00000000" w:rsidRPr="0009013E" w:rsidP="0009013E">
            <w:pPr>
              <w:pStyle w:val="ListBullet"/>
            </w:pPr>
            <w:r w:rsidRPr="0009013E">
              <w:t>procedures for recommissioning process control analysers</w:t>
            </w:r>
          </w:p>
          <w:p w:rsidR="00000000" w:rsidRPr="0009013E" w:rsidP="0009013E">
            <w:pPr>
              <w:pStyle w:val="ListBullet"/>
            </w:pPr>
            <w:r w:rsidRPr="0009013E">
              <w:t>the safety precautions to be taken when recommissioning process control analysers</w:t>
            </w:r>
          </w:p>
          <w:p w:rsidR="00000000" w:rsidRPr="0009013E" w:rsidP="0009013E">
            <w:pPr>
              <w:pStyle w:val="ListBullet"/>
            </w:pPr>
            <w:r w:rsidRPr="0009013E">
              <w:t>procedures for reporting/recording service undertaken on process control a</w:t>
            </w:r>
            <w:r w:rsidRPr="0009013E">
              <w:t xml:space="preserve">nalysers and reasons for recording service undertaken </w:t>
            </w:r>
          </w:p>
          <w:p w:rsidR="00000000" w:rsidRPr="0009013E" w:rsidP="0009013E">
            <w:pPr>
              <w:pStyle w:val="ListBullet"/>
            </w:pPr>
            <w:r w:rsidRPr="0009013E">
              <w:t>appropriate measuring techniques, tools and equipment</w:t>
            </w:r>
          </w:p>
          <w:p w:rsidR="00000000" w:rsidRPr="0009013E" w:rsidP="0009013E">
            <w:pPr>
              <w:pStyle w:val="ListBullet"/>
            </w:pPr>
            <w:r w:rsidRPr="0009013E">
              <w:t>hazards/control measures associated with maintaining, repairing instrumentation process control analysers</w:t>
            </w:r>
          </w:p>
          <w:p w:rsidR="00000000" w:rsidRPr="0009013E" w:rsidP="0009013E">
            <w:pPr>
              <w:pStyle w:val="ListBullet"/>
            </w:pPr>
            <w:r w:rsidRPr="0009013E">
              <w:t>use and application of personal protectiv</w:t>
            </w:r>
            <w:r w:rsidRPr="0009013E">
              <w:t>e equipment</w:t>
            </w:r>
          </w:p>
          <w:p w:rsidR="00000000" w:rsidRPr="0009013E" w:rsidP="0009013E">
            <w:pPr>
              <w:pStyle w:val="ListBullet"/>
            </w:pPr>
            <w:r w:rsidRPr="0009013E">
              <w:t>safe work practices and procedures</w:t>
            </w:r>
          </w:p>
        </w:tc>
      </w:tr>
    </w:tbl>
    <w:p w:rsidR="009C7E76" w:rsidP="0009013E">
      <w:pPr>
        <w:pStyle w:val="BodyText"/>
      </w:pPr>
    </w:p>
    <w:p w:rsidR="009C7E76" w:rsidP="0009013E">
      <w:pPr>
        <w:pStyle w:val="BodyText"/>
      </w:pPr>
    </w:p>
    <w:p w:rsidR="00000000" w:rsidRPr="0009013E" w:rsidP="0009013E">
      <w:pPr>
        <w:pStyle w:val="AllowPageBreak"/>
      </w:pPr>
    </w:p>
    <w:p w:rsidR="00000000" w:rsidRPr="0009013E" w:rsidP="0009013E">
      <w:pPr>
        <w:pStyle w:val="Heading1"/>
      </w:pPr>
      <w:bookmarkStart w:id="10" w:name="O_244986"/>
      <w:bookmarkEnd w:id="10"/>
      <w:r w:rsidRPr="0009013E">
        <w:t>Evidence Guide</w:t>
      </w:r>
    </w:p>
    <w:tbl>
      <w:tblPr>
        <w:tblW w:w="9570" w:type="dxa"/>
        <w:tblLayout w:type="fixed"/>
        <w:tblCellMar>
          <w:left w:w="62" w:type="dxa"/>
          <w:right w:w="62" w:type="dxa"/>
        </w:tblCellMar>
        <w:tblLook w:val="0000"/>
      </w:tblPr>
      <w:tblGrid>
        <w:gridCol w:w="3908"/>
        <w:gridCol w:w="5662"/>
      </w:tblGrid>
      <w:tr w:rsidTr="009C7E7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rPr>
                <w:rStyle w:val="SpecialBold"/>
              </w:rPr>
              <w:t>EVIDENCE GUIDE</w:t>
            </w:r>
          </w:p>
        </w:tc>
      </w:tr>
      <w:tr w:rsidTr="009C7E7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The evidence guide provides advice on assessment and must be read in conjunction with the performance criteria, required skills and knowledge, range statement and the Assessment Guidelines for the Training Package.</w:t>
            </w:r>
          </w:p>
        </w:tc>
      </w:tr>
      <w:tr w:rsidTr="009C7E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A person who dem</w:t>
            </w:r>
            <w:r w:rsidRPr="0009013E">
              <w:t>onstrates competency in this unit must be able to maintain, repair instrumentation process control analysers. Competency in this unit cannot be claimed until all prerequisites have been satisfied.</w:t>
            </w:r>
          </w:p>
        </w:tc>
      </w:tr>
      <w:tr w:rsidTr="009C7E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rPr>
                <w:rStyle w:val="SpecialBold"/>
              </w:rPr>
              <w:t>Critical aspects for assessment and evidence required to d</w:t>
            </w:r>
            <w:r w:rsidRPr="0009013E">
              <w:rPr>
                <w:rStyle w:val="SpecialBold"/>
              </w:rPr>
              <w:t>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Assessors must be satisfied that the candidate can competently and consistently perform all elements of the unit as specified by the criteria, including required knowledge, and be capable of applying the competency in new</w:t>
            </w:r>
            <w:r w:rsidRPr="0009013E">
              <w:t xml:space="preserve"> and different situations and contexts.</w:t>
            </w:r>
          </w:p>
        </w:tc>
      </w:tr>
      <w:tr w:rsidTr="009C7E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13E" w:rsidP="0009013E">
            <w:pPr>
              <w:pStyle w:val="BodyText"/>
            </w:pPr>
            <w:r w:rsidRPr="0009013E">
              <w:t xml:space="preserve">This unit may be assessed on the job, off the job or a combination of both. Where assessment occurs off the job, i.e. the candidate is not in productive work, </w:t>
            </w:r>
            <w:r w:rsidRPr="0009013E">
              <w:t>an appropriate simulation must be used where the range of conditions reflects realistic workplace situations. The competencies covered by this unit would be demonstrated by an individual working alone or as part of a team. The assessment environment should</w:t>
            </w:r>
            <w:r w:rsidRPr="0009013E">
              <w:t xml:space="preserve"> not disadvantage the candidate. </w:t>
            </w:r>
          </w:p>
          <w:p w:rsidR="00000000" w:rsidP="0009013E">
            <w:pPr>
              <w:pStyle w:val="BodyText"/>
              <w:rPr>
                <w:lang w:val="en-NZ"/>
              </w:rPr>
            </w:pPr>
            <w:r w:rsidRPr="0009013E">
              <w:t>This unit could be assessed in conjunction with any other units addressing the safety, quality, communication, materials handling, recording and reporting associated with maintaining, repairing instrumentation process cont</w:t>
            </w:r>
            <w:r w:rsidRPr="0009013E">
              <w:t>rol analysers, or other units requiring the exercise of the skills and knowledge covered by this unit.</w:t>
            </w:r>
          </w:p>
        </w:tc>
      </w:tr>
      <w:tr w:rsidTr="009C7E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Assessors should gather a range of evidence that is valid, sufficient, current and authentic. Evidence can be gathered through a va</w:t>
            </w:r>
            <w:r w:rsidRPr="0009013E">
              <w:t xml:space="preserve">riety of ways including direct observation, supervisor's reports, project work, samples and questioning. Questioning techniques should not require language, literacy and numeracy skills beyond those required in this unit. The candidate must have access to </w:t>
            </w:r>
            <w:r w:rsidRPr="0009013E">
              <w:t>all tools, equipment, materials and documentation required. The candidate must be permitted to refer to any relevant workplace procedures, product and manufacturing specifications, codes, standards, manuals and reference materials.</w:t>
            </w:r>
          </w:p>
        </w:tc>
      </w:tr>
      <w:tr w:rsidTr="009C7E7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rPr>
                <w:rStyle w:val="SpecialBold"/>
              </w:rPr>
              <w:t>Guidance information fo</w:t>
            </w:r>
            <w:r w:rsidRPr="0009013E">
              <w:rPr>
                <w:rStyle w:val="SpecialBold"/>
              </w:rPr>
              <w:t>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13E" w:rsidP="0009013E">
            <w:pPr>
              <w:pStyle w:val="BodyText"/>
            </w:pPr>
          </w:p>
        </w:tc>
      </w:tr>
    </w:tbl>
    <w:p w:rsidR="009C7E76" w:rsidP="0009013E">
      <w:pPr>
        <w:pStyle w:val="BodyText"/>
      </w:pPr>
    </w:p>
    <w:p w:rsidR="009C7E76" w:rsidP="0009013E">
      <w:pPr>
        <w:pStyle w:val="BodyText"/>
      </w:pPr>
    </w:p>
    <w:p w:rsidR="00000000" w:rsidRPr="0009013E" w:rsidP="0009013E">
      <w:pPr>
        <w:pStyle w:val="Heading1"/>
      </w:pPr>
      <w:bookmarkStart w:id="11" w:name="O_252969"/>
      <w:bookmarkEnd w:id="11"/>
      <w:r w:rsidRPr="0009013E">
        <w:t>Range Statement</w:t>
      </w:r>
    </w:p>
    <w:tbl>
      <w:tblPr>
        <w:tblW w:w="0" w:type="auto"/>
        <w:tblLayout w:type="fixed"/>
        <w:tblCellMar>
          <w:left w:w="62" w:type="dxa"/>
          <w:right w:w="62" w:type="dxa"/>
        </w:tblCellMar>
        <w:tblLook w:val="0000"/>
      </w:tblPr>
      <w:tblGrid>
        <w:gridCol w:w="4282"/>
        <w:gridCol w:w="4240"/>
      </w:tblGrid>
      <w:tr w:rsidTr="009C7E7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rPr>
                <w:rStyle w:val="SpecialBold"/>
              </w:rPr>
              <w:t>RANGE STATEMENT</w:t>
            </w:r>
          </w:p>
        </w:tc>
      </w:tr>
      <w:tr w:rsidTr="009C7E7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t xml:space="preserve">The range statement relates to the unit of competency as a whole. It allows for different work environments and situations that may affect </w:t>
            </w:r>
            <w:r w:rsidRPr="0009013E">
              <w:t>performance. Bold italicised wording, if used in the performance criteria, is detailed below. Essential operating conditions that may be present with training and assessment (depending on the work situation, needs of the candidate, accessibility of the ite</w:t>
            </w:r>
            <w:r w:rsidRPr="0009013E">
              <w:t>m, and local industry and regional contexts) may also be included.</w:t>
            </w:r>
          </w:p>
        </w:tc>
      </w:tr>
      <w:tr w:rsidTr="009C7E76">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p>
        </w:tc>
      </w:tr>
      <w:tr w:rsidTr="009C7E76">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p>
        </w:tc>
      </w:tr>
      <w:tr w:rsidTr="009C7E76">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p>
        </w:tc>
      </w:tr>
      <w:tr w:rsidTr="009C7E76">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p>
        </w:tc>
      </w:tr>
      <w:tr w:rsidTr="009C7E76">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p>
        </w:tc>
      </w:tr>
      <w:tr w:rsidTr="009C7E76">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p>
        </w:tc>
      </w:tr>
      <w:tr w:rsidTr="009C7E76">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p>
        </w:tc>
      </w:tr>
      <w:tr w:rsidTr="009C7E76">
        <w:tblPrEx>
          <w:tblW w:w="0" w:type="auto"/>
          <w:tblLayout w:type="fixed"/>
          <w:tblCellMar>
            <w:left w:w="62" w:type="dxa"/>
            <w:right w:w="62" w:type="dxa"/>
          </w:tblCellMar>
          <w:tblLook w:val="0000"/>
        </w:tblPrEx>
        <w:tc>
          <w:tcPr>
            <w:tcW w:w="42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13E" w:rsidP="0009013E">
            <w:pPr>
              <w:pStyle w:val="BodyText"/>
            </w:pPr>
          </w:p>
        </w:tc>
      </w:tr>
    </w:tbl>
    <w:p w:rsidR="009C7E76" w:rsidP="0009013E">
      <w:pPr>
        <w:pStyle w:val="BodyText"/>
      </w:pPr>
    </w:p>
    <w:p w:rsidR="009C7E76" w:rsidP="0009013E">
      <w:pPr>
        <w:pStyle w:val="BodyText"/>
      </w:pPr>
    </w:p>
    <w:p w:rsidR="00000000" w:rsidRPr="0009013E" w:rsidP="0009013E">
      <w:pPr>
        <w:pStyle w:val="Heading1"/>
      </w:pPr>
      <w:bookmarkStart w:id="12" w:name="O_212467"/>
      <w:bookmarkEnd w:id="12"/>
      <w:r w:rsidRPr="0009013E">
        <w:t>Unit Sector(s)</w:t>
      </w:r>
    </w:p>
    <w:tbl>
      <w:tblPr>
        <w:tblW w:w="0" w:type="auto"/>
        <w:tblLayout w:type="fixed"/>
        <w:tblCellMar>
          <w:left w:w="62" w:type="dxa"/>
          <w:right w:w="62" w:type="dxa"/>
        </w:tblCellMar>
        <w:tblLook w:val="0000"/>
      </w:tblPr>
      <w:tblGrid>
        <w:gridCol w:w="2654"/>
        <w:gridCol w:w="5868"/>
      </w:tblGrid>
      <w:tr w:rsidTr="009C7E7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13E" w:rsidP="0009013E">
            <w:pPr>
              <w:pStyle w:val="BodyText"/>
            </w:pPr>
          </w:p>
        </w:tc>
      </w:tr>
    </w:tbl>
    <w:p w:rsidR="009C7E76" w:rsidP="0009013E">
      <w:pPr>
        <w:pStyle w:val="BodyText"/>
      </w:pPr>
    </w:p>
    <w:p w:rsidR="009C7E76" w:rsidP="0009013E">
      <w:pPr>
        <w:pStyle w:val="BodyText"/>
      </w:pPr>
    </w:p>
    <w:p w:rsidR="00000000" w:rsidRPr="0009013E" w:rsidP="0009013E">
      <w:pPr>
        <w:pStyle w:val="Heading1"/>
      </w:pPr>
      <w:bookmarkStart w:id="13" w:name="O_212464"/>
      <w:bookmarkEnd w:id="13"/>
      <w:r w:rsidRPr="0009013E">
        <w:t>Co-requisite units</w:t>
      </w:r>
    </w:p>
    <w:tbl>
      <w:tblPr>
        <w:tblW w:w="0" w:type="auto"/>
        <w:tblLayout w:type="fixed"/>
        <w:tblCellMar>
          <w:left w:w="62" w:type="dxa"/>
          <w:right w:w="62" w:type="dxa"/>
        </w:tblCellMar>
        <w:tblLook w:val="0000"/>
      </w:tblPr>
      <w:tblGrid>
        <w:gridCol w:w="2641"/>
        <w:gridCol w:w="1322"/>
        <w:gridCol w:w="4559"/>
      </w:tblGrid>
      <w:tr w:rsidTr="009C7E7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p>
        </w:tc>
      </w:tr>
      <w:tr w:rsidTr="009C7E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p>
        </w:tc>
      </w:tr>
      <w:tr w:rsidTr="009C7E7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13E" w:rsidP="0009013E">
            <w:pPr>
              <w:pStyle w:val="BodyText"/>
            </w:pPr>
          </w:p>
        </w:tc>
      </w:tr>
    </w:tbl>
    <w:p w:rsidR="009C7E76" w:rsidP="0009013E">
      <w:pPr>
        <w:pStyle w:val="BodyText"/>
      </w:pPr>
    </w:p>
    <w:p w:rsidR="009C7E76" w:rsidP="0009013E">
      <w:pPr>
        <w:pStyle w:val="BodyText"/>
      </w:pPr>
    </w:p>
    <w:p w:rsidR="00000000" w:rsidRPr="0009013E" w:rsidP="0009013E">
      <w:pPr>
        <w:pStyle w:val="Heading1"/>
      </w:pPr>
      <w:bookmarkStart w:id="14" w:name="O_212466"/>
      <w:bookmarkEnd w:id="14"/>
      <w:r w:rsidRPr="0009013E">
        <w:t>Competency field</w:t>
      </w:r>
    </w:p>
    <w:tbl>
      <w:tblPr>
        <w:tblW w:w="0" w:type="auto"/>
        <w:tblLayout w:type="fixed"/>
        <w:tblCellMar>
          <w:left w:w="62" w:type="dxa"/>
          <w:right w:w="62" w:type="dxa"/>
        </w:tblCellMar>
        <w:tblLook w:val="0000"/>
      </w:tblPr>
      <w:tblGrid>
        <w:gridCol w:w="2775"/>
        <w:gridCol w:w="5747"/>
      </w:tblGrid>
      <w:tr w:rsidTr="009C7E7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13E">
            <w:pPr>
              <w:pStyle w:val="BodyText"/>
              <w:rPr>
                <w:lang w:val="en-NZ"/>
              </w:rPr>
            </w:pPr>
            <w:r w:rsidRPr="0009013E">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13E" w:rsidP="0009013E">
            <w:pPr>
              <w:pStyle w:val="BodyText"/>
            </w:pPr>
            <w:r w:rsidRPr="0009013E">
              <w:t>Maintenance and diagnostics</w:t>
            </w:r>
          </w:p>
        </w:tc>
      </w:tr>
    </w:tbl>
    <w:p w:rsidR="009C7E76" w:rsidP="0009013E">
      <w:pPr>
        <w:pStyle w:val="BodyText"/>
      </w:pPr>
    </w:p>
    <w:p w:rsidR="009C7E76" w:rsidP="0009013E">
      <w:pPr>
        <w:pStyle w:val="BodyText"/>
      </w:pPr>
    </w:p>
    <w:p w:rsidR="00000000" w:rsidRPr="0009013E" w:rsidP="0009013E"/>
    <w:sectPr w:rsidSect="000901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7E76" w:rsidP="009C7E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76" w:rsidP="000901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C7E76" w:rsidP="000901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C7E76" w:rsidP="000901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7E76" w:rsidP="009C7E7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1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E76" w:rsidP="0009013E">
    <w:pPr>
      <w:pStyle w:val="Header"/>
      <w:framePr w:wrap="around"/>
    </w:pPr>
    <w:r>
      <w:fldChar w:fldCharType="begin"/>
    </w:r>
    <w:r>
      <w:instrText xml:space="preserve"> TITLE   \* MERGEFORMAT </w:instrText>
    </w:r>
    <w:r>
      <w:fldChar w:fldCharType="separate"/>
    </w:r>
    <w:r>
      <w:t>MEM18069B Maintain, repair instrumentation process control analysers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7E76" w:rsidP="0009013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8641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39E09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13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013E"/>
    <w:pPr>
      <w:spacing w:before="360" w:after="60"/>
      <w:outlineLvl w:val="0"/>
    </w:pPr>
    <w:rPr>
      <w:sz w:val="32"/>
    </w:rPr>
  </w:style>
  <w:style w:type="paragraph" w:styleId="Heading2">
    <w:name w:val="heading 2"/>
    <w:basedOn w:val="HeadingBase"/>
    <w:next w:val="BodyText"/>
    <w:link w:val="Heading2Char"/>
    <w:qFormat/>
    <w:rsid w:val="0009013E"/>
    <w:pPr>
      <w:keepLines/>
      <w:spacing w:before="240" w:after="120"/>
      <w:outlineLvl w:val="1"/>
    </w:pPr>
    <w:rPr>
      <w:sz w:val="28"/>
      <w:szCs w:val="40"/>
    </w:rPr>
  </w:style>
  <w:style w:type="paragraph" w:styleId="Heading3">
    <w:name w:val="heading 3"/>
    <w:basedOn w:val="HeadingBase"/>
    <w:next w:val="BodyText"/>
    <w:link w:val="Heading3Char"/>
    <w:qFormat/>
    <w:rsid w:val="0009013E"/>
    <w:pPr>
      <w:spacing w:before="180" w:after="120"/>
      <w:outlineLvl w:val="2"/>
    </w:pPr>
    <w:rPr>
      <w:spacing w:val="-10"/>
      <w:kern w:val="32"/>
    </w:rPr>
  </w:style>
  <w:style w:type="paragraph" w:styleId="Heading4">
    <w:name w:val="heading 4"/>
    <w:basedOn w:val="HeadingBase"/>
    <w:next w:val="BodyText"/>
    <w:link w:val="Heading4Char"/>
    <w:qFormat/>
    <w:rsid w:val="0009013E"/>
    <w:pPr>
      <w:spacing w:before="160" w:after="120"/>
      <w:outlineLvl w:val="3"/>
    </w:pPr>
    <w:rPr>
      <w:sz w:val="22"/>
    </w:rPr>
  </w:style>
  <w:style w:type="paragraph" w:styleId="Heading5">
    <w:name w:val="heading 5"/>
    <w:basedOn w:val="HeadingBase"/>
    <w:next w:val="Normal"/>
    <w:link w:val="Heading5Char"/>
    <w:qFormat/>
    <w:rsid w:val="0009013E"/>
    <w:pPr>
      <w:spacing w:before="80"/>
      <w:outlineLvl w:val="4"/>
    </w:pPr>
    <w:rPr>
      <w:color w:val="918585"/>
      <w:sz w:val="20"/>
    </w:rPr>
  </w:style>
  <w:style w:type="paragraph" w:styleId="Heading6">
    <w:name w:val="heading 6"/>
    <w:basedOn w:val="HeadingBase"/>
    <w:next w:val="Normal"/>
    <w:link w:val="Heading6Char"/>
    <w:qFormat/>
    <w:rsid w:val="0009013E"/>
    <w:pPr>
      <w:spacing w:before="60"/>
      <w:outlineLvl w:val="5"/>
    </w:pPr>
    <w:rPr>
      <w:color w:val="918585"/>
      <w:sz w:val="20"/>
    </w:rPr>
  </w:style>
  <w:style w:type="paragraph" w:styleId="Heading7">
    <w:name w:val="heading 7"/>
    <w:basedOn w:val="Normal"/>
    <w:next w:val="Normal"/>
    <w:link w:val="Heading7Char"/>
    <w:qFormat/>
    <w:rsid w:val="0009013E"/>
    <w:pPr>
      <w:ind w:left="720"/>
      <w:outlineLvl w:val="6"/>
    </w:pPr>
    <w:rPr>
      <w:i/>
    </w:rPr>
  </w:style>
  <w:style w:type="paragraph" w:styleId="Heading8">
    <w:name w:val="heading 8"/>
    <w:basedOn w:val="Normal"/>
    <w:next w:val="Normal"/>
    <w:link w:val="Heading8Char"/>
    <w:qFormat/>
    <w:rsid w:val="0009013E"/>
    <w:pPr>
      <w:ind w:left="720"/>
      <w:outlineLvl w:val="7"/>
    </w:pPr>
    <w:rPr>
      <w:i/>
    </w:rPr>
  </w:style>
  <w:style w:type="paragraph" w:styleId="Heading9">
    <w:name w:val="heading 9"/>
    <w:basedOn w:val="Normal"/>
    <w:next w:val="Normal"/>
    <w:link w:val="Heading9Char"/>
    <w:qFormat/>
    <w:rsid w:val="0009013E"/>
    <w:pPr>
      <w:ind w:left="720"/>
      <w:outlineLvl w:val="8"/>
    </w:pPr>
    <w:rPr>
      <w:i/>
    </w:rPr>
  </w:style>
  <w:style w:type="character" w:default="1" w:styleId="DefaultParagraphFont">
    <w:name w:val="Default Paragraph Font"/>
    <w:uiPriority w:val="1"/>
    <w:unhideWhenUsed/>
    <w:rsid w:val="000901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13E"/>
  </w:style>
  <w:style w:type="character" w:customStyle="1" w:styleId="Heading1Char">
    <w:name w:val="Heading 1 Char"/>
    <w:link w:val="Heading1"/>
    <w:rsid w:val="0009013E"/>
    <w:rPr>
      <w:rFonts w:ascii="Times New Roman" w:eastAsia="Times New Roman" w:hAnsi="Times New Roman" w:cs="Times New Roman"/>
      <w:b/>
      <w:sz w:val="32"/>
      <w:szCs w:val="20"/>
      <w:lang w:eastAsia="en-US"/>
    </w:rPr>
  </w:style>
  <w:style w:type="paragraph" w:styleId="BodyText">
    <w:name w:val="Body Text"/>
    <w:basedOn w:val="Normal"/>
    <w:link w:val="BodyTextChar"/>
    <w:rsid w:val="0009013E"/>
    <w:pPr>
      <w:spacing w:before="120" w:after="120"/>
      <w:contextualSpacing/>
    </w:pPr>
    <w:rPr>
      <w:rFonts w:ascii="Times New Roman" w:hAnsi="Times New Roman"/>
      <w:sz w:val="24"/>
      <w:szCs w:val="22"/>
    </w:rPr>
  </w:style>
  <w:style w:type="character" w:customStyle="1" w:styleId="BodyTextChar">
    <w:name w:val="Body Text Char"/>
    <w:link w:val="BodyText"/>
    <w:rsid w:val="0009013E"/>
    <w:rPr>
      <w:rFonts w:ascii="Times New Roman" w:eastAsia="Times New Roman" w:hAnsi="Times New Roman" w:cs="Times New Roman"/>
      <w:sz w:val="24"/>
      <w:lang w:val="en-US" w:eastAsia="en-US"/>
    </w:rPr>
  </w:style>
  <w:style w:type="paragraph" w:styleId="Footer">
    <w:name w:val="footer"/>
    <w:basedOn w:val="Normal"/>
    <w:link w:val="FooterChar"/>
    <w:rsid w:val="000901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9013E"/>
    <w:rPr>
      <w:rFonts w:ascii="Times New Roman" w:eastAsia="Times New Roman" w:hAnsi="Times New Roman" w:cs="Times New Roman"/>
      <w:sz w:val="16"/>
      <w:lang w:val="en-US" w:eastAsia="en-US"/>
    </w:rPr>
  </w:style>
  <w:style w:type="paragraph" w:styleId="List">
    <w:name w:val="List"/>
    <w:basedOn w:val="BodyText"/>
    <w:next w:val="BodyText"/>
    <w:rsid w:val="0009013E"/>
    <w:pPr>
      <w:tabs>
        <w:tab w:val="left" w:pos="340"/>
      </w:tabs>
      <w:spacing w:before="60" w:after="60"/>
      <w:ind w:left="340" w:hanging="340"/>
    </w:pPr>
  </w:style>
  <w:style w:type="paragraph" w:styleId="ListBullet">
    <w:name w:val="List Bullet"/>
    <w:basedOn w:val="List"/>
    <w:rsid w:val="0009013E"/>
    <w:pPr>
      <w:numPr>
        <w:numId w:val="12"/>
      </w:numPr>
      <w:tabs>
        <w:tab w:val="clear" w:pos="340"/>
      </w:tabs>
      <w:spacing w:before="40" w:after="40"/>
    </w:pPr>
  </w:style>
  <w:style w:type="character" w:customStyle="1" w:styleId="SpecialBold">
    <w:name w:val="Special Bold"/>
    <w:rsid w:val="0009013E"/>
    <w:rPr>
      <w:b/>
      <w:spacing w:val="0"/>
    </w:rPr>
  </w:style>
  <w:style w:type="paragraph" w:styleId="Header">
    <w:name w:val="header"/>
    <w:basedOn w:val="Normal"/>
    <w:link w:val="HeaderChar"/>
    <w:rsid w:val="000901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9013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013E"/>
    <w:pPr>
      <w:spacing w:before="240" w:after="120"/>
      <w:outlineLvl w:val="0"/>
    </w:pPr>
    <w:rPr>
      <w:rFonts w:ascii="Times New Roman" w:hAnsi="Times New Roman"/>
      <w:b/>
      <w:sz w:val="28"/>
    </w:rPr>
  </w:style>
  <w:style w:type="paragraph" w:customStyle="1" w:styleId="AllowPageBreak">
    <w:name w:val="AllowPageBreak"/>
    <w:rsid w:val="000901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013E"/>
    <w:pPr>
      <w:tabs>
        <w:tab w:val="left" w:pos="680"/>
      </w:tabs>
      <w:spacing w:before="60" w:after="60"/>
      <w:ind w:left="680" w:hanging="340"/>
    </w:pPr>
  </w:style>
  <w:style w:type="character" w:customStyle="1" w:styleId="Heading2Char">
    <w:name w:val="Heading 2 Char"/>
    <w:link w:val="Heading2"/>
    <w:rsid w:val="0009013E"/>
    <w:rPr>
      <w:rFonts w:ascii="Times New Roman" w:eastAsia="Times New Roman" w:hAnsi="Times New Roman" w:cs="Times New Roman"/>
      <w:b/>
      <w:sz w:val="28"/>
      <w:szCs w:val="40"/>
      <w:lang w:eastAsia="en-US"/>
    </w:rPr>
  </w:style>
  <w:style w:type="character" w:customStyle="1" w:styleId="Heading3Char">
    <w:name w:val="Heading 3 Char"/>
    <w:link w:val="Heading3"/>
    <w:rsid w:val="0009013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9013E"/>
    <w:rPr>
      <w:rFonts w:ascii="Times New Roman" w:eastAsia="Times New Roman" w:hAnsi="Times New Roman" w:cs="Times New Roman"/>
      <w:b/>
      <w:szCs w:val="20"/>
      <w:lang w:eastAsia="en-US"/>
    </w:rPr>
  </w:style>
  <w:style w:type="character" w:customStyle="1" w:styleId="Heading5Char">
    <w:name w:val="Heading 5 Char"/>
    <w:link w:val="Heading5"/>
    <w:rsid w:val="0009013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901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13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013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013E"/>
    <w:rPr>
      <w:rFonts w:ascii="Courier New" w:eastAsia="Times New Roman" w:hAnsi="Courier New" w:cs="Times New Roman"/>
      <w:i/>
      <w:szCs w:val="20"/>
      <w:lang w:val="en-US" w:eastAsia="en-US"/>
    </w:rPr>
  </w:style>
  <w:style w:type="paragraph" w:customStyle="1" w:styleId="HeadingBase">
    <w:name w:val="Heading Base"/>
    <w:rsid w:val="000901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13E"/>
    <w:pPr>
      <w:tabs>
        <w:tab w:val="right" w:leader="dot" w:pos="9072"/>
      </w:tabs>
      <w:ind w:left="567"/>
    </w:pPr>
    <w:rPr>
      <w:szCs w:val="22"/>
    </w:rPr>
  </w:style>
  <w:style w:type="paragraph" w:customStyle="1" w:styleId="TOCBase">
    <w:name w:val="TOC Base"/>
    <w:rsid w:val="000901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13E"/>
    <w:pPr>
      <w:tabs>
        <w:tab w:val="right" w:leader="dot" w:pos="9072"/>
      </w:tabs>
      <w:spacing w:before="40" w:after="40"/>
      <w:ind w:left="284"/>
    </w:pPr>
    <w:rPr>
      <w:rFonts w:ascii="Times New Roman" w:hAnsi="Times New Roman"/>
    </w:rPr>
  </w:style>
  <w:style w:type="paragraph" w:styleId="TOC1">
    <w:name w:val="toc 1"/>
    <w:basedOn w:val="TOCBase"/>
    <w:next w:val="Normal"/>
    <w:rsid w:val="000901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013E"/>
    <w:pPr>
      <w:spacing w:before="5040"/>
      <w:jc w:val="center"/>
    </w:pPr>
    <w:rPr>
      <w:sz w:val="48"/>
      <w:szCs w:val="72"/>
      <w:lang w:val="en-US"/>
    </w:rPr>
  </w:style>
  <w:style w:type="character" w:customStyle="1" w:styleId="TitleChar">
    <w:name w:val="Title Char"/>
    <w:link w:val="Title"/>
    <w:rsid w:val="000901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13E"/>
    <w:pPr>
      <w:tabs>
        <w:tab w:val="left" w:pos="3600"/>
        <w:tab w:val="left" w:pos="3958"/>
      </w:tabs>
    </w:pPr>
  </w:style>
  <w:style w:type="paragraph" w:customStyle="1" w:styleId="Note">
    <w:name w:val="Note"/>
    <w:basedOn w:val="BodyText"/>
    <w:rsid w:val="000901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13E"/>
    <w:pPr>
      <w:framePr w:wrap="auto" w:hAnchor="text" w:y="6049"/>
    </w:pPr>
    <w:rPr>
      <w:color w:val="000000"/>
      <w:sz w:val="40"/>
    </w:rPr>
  </w:style>
  <w:style w:type="paragraph" w:customStyle="1" w:styleId="TOCTitle">
    <w:name w:val="TOCTitle"/>
    <w:basedOn w:val="Heading1"/>
    <w:rsid w:val="0009013E"/>
    <w:pPr>
      <w:spacing w:after="240"/>
      <w:jc w:val="center"/>
      <w:outlineLvl w:val="9"/>
    </w:pPr>
    <w:rPr>
      <w:caps/>
    </w:rPr>
  </w:style>
  <w:style w:type="paragraph" w:customStyle="1" w:styleId="Version">
    <w:name w:val="Version"/>
    <w:rsid w:val="000901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013E"/>
    <w:pPr>
      <w:numPr>
        <w:numId w:val="13"/>
      </w:numPr>
      <w:tabs>
        <w:tab w:val="clear" w:pos="680"/>
      </w:tabs>
    </w:pPr>
  </w:style>
  <w:style w:type="paragraph" w:styleId="Index1">
    <w:name w:val="index 1"/>
    <w:basedOn w:val="Normal"/>
    <w:next w:val="Normal"/>
    <w:semiHidden/>
    <w:rsid w:val="0009013E"/>
    <w:pPr>
      <w:keepNext w:val="0"/>
      <w:tabs>
        <w:tab w:val="right" w:pos="4176"/>
      </w:tabs>
      <w:ind w:left="198" w:hanging="198"/>
    </w:pPr>
    <w:rPr>
      <w:rFonts w:ascii="Garamond" w:hAnsi="Garamond"/>
    </w:rPr>
  </w:style>
  <w:style w:type="paragraph" w:styleId="IndexHeading">
    <w:name w:val="index heading"/>
    <w:basedOn w:val="Normal"/>
    <w:next w:val="Index1"/>
    <w:semiHidden/>
    <w:rsid w:val="0009013E"/>
    <w:pPr>
      <w:spacing w:before="120" w:after="120"/>
    </w:pPr>
    <w:rPr>
      <w:rFonts w:ascii="Arial" w:hAnsi="Arial"/>
      <w:b/>
      <w:color w:val="918585"/>
      <w:sz w:val="24"/>
    </w:rPr>
  </w:style>
  <w:style w:type="paragraph" w:customStyle="1" w:styleId="Chapter">
    <w:name w:val="Chapter"/>
    <w:basedOn w:val="Normal"/>
    <w:rsid w:val="0009013E"/>
    <w:pPr>
      <w:spacing w:before="240"/>
    </w:pPr>
    <w:rPr>
      <w:rFonts w:ascii="Times New Roman" w:hAnsi="Times New Roman"/>
      <w:smallCaps/>
      <w:spacing w:val="80"/>
      <w:sz w:val="28"/>
    </w:rPr>
  </w:style>
  <w:style w:type="paragraph" w:customStyle="1" w:styleId="InChapter">
    <w:name w:val="InChapter"/>
    <w:basedOn w:val="Heading3"/>
    <w:rsid w:val="0009013E"/>
    <w:pPr>
      <w:spacing w:after="240"/>
      <w:outlineLvl w:val="9"/>
    </w:pPr>
    <w:rPr>
      <w:noProof/>
    </w:rPr>
  </w:style>
  <w:style w:type="paragraph" w:styleId="Index2">
    <w:name w:val="index 2"/>
    <w:basedOn w:val="Normal"/>
    <w:next w:val="Normal"/>
    <w:semiHidden/>
    <w:rsid w:val="0009013E"/>
    <w:pPr>
      <w:tabs>
        <w:tab w:val="right" w:pos="4176"/>
      </w:tabs>
      <w:ind w:left="568" w:hanging="284"/>
    </w:pPr>
    <w:rPr>
      <w:rFonts w:ascii="Garamond" w:hAnsi="Garamond"/>
    </w:rPr>
  </w:style>
  <w:style w:type="paragraph" w:customStyle="1" w:styleId="Byline">
    <w:name w:val="Byline"/>
    <w:rsid w:val="000901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13E"/>
    <w:pPr>
      <w:tabs>
        <w:tab w:val="clear" w:pos="3600"/>
        <w:tab w:val="clear" w:pos="3958"/>
      </w:tabs>
      <w:jc w:val="right"/>
    </w:pPr>
  </w:style>
  <w:style w:type="character" w:styleId="Emphasis">
    <w:name w:val="Emphasis"/>
    <w:qFormat/>
    <w:rsid w:val="0009013E"/>
    <w:rPr>
      <w:i/>
    </w:rPr>
  </w:style>
  <w:style w:type="paragraph" w:styleId="Caption">
    <w:name w:val="caption"/>
    <w:basedOn w:val="BodyText"/>
    <w:next w:val="Normal"/>
    <w:qFormat/>
    <w:rsid w:val="0009013E"/>
    <w:pPr>
      <w:framePr w:w="2268" w:hSpace="181" w:vSpace="181" w:wrap="around" w:vAnchor="text" w:hAnchor="page" w:x="1135" w:y="285" w:anchorLock="1"/>
    </w:pPr>
    <w:rPr>
      <w:i/>
    </w:rPr>
  </w:style>
  <w:style w:type="paragraph" w:customStyle="1" w:styleId="MiniTOCTitle">
    <w:name w:val="MiniTOCTitle"/>
    <w:basedOn w:val="Heading4"/>
    <w:rsid w:val="0009013E"/>
    <w:pPr>
      <w:spacing w:before="240"/>
      <w:outlineLvl w:val="9"/>
    </w:pPr>
    <w:rPr>
      <w:noProof/>
      <w:sz w:val="24"/>
    </w:rPr>
  </w:style>
  <w:style w:type="paragraph" w:customStyle="1" w:styleId="MiniTOCItem">
    <w:name w:val="MiniTOCItem"/>
    <w:basedOn w:val="ListBullet"/>
    <w:rsid w:val="0009013E"/>
    <w:pPr>
      <w:numPr>
        <w:numId w:val="0"/>
      </w:numPr>
      <w:tabs>
        <w:tab w:val="right" w:leader="dot" w:pos="6521"/>
      </w:tabs>
      <w:spacing w:before="0" w:after="0"/>
    </w:pPr>
  </w:style>
  <w:style w:type="paragraph" w:customStyle="1" w:styleId="TOFTitle">
    <w:name w:val="TOFTitle"/>
    <w:basedOn w:val="TOCTitle"/>
    <w:rsid w:val="0009013E"/>
  </w:style>
  <w:style w:type="paragraph" w:styleId="TableofFigures">
    <w:name w:val="table of figures"/>
    <w:basedOn w:val="Normal"/>
    <w:next w:val="Normal"/>
    <w:semiHidden/>
    <w:rsid w:val="0009013E"/>
    <w:pPr>
      <w:tabs>
        <w:tab w:val="right" w:leader="dot" w:pos="9072"/>
      </w:tabs>
      <w:ind w:left="970" w:hanging="403"/>
    </w:pPr>
    <w:rPr>
      <w:rFonts w:ascii="Times New Roman" w:hAnsi="Times New Roman"/>
      <w:b/>
    </w:rPr>
  </w:style>
  <w:style w:type="paragraph" w:styleId="ListNumber">
    <w:name w:val="List Number"/>
    <w:basedOn w:val="List"/>
    <w:rsid w:val="0009013E"/>
    <w:pPr>
      <w:numPr>
        <w:numId w:val="10"/>
      </w:numPr>
    </w:pPr>
  </w:style>
  <w:style w:type="character" w:customStyle="1" w:styleId="WingdingSymbols">
    <w:name w:val="Wingding Symbols"/>
    <w:rsid w:val="0009013E"/>
    <w:rPr>
      <w:rFonts w:ascii="Wingdings" w:hAnsi="Wingdings"/>
    </w:rPr>
  </w:style>
  <w:style w:type="paragraph" w:customStyle="1" w:styleId="TableHeading">
    <w:name w:val="Table Heading"/>
    <w:basedOn w:val="HeadingBase"/>
    <w:rsid w:val="0009013E"/>
    <w:pPr>
      <w:keepLines/>
      <w:pBdr>
        <w:bottom w:val="single" w:sz="6" w:space="1" w:color="918585"/>
      </w:pBdr>
      <w:spacing w:before="240"/>
    </w:pPr>
  </w:style>
  <w:style w:type="character" w:customStyle="1" w:styleId="HotSpot">
    <w:name w:val="HotSpot"/>
    <w:rsid w:val="0009013E"/>
    <w:rPr>
      <w:color w:val="0033CC"/>
      <w:u w:val="none"/>
    </w:rPr>
  </w:style>
  <w:style w:type="paragraph" w:customStyle="1" w:styleId="BodyTextRight">
    <w:name w:val="Body Text Right"/>
    <w:basedOn w:val="BodyText"/>
    <w:rsid w:val="0009013E"/>
    <w:pPr>
      <w:spacing w:before="0" w:after="0"/>
      <w:jc w:val="right"/>
    </w:pPr>
  </w:style>
  <w:style w:type="paragraph" w:styleId="Index3">
    <w:name w:val="index 3"/>
    <w:basedOn w:val="ListNumber2"/>
    <w:next w:val="Normal"/>
    <w:semiHidden/>
    <w:rsid w:val="0009013E"/>
    <w:pPr>
      <w:numPr>
        <w:numId w:val="0"/>
      </w:numPr>
      <w:tabs>
        <w:tab w:val="right" w:leader="dot" w:pos="4176"/>
      </w:tabs>
    </w:pPr>
  </w:style>
  <w:style w:type="paragraph" w:styleId="ListNumber2">
    <w:name w:val="List Number 2"/>
    <w:basedOn w:val="List2"/>
    <w:rsid w:val="0009013E"/>
    <w:pPr>
      <w:numPr>
        <w:numId w:val="9"/>
      </w:numPr>
      <w:tabs>
        <w:tab w:val="clear" w:pos="1060"/>
      </w:tabs>
    </w:pPr>
  </w:style>
  <w:style w:type="paragraph" w:customStyle="1" w:styleId="MarginNote">
    <w:name w:val="Margin Note"/>
    <w:basedOn w:val="BodyText"/>
    <w:rsid w:val="000901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1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9013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013E"/>
    <w:rPr>
      <w:sz w:val="32"/>
    </w:rPr>
  </w:style>
  <w:style w:type="paragraph" w:customStyle="1" w:styleId="HeadingProcedure">
    <w:name w:val="Heading Procedure"/>
    <w:basedOn w:val="HeadingBase"/>
    <w:next w:val="Normal"/>
    <w:rsid w:val="0009013E"/>
    <w:pPr>
      <w:tabs>
        <w:tab w:val="left" w:pos="0"/>
      </w:tabs>
      <w:spacing w:before="120" w:after="60"/>
    </w:pPr>
    <w:rPr>
      <w:i/>
      <w:color w:val="918585"/>
      <w:sz w:val="22"/>
    </w:rPr>
  </w:style>
  <w:style w:type="paragraph" w:customStyle="1" w:styleId="TableBodyText">
    <w:name w:val="Table Body Text"/>
    <w:basedOn w:val="BodyText"/>
    <w:rsid w:val="0009013E"/>
    <w:pPr>
      <w:spacing w:before="60" w:after="60"/>
    </w:pPr>
  </w:style>
  <w:style w:type="paragraph" w:styleId="ListContinue">
    <w:name w:val="List Continue"/>
    <w:basedOn w:val="List"/>
    <w:rsid w:val="0009013E"/>
    <w:pPr>
      <w:ind w:firstLine="0"/>
    </w:pPr>
  </w:style>
  <w:style w:type="paragraph" w:customStyle="1" w:styleId="ListNote">
    <w:name w:val="List Note"/>
    <w:basedOn w:val="List"/>
    <w:rsid w:val="0009013E"/>
    <w:pPr>
      <w:pBdr>
        <w:top w:val="single" w:sz="6" w:space="2" w:color="918585"/>
        <w:bottom w:val="single" w:sz="6" w:space="2" w:color="918585"/>
      </w:pBdr>
      <w:tabs>
        <w:tab w:val="left" w:pos="1021"/>
      </w:tabs>
      <w:ind w:firstLine="0"/>
    </w:pPr>
  </w:style>
  <w:style w:type="paragraph" w:customStyle="1" w:styleId="Warning">
    <w:name w:val="Warning"/>
    <w:basedOn w:val="BodyText"/>
    <w:rsid w:val="0009013E"/>
    <w:pPr>
      <w:shd w:val="clear" w:color="auto" w:fill="D9D9D9"/>
      <w:tabs>
        <w:tab w:val="left" w:pos="992"/>
      </w:tabs>
      <w:ind w:left="119" w:right="119"/>
    </w:pPr>
    <w:rPr>
      <w:sz w:val="20"/>
    </w:rPr>
  </w:style>
  <w:style w:type="paragraph" w:customStyle="1" w:styleId="MarginIcons">
    <w:name w:val="Margin Icons"/>
    <w:basedOn w:val="BodyText"/>
    <w:rsid w:val="0009013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9013E"/>
    <w:rPr>
      <w:rFonts w:ascii="Courier New" w:hAnsi="Courier New"/>
    </w:rPr>
  </w:style>
  <w:style w:type="paragraph" w:customStyle="1" w:styleId="NoteBullet">
    <w:name w:val="Note Bullet"/>
    <w:basedOn w:val="Note"/>
    <w:rsid w:val="0009013E"/>
    <w:pPr>
      <w:tabs>
        <w:tab w:val="clear" w:pos="680"/>
      </w:tabs>
      <w:spacing w:before="60" w:after="60"/>
    </w:pPr>
  </w:style>
  <w:style w:type="paragraph" w:customStyle="1" w:styleId="SubHeading2">
    <w:name w:val="SubHeading2"/>
    <w:basedOn w:val="HeadingBase"/>
    <w:rsid w:val="0009013E"/>
    <w:pPr>
      <w:spacing w:before="240" w:after="60"/>
    </w:pPr>
    <w:rPr>
      <w:sz w:val="20"/>
    </w:rPr>
  </w:style>
  <w:style w:type="paragraph" w:customStyle="1" w:styleId="SubHeading1">
    <w:name w:val="SubHeading1"/>
    <w:basedOn w:val="HeadingBase"/>
    <w:rsid w:val="0009013E"/>
    <w:pPr>
      <w:spacing w:before="240" w:after="60"/>
    </w:pPr>
    <w:rPr>
      <w:color w:val="918585"/>
      <w:sz w:val="22"/>
    </w:rPr>
  </w:style>
  <w:style w:type="paragraph" w:customStyle="1" w:styleId="SideHeading">
    <w:name w:val="Side Heading"/>
    <w:basedOn w:val="HeadingBase"/>
    <w:rsid w:val="000901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13E"/>
    <w:pPr>
      <w:tabs>
        <w:tab w:val="num" w:pos="360"/>
      </w:tabs>
    </w:pPr>
  </w:style>
  <w:style w:type="paragraph" w:styleId="PlainText">
    <w:name w:val="Plain Text"/>
    <w:basedOn w:val="Normal"/>
    <w:link w:val="PlainTextChar"/>
    <w:rsid w:val="0009013E"/>
    <w:rPr>
      <w:sz w:val="20"/>
    </w:rPr>
  </w:style>
  <w:style w:type="character" w:customStyle="1" w:styleId="PlainTextChar">
    <w:name w:val="Plain Text Char"/>
    <w:basedOn w:val="DefaultParagraphFont"/>
    <w:link w:val="PlainText"/>
    <w:rsid w:val="0009013E"/>
    <w:rPr>
      <w:rFonts w:ascii="Courier New" w:eastAsia="Times New Roman" w:hAnsi="Courier New" w:cs="Times New Roman"/>
      <w:sz w:val="20"/>
      <w:szCs w:val="20"/>
      <w:lang w:val="en-US" w:eastAsia="en-US"/>
    </w:rPr>
  </w:style>
  <w:style w:type="character" w:customStyle="1" w:styleId="MenuOption">
    <w:name w:val="Menu Option"/>
    <w:rsid w:val="0009013E"/>
    <w:rPr>
      <w:b/>
      <w:smallCaps/>
    </w:rPr>
  </w:style>
  <w:style w:type="paragraph" w:customStyle="1" w:styleId="TableListNumber">
    <w:name w:val="Table List Number"/>
    <w:basedOn w:val="ListNumber"/>
    <w:rsid w:val="0009013E"/>
    <w:pPr>
      <w:numPr>
        <w:numId w:val="0"/>
      </w:numPr>
    </w:pPr>
  </w:style>
  <w:style w:type="paragraph" w:styleId="TOC4">
    <w:name w:val="toc 4"/>
    <w:basedOn w:val="TOCBase"/>
    <w:next w:val="Normal"/>
    <w:semiHidden/>
    <w:rsid w:val="0009013E"/>
    <w:pPr>
      <w:tabs>
        <w:tab w:val="right" w:leader="dot" w:pos="9071"/>
      </w:tabs>
      <w:ind w:left="1701"/>
    </w:pPr>
  </w:style>
  <w:style w:type="paragraph" w:customStyle="1" w:styleId="ListAlpha">
    <w:name w:val="List Alpha"/>
    <w:basedOn w:val="List"/>
    <w:rsid w:val="0009013E"/>
    <w:pPr>
      <w:numPr>
        <w:numId w:val="8"/>
      </w:numPr>
    </w:pPr>
  </w:style>
  <w:style w:type="paragraph" w:customStyle="1" w:styleId="ListAlpha2">
    <w:name w:val="List Alpha 2"/>
    <w:basedOn w:val="List2"/>
    <w:rsid w:val="0009013E"/>
    <w:pPr>
      <w:numPr>
        <w:numId w:val="7"/>
      </w:numPr>
    </w:pPr>
  </w:style>
  <w:style w:type="paragraph" w:styleId="List3">
    <w:name w:val="List 3"/>
    <w:basedOn w:val="BodyText"/>
    <w:rsid w:val="0009013E"/>
    <w:pPr>
      <w:tabs>
        <w:tab w:val="left" w:pos="1021"/>
      </w:tabs>
      <w:spacing w:before="60" w:after="60"/>
      <w:ind w:left="1020" w:hanging="340"/>
    </w:pPr>
  </w:style>
  <w:style w:type="paragraph" w:styleId="List4">
    <w:name w:val="List 4"/>
    <w:basedOn w:val="BodyText"/>
    <w:rsid w:val="0009013E"/>
    <w:pPr>
      <w:tabs>
        <w:tab w:val="left" w:pos="1361"/>
      </w:tabs>
      <w:spacing w:before="60" w:after="60"/>
      <w:ind w:left="1361" w:hanging="340"/>
    </w:pPr>
  </w:style>
  <w:style w:type="paragraph" w:styleId="List5">
    <w:name w:val="List 5"/>
    <w:basedOn w:val="BodyText"/>
    <w:rsid w:val="0009013E"/>
    <w:pPr>
      <w:tabs>
        <w:tab w:val="left" w:pos="1701"/>
      </w:tabs>
      <w:spacing w:before="60" w:after="60"/>
      <w:ind w:left="1701" w:hanging="340"/>
    </w:pPr>
  </w:style>
  <w:style w:type="paragraph" w:styleId="ListBullet3">
    <w:name w:val="List Bullet 3"/>
    <w:basedOn w:val="List3"/>
    <w:rsid w:val="0009013E"/>
    <w:pPr>
      <w:numPr>
        <w:numId w:val="14"/>
      </w:numPr>
      <w:tabs>
        <w:tab w:val="clear" w:pos="1021"/>
      </w:tabs>
      <w:ind w:left="1037" w:hanging="357"/>
    </w:pPr>
  </w:style>
  <w:style w:type="paragraph" w:styleId="ListBullet4">
    <w:name w:val="List Bullet 4"/>
    <w:basedOn w:val="List4"/>
    <w:rsid w:val="0009013E"/>
    <w:pPr>
      <w:numPr>
        <w:numId w:val="2"/>
      </w:numPr>
    </w:pPr>
  </w:style>
  <w:style w:type="paragraph" w:styleId="ListBullet5">
    <w:name w:val="List Bullet 5"/>
    <w:basedOn w:val="List5"/>
    <w:rsid w:val="0009013E"/>
    <w:pPr>
      <w:numPr>
        <w:numId w:val="3"/>
      </w:numPr>
    </w:pPr>
  </w:style>
  <w:style w:type="paragraph" w:styleId="ListContinue2">
    <w:name w:val="List Continue 2"/>
    <w:basedOn w:val="List2"/>
    <w:rsid w:val="0009013E"/>
    <w:pPr>
      <w:ind w:firstLine="0"/>
    </w:pPr>
  </w:style>
  <w:style w:type="paragraph" w:styleId="ListContinue3">
    <w:name w:val="List Continue 3"/>
    <w:basedOn w:val="List3"/>
    <w:rsid w:val="0009013E"/>
    <w:pPr>
      <w:ind w:left="1021" w:firstLine="0"/>
    </w:pPr>
  </w:style>
  <w:style w:type="paragraph" w:styleId="ListContinue4">
    <w:name w:val="List Continue 4"/>
    <w:basedOn w:val="List4"/>
    <w:rsid w:val="0009013E"/>
    <w:pPr>
      <w:ind w:firstLine="0"/>
    </w:pPr>
  </w:style>
  <w:style w:type="paragraph" w:styleId="ListContinue5">
    <w:name w:val="List Continue 5"/>
    <w:basedOn w:val="List5"/>
    <w:rsid w:val="0009013E"/>
    <w:pPr>
      <w:ind w:firstLine="0"/>
    </w:pPr>
  </w:style>
  <w:style w:type="paragraph" w:styleId="ListNumber3">
    <w:name w:val="List Number 3"/>
    <w:basedOn w:val="List3"/>
    <w:rsid w:val="0009013E"/>
    <w:pPr>
      <w:numPr>
        <w:numId w:val="4"/>
      </w:numPr>
    </w:pPr>
  </w:style>
  <w:style w:type="paragraph" w:styleId="ListNumber4">
    <w:name w:val="List Number 4"/>
    <w:basedOn w:val="List4"/>
    <w:rsid w:val="0009013E"/>
    <w:pPr>
      <w:numPr>
        <w:numId w:val="5"/>
      </w:numPr>
    </w:pPr>
  </w:style>
  <w:style w:type="paragraph" w:styleId="ListNumber5">
    <w:name w:val="List Number 5"/>
    <w:basedOn w:val="List5"/>
    <w:rsid w:val="0009013E"/>
    <w:pPr>
      <w:numPr>
        <w:numId w:val="6"/>
      </w:numPr>
    </w:pPr>
  </w:style>
  <w:style w:type="paragraph" w:styleId="BlockText">
    <w:name w:val="Block Text"/>
    <w:basedOn w:val="Normal"/>
    <w:rsid w:val="0009013E"/>
    <w:pPr>
      <w:spacing w:after="120"/>
      <w:ind w:left="1440" w:right="1440"/>
    </w:pPr>
  </w:style>
  <w:style w:type="character" w:customStyle="1" w:styleId="Subscript">
    <w:name w:val="Subscript"/>
    <w:rsid w:val="0009013E"/>
    <w:rPr>
      <w:sz w:val="16"/>
      <w:vertAlign w:val="subscript"/>
    </w:rPr>
  </w:style>
  <w:style w:type="character" w:customStyle="1" w:styleId="Superscript">
    <w:name w:val="Superscript"/>
    <w:rsid w:val="0009013E"/>
    <w:rPr>
      <w:sz w:val="16"/>
      <w:vertAlign w:val="superscript"/>
    </w:rPr>
  </w:style>
  <w:style w:type="character" w:customStyle="1" w:styleId="Symbols">
    <w:name w:val="Symbols"/>
    <w:rsid w:val="0009013E"/>
    <w:rPr>
      <w:rFonts w:ascii="Symbol" w:hAnsi="Symbol"/>
    </w:rPr>
  </w:style>
  <w:style w:type="character" w:customStyle="1" w:styleId="MenuOptions">
    <w:name w:val="Menu Options"/>
    <w:rsid w:val="0009013E"/>
    <w:rPr>
      <w:rFonts w:ascii="Arial Narrow" w:hAnsi="Arial Narrow"/>
      <w:smallCaps/>
    </w:rPr>
  </w:style>
  <w:style w:type="character" w:customStyle="1" w:styleId="Buttons">
    <w:name w:val="Buttons"/>
    <w:rsid w:val="0009013E"/>
    <w:rPr>
      <w:b/>
    </w:rPr>
  </w:style>
  <w:style w:type="character" w:customStyle="1" w:styleId="Underlined">
    <w:name w:val="Underlined"/>
    <w:rsid w:val="0009013E"/>
    <w:rPr>
      <w:u w:val="single"/>
    </w:rPr>
  </w:style>
  <w:style w:type="paragraph" w:customStyle="1" w:styleId="TableBodyTextRight">
    <w:name w:val="Table Body Text Right"/>
    <w:basedOn w:val="TableBodyText"/>
    <w:rsid w:val="0009013E"/>
    <w:pPr>
      <w:widowControl w:val="0"/>
      <w:autoSpaceDE w:val="0"/>
      <w:autoSpaceDN w:val="0"/>
      <w:adjustRightInd w:val="0"/>
      <w:jc w:val="right"/>
    </w:pPr>
    <w:rPr>
      <w:rFonts w:cs="Arial"/>
      <w:szCs w:val="18"/>
    </w:rPr>
  </w:style>
  <w:style w:type="paragraph" w:customStyle="1" w:styleId="CopyrightText">
    <w:name w:val="Copyright Text"/>
    <w:basedOn w:val="BodyText"/>
    <w:rsid w:val="0009013E"/>
    <w:rPr>
      <w:sz w:val="18"/>
    </w:rPr>
  </w:style>
  <w:style w:type="paragraph" w:customStyle="1" w:styleId="BodySmallRight">
    <w:name w:val="Body Small Right"/>
    <w:basedOn w:val="BodyTextRight"/>
    <w:rsid w:val="0009013E"/>
    <w:rPr>
      <w:sz w:val="18"/>
      <w:szCs w:val="18"/>
    </w:rPr>
  </w:style>
  <w:style w:type="paragraph" w:customStyle="1" w:styleId="MarginEdition">
    <w:name w:val="Margin Edition"/>
    <w:basedOn w:val="MarginNote"/>
    <w:rsid w:val="0009013E"/>
    <w:pPr>
      <w:spacing w:before="0" w:after="0"/>
    </w:pPr>
    <w:rPr>
      <w:rFonts w:ascii="Times New Roman" w:hAnsi="Times New Roman"/>
      <w:color w:val="999999"/>
    </w:rPr>
  </w:style>
  <w:style w:type="paragraph" w:customStyle="1" w:styleId="Spacer">
    <w:name w:val="Spacer"/>
    <w:basedOn w:val="Normal"/>
    <w:rsid w:val="0009013E"/>
    <w:rPr>
      <w:sz w:val="2"/>
      <w:szCs w:val="2"/>
    </w:rPr>
  </w:style>
  <w:style w:type="character" w:customStyle="1" w:styleId="Small">
    <w:name w:val="Small"/>
    <w:rsid w:val="0009013E"/>
    <w:rPr>
      <w:sz w:val="16"/>
    </w:rPr>
  </w:style>
  <w:style w:type="paragraph" w:customStyle="1" w:styleId="WideTable">
    <w:name w:val="Wide Table"/>
    <w:basedOn w:val="Normal"/>
    <w:rsid w:val="0009013E"/>
    <w:pPr>
      <w:ind w:left="-1418"/>
    </w:pPr>
    <w:rPr>
      <w:sz w:val="2"/>
      <w:szCs w:val="2"/>
    </w:rPr>
  </w:style>
  <w:style w:type="character" w:styleId="PageNumber">
    <w:name w:val="page number"/>
    <w:rsid w:val="0009013E"/>
  </w:style>
  <w:style w:type="paragraph" w:styleId="Quote">
    <w:name w:val="Quote"/>
    <w:basedOn w:val="Heading1"/>
    <w:link w:val="QuoteChar"/>
    <w:qFormat/>
    <w:rsid w:val="0009013E"/>
    <w:rPr>
      <w:b w:val="0"/>
      <w:sz w:val="72"/>
      <w:szCs w:val="72"/>
      <w:lang w:val="en-NZ"/>
    </w:rPr>
  </w:style>
  <w:style w:type="character" w:customStyle="1" w:styleId="QuoteChar">
    <w:name w:val="Quote Char"/>
    <w:link w:val="Quote"/>
    <w:rsid w:val="000901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13E"/>
    <w:pPr>
      <w:pageBreakBefore/>
    </w:pPr>
  </w:style>
  <w:style w:type="paragraph" w:customStyle="1" w:styleId="Border">
    <w:name w:val="Border"/>
    <w:basedOn w:val="Normal"/>
    <w:qFormat/>
    <w:rsid w:val="0009013E"/>
    <w:pPr>
      <w:pBdr>
        <w:top w:val="single" w:sz="18" w:space="1" w:color="auto"/>
      </w:pBdr>
    </w:pPr>
    <w:rPr>
      <w:rFonts w:ascii="Times New Roman" w:hAnsi="Times New Roman"/>
      <w:color w:val="FFFFFF"/>
      <w:sz w:val="2"/>
    </w:rPr>
  </w:style>
  <w:style w:type="character" w:styleId="IntenseEmphasis">
    <w:name w:val="Intense Emphasis"/>
    <w:uiPriority w:val="21"/>
    <w:qFormat/>
    <w:rsid w:val="0009013E"/>
    <w:rPr>
      <w:b/>
      <w:bCs/>
      <w:i/>
      <w:iCs/>
      <w:color w:val="auto"/>
    </w:rPr>
  </w:style>
  <w:style w:type="paragraph" w:styleId="IntenseQuote">
    <w:name w:val="Intense Quote"/>
    <w:basedOn w:val="Normal"/>
    <w:next w:val="Normal"/>
    <w:link w:val="IntenseQuoteChar"/>
    <w:uiPriority w:val="30"/>
    <w:qFormat/>
    <w:rsid w:val="0009013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9013E"/>
    <w:rPr>
      <w:rFonts w:ascii="Courier New" w:eastAsia="Times New Roman" w:hAnsi="Courier New" w:cs="Times New Roman"/>
      <w:b/>
      <w:bCs/>
      <w:i/>
      <w:iCs/>
      <w:szCs w:val="20"/>
      <w:lang w:val="en-US" w:eastAsia="en-US"/>
    </w:rPr>
  </w:style>
  <w:style w:type="character" w:styleId="SubtleReference">
    <w:name w:val="Subtle Reference"/>
    <w:uiPriority w:val="31"/>
    <w:qFormat/>
    <w:rsid w:val="0009013E"/>
    <w:rPr>
      <w:smallCaps/>
      <w:color w:val="auto"/>
      <w:u w:val="single"/>
    </w:rPr>
  </w:style>
  <w:style w:type="character" w:styleId="IntenseReference">
    <w:name w:val="Intense Reference"/>
    <w:uiPriority w:val="32"/>
    <w:qFormat/>
    <w:rsid w:val="0009013E"/>
    <w:rPr>
      <w:b/>
      <w:bCs/>
      <w:smallCaps/>
      <w:color w:val="auto"/>
      <w:spacing w:val="5"/>
      <w:u w:val="single"/>
    </w:rPr>
  </w:style>
  <w:style w:type="paragraph" w:customStyle="1" w:styleId="2ColumnHeading">
    <w:name w:val="2Column Heading"/>
    <w:basedOn w:val="BodyText"/>
    <w:qFormat/>
    <w:rsid w:val="0009013E"/>
    <w:pPr>
      <w:spacing w:after="60"/>
      <w:ind w:left="-2268"/>
    </w:pPr>
    <w:rPr>
      <w:b/>
    </w:rPr>
  </w:style>
  <w:style w:type="paragraph" w:customStyle="1" w:styleId="Heading1TOC">
    <w:name w:val="Heading1 TOC"/>
    <w:basedOn w:val="Normal"/>
    <w:qFormat/>
    <w:rsid w:val="0009013E"/>
    <w:pPr>
      <w:spacing w:before="240" w:after="120"/>
    </w:pPr>
    <w:rPr>
      <w:rFonts w:ascii="Times New Roman" w:hAnsi="Times New Roman"/>
      <w:b/>
      <w:sz w:val="32"/>
    </w:rPr>
  </w:style>
  <w:style w:type="paragraph" w:customStyle="1" w:styleId="Heading2TOC">
    <w:name w:val="Heading2 TOC"/>
    <w:basedOn w:val="Normal"/>
    <w:qFormat/>
    <w:rsid w:val="0009013E"/>
    <w:pPr>
      <w:spacing w:before="240" w:after="60"/>
    </w:pPr>
    <w:rPr>
      <w:rFonts w:ascii="Times New Roman" w:hAnsi="Times New Roman"/>
      <w:b/>
      <w:sz w:val="28"/>
    </w:rPr>
  </w:style>
  <w:style w:type="character" w:customStyle="1" w:styleId="Underline">
    <w:name w:val="Underline"/>
    <w:qFormat/>
    <w:rsid w:val="0009013E"/>
    <w:rPr>
      <w:u w:val="single"/>
    </w:rPr>
  </w:style>
  <w:style w:type="character" w:customStyle="1" w:styleId="BoldandItalics">
    <w:name w:val="Bold and Italics"/>
    <w:qFormat/>
    <w:rsid w:val="0009013E"/>
    <w:rPr>
      <w:b/>
      <w:i/>
      <w:u w:val="none"/>
    </w:rPr>
  </w:style>
  <w:style w:type="paragraph" w:styleId="BalloonText">
    <w:name w:val="Balloon Text"/>
    <w:basedOn w:val="Normal"/>
    <w:link w:val="BalloonTextChar"/>
    <w:rsid w:val="0009013E"/>
    <w:rPr>
      <w:rFonts w:ascii="Tahoma" w:hAnsi="Tahoma" w:cs="Tahoma"/>
      <w:sz w:val="16"/>
      <w:szCs w:val="16"/>
    </w:rPr>
  </w:style>
  <w:style w:type="character" w:customStyle="1" w:styleId="BalloonTextChar">
    <w:name w:val="Balloon Text Char"/>
    <w:link w:val="BalloonText"/>
    <w:rsid w:val="0009013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013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9013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1867</Words>
  <Characters>12556</Characters>
  <Application>Microsoft Office Word</Application>
  <DocSecurity>0</DocSecurity>
  <Lines>421</Lines>
  <Paragraphs>180</Paragraphs>
  <ScaleCrop>false</ScaleCrop>
  <Company>Author-it Software Corporation Ltd.</Company>
  <LinksUpToDate>false</LinksUpToDate>
  <CharactersWithSpaces>14326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MEM18069B Maintain, repair instrumentation process control analysers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2012-05-27T01:57:00Z</dcterms:created>
  <dcterms:modified xsi:type="dcterms:W3CDTF">2012-05-27T01:57:00Z</dcterms:modified>
</cp:coreProperties>
</file>