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36A" w:rsidP="00AC336A">
      <w:pPr>
        <w:pStyle w:val="Title"/>
      </w:pPr>
      <w:r>
        <w:fldChar w:fldCharType="begin"/>
      </w:r>
      <w:r>
        <w:instrText xml:space="preserve"> TITLE   \* MERGEFORMAT </w:instrText>
      </w:r>
      <w:r>
        <w:fldChar w:fldCharType="separate"/>
      </w:r>
      <w:r>
        <w:t>MEM18063B Terminate signal and data cables</w:t>
      </w:r>
      <w:r>
        <w:fldChar w:fldCharType="end"/>
      </w:r>
    </w:p>
    <w:p w:rsidR="00AC336A" w:rsidP="00AC336A">
      <w:pPr>
        <w:pStyle w:val="Version"/>
        <w:sectPr w:rsidSect="00732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5F4" w:rsidP="007325F4">
      <w:pPr>
        <w:pStyle w:val="SuperHeading"/>
      </w:pPr>
      <w:r w:rsidRPr="007325F4">
        <w:t>MEM18063B Terminate signal and data cables</w:t>
      </w:r>
    </w:p>
    <w:p w:rsidR="00000000" w:rsidRPr="007325F4" w:rsidP="007325F4">
      <w:pPr>
        <w:pStyle w:val="Heading1"/>
      </w:pPr>
      <w:bookmarkStart w:id="1" w:name="O_272284"/>
      <w:bookmarkEnd w:id="1"/>
      <w:r w:rsidRPr="007325F4">
        <w:t>Modification History</w:t>
      </w:r>
    </w:p>
    <w:p w:rsidR="00000000" w:rsidRPr="007325F4" w:rsidP="007325F4">
      <w:pPr>
        <w:pStyle w:val="BodyText"/>
      </w:pPr>
      <w:r w:rsidRPr="007325F4">
        <w:t>Not Applicable</w:t>
      </w:r>
    </w:p>
    <w:p w:rsidR="00000000" w:rsidRPr="007325F4" w:rsidP="007325F4">
      <w:pPr>
        <w:pStyle w:val="AllowPageBreak"/>
      </w:pPr>
    </w:p>
    <w:p w:rsidR="00000000" w:rsidRPr="007325F4" w:rsidP="007325F4">
      <w:pPr>
        <w:pStyle w:val="Heading1"/>
      </w:pPr>
      <w:bookmarkStart w:id="2" w:name="O_212426"/>
      <w:bookmarkEnd w:id="2"/>
      <w:r w:rsidRPr="007325F4">
        <w:t>Unit Descriptor</w:t>
      </w:r>
    </w:p>
    <w:tbl>
      <w:tblPr>
        <w:tblW w:w="0" w:type="auto"/>
        <w:tblLayout w:type="fixed"/>
        <w:tblCellMar>
          <w:left w:w="62" w:type="dxa"/>
          <w:right w:w="62" w:type="dxa"/>
        </w:tblCellMar>
        <w:tblLook w:val="0000"/>
      </w:tblPr>
      <w:tblGrid>
        <w:gridCol w:w="2673"/>
        <w:gridCol w:w="5849"/>
      </w:tblGrid>
      <w:tr w:rsidTr="00AC336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This unit covers termi</w:t>
            </w:r>
            <w:r w:rsidRPr="007325F4">
              <w:t>nating signal and data cables. This unit also covers fixing, securing, identifying and marking conductors and cables.</w:t>
            </w:r>
          </w:p>
        </w:tc>
      </w:tr>
    </w:tbl>
    <w:p w:rsidR="00AC336A" w:rsidP="007325F4">
      <w:pPr>
        <w:pStyle w:val="BodyText"/>
      </w:pPr>
    </w:p>
    <w:p w:rsidR="00AC336A" w:rsidP="007325F4">
      <w:pPr>
        <w:pStyle w:val="BodyText"/>
      </w:pPr>
    </w:p>
    <w:p w:rsidR="00000000" w:rsidRPr="007325F4" w:rsidP="007325F4">
      <w:pPr>
        <w:pStyle w:val="Heading1"/>
      </w:pPr>
      <w:bookmarkStart w:id="3" w:name="O_212430"/>
      <w:bookmarkEnd w:id="3"/>
      <w:r w:rsidRPr="007325F4">
        <w:t>Application of the Unit</w:t>
      </w:r>
    </w:p>
    <w:tbl>
      <w:tblPr>
        <w:tblW w:w="0" w:type="auto"/>
        <w:tblLayout w:type="fixed"/>
        <w:tblCellMar>
          <w:left w:w="62" w:type="dxa"/>
          <w:right w:w="62" w:type="dxa"/>
        </w:tblCellMar>
        <w:tblLook w:val="0000"/>
      </w:tblPr>
      <w:tblGrid>
        <w:gridCol w:w="2745"/>
        <w:gridCol w:w="5777"/>
      </w:tblGrid>
      <w:tr w:rsidTr="00AC33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This unit applies to installing all types of signal and data cables, excluding specialist cables.</w:t>
            </w:r>
          </w:p>
          <w:p w:rsidR="00000000" w:rsidRPr="007325F4" w:rsidP="007325F4">
            <w:pPr>
              <w:pStyle w:val="BodyText"/>
            </w:pPr>
            <w:r w:rsidRPr="007325F4">
              <w:t>All specifications and procedures are obtained from circuit drawings, data sheets and instructions.</w:t>
            </w:r>
          </w:p>
          <w:p w:rsidR="00000000" w:rsidRPr="007325F4" w:rsidP="007325F4">
            <w:pPr>
              <w:pStyle w:val="BodyText"/>
            </w:pPr>
            <w:r w:rsidRPr="007325F4">
              <w:t>If termination of cables is undertaken to pre-determined s</w:t>
            </w:r>
            <w:r w:rsidRPr="007325F4">
              <w:t xml:space="preserve">pecifications and procedures, the competency is covered by Unit MEM03004B (Perform electronic/electrical assembly [production]). </w:t>
            </w:r>
          </w:p>
          <w:p w:rsidR="00000000" w:rsidRPr="007325F4" w:rsidP="007325F4">
            <w:pPr>
              <w:pStyle w:val="BodyText"/>
            </w:pPr>
            <w:r w:rsidRPr="007325F4">
              <w:t xml:space="preserve">Where hand held power tools are used, Unit MEM18002B (Use power tool/hand held operations) should also be selected. </w:t>
            </w:r>
          </w:p>
          <w:p w:rsidR="00000000" w:rsidRPr="007325F4" w:rsidP="007325F4">
            <w:pPr>
              <w:pStyle w:val="BodyText"/>
            </w:pPr>
            <w:r w:rsidRPr="007325F4">
              <w:t>Where hig</w:t>
            </w:r>
            <w:r w:rsidRPr="007325F4">
              <w:t>her levels of electrical/electronic measures are required, Unit MEM12004B (Perform precision electrical/electronic measurement) should be selected.</w:t>
            </w:r>
          </w:p>
          <w:p w:rsidR="00000000" w:rsidRPr="007325F4" w:rsidP="007325F4">
            <w:pPr>
              <w:pStyle w:val="BodyText"/>
            </w:pPr>
            <w:r w:rsidRPr="007325F4">
              <w:t>For termination and connection of specialist cables, see Unit MEM10011B (Terminate and connect specialist ca</w:t>
            </w:r>
            <w:r w:rsidRPr="007325F4">
              <w:t>bles).</w:t>
            </w:r>
          </w:p>
          <w:p w:rsidR="00000000" w:rsidRPr="007325F4" w:rsidP="007325F4">
            <w:pPr>
              <w:pStyle w:val="BodyText"/>
            </w:pPr>
            <w:r w:rsidRPr="007325F4">
              <w:t>For termination and connection of other cables, see Unit MEM10002B (Terminate and connect electrical wiring).</w:t>
            </w:r>
          </w:p>
          <w:p w:rsidR="00000000" w:rsidRPr="007325F4" w:rsidP="007325F4">
            <w:pPr>
              <w:pStyle w:val="BodyText"/>
            </w:pPr>
          </w:p>
          <w:p w:rsidR="00000000" w:rsidRPr="007325F4" w:rsidP="007325F4">
            <w:pPr>
              <w:pStyle w:val="BodyText"/>
            </w:pPr>
            <w:r w:rsidRPr="007325F4">
              <w:rPr>
                <w:rStyle w:val="SpecialBold"/>
              </w:rPr>
              <w:t>Band</w:t>
            </w:r>
            <w:r w:rsidRPr="007325F4">
              <w:t>:</w:t>
            </w:r>
            <w:r w:rsidRPr="007325F4">
              <w:tab/>
            </w:r>
            <w:r w:rsidRPr="007325F4">
              <w:rPr>
                <w:rStyle w:val="SpecialBold"/>
              </w:rPr>
              <w:t>A</w:t>
            </w:r>
          </w:p>
          <w:p w:rsidR="00000000" w:rsidRPr="007325F4" w:rsidP="007325F4">
            <w:pPr>
              <w:pStyle w:val="BodyText"/>
            </w:pPr>
            <w:r w:rsidRPr="007325F4">
              <w:rPr>
                <w:rStyle w:val="SpecialBold"/>
              </w:rPr>
              <w:t>Unit Weight</w:t>
            </w:r>
            <w:r w:rsidRPr="007325F4">
              <w:t>:</w:t>
            </w:r>
            <w:r w:rsidRPr="007325F4">
              <w:tab/>
            </w:r>
            <w:r w:rsidRPr="007325F4">
              <w:rPr>
                <w:rStyle w:val="SpecialBold"/>
              </w:rPr>
              <w:t>4</w:t>
            </w:r>
          </w:p>
        </w:tc>
      </w:tr>
    </w:tbl>
    <w:p w:rsidR="00AC336A" w:rsidP="007325F4">
      <w:pPr>
        <w:pStyle w:val="BodyText"/>
      </w:pPr>
    </w:p>
    <w:p w:rsidR="00AC336A" w:rsidP="007325F4">
      <w:pPr>
        <w:pStyle w:val="BodyText"/>
      </w:pPr>
    </w:p>
    <w:p w:rsidR="00000000" w:rsidRPr="007325F4" w:rsidP="007325F4">
      <w:pPr>
        <w:pStyle w:val="Heading1"/>
      </w:pPr>
      <w:bookmarkStart w:id="4" w:name="O_280544"/>
      <w:bookmarkEnd w:id="4"/>
      <w:r w:rsidRPr="007325F4">
        <w:t>Licensing/Regulatory Information</w:t>
      </w:r>
    </w:p>
    <w:p w:rsidR="00000000" w:rsidRPr="007325F4" w:rsidP="007325F4">
      <w:pPr>
        <w:pStyle w:val="BodyText"/>
      </w:pPr>
      <w:r w:rsidRPr="007325F4">
        <w:t>Not Applicable</w:t>
      </w:r>
    </w:p>
    <w:p w:rsidR="00000000" w:rsidRPr="007325F4" w:rsidP="007325F4">
      <w:pPr>
        <w:pStyle w:val="AllowPageBreak"/>
      </w:pPr>
    </w:p>
    <w:p w:rsidR="00000000" w:rsidRPr="007325F4" w:rsidP="007325F4">
      <w:pPr>
        <w:pStyle w:val="Heading1"/>
      </w:pPr>
      <w:bookmarkStart w:id="5" w:name="O_212428"/>
      <w:bookmarkEnd w:id="5"/>
      <w:r w:rsidRPr="007325F4">
        <w:t>Pre-Requisites</w:t>
      </w:r>
    </w:p>
    <w:tbl>
      <w:tblPr>
        <w:tblW w:w="0" w:type="auto"/>
        <w:tblLayout w:type="fixed"/>
        <w:tblCellMar>
          <w:left w:w="62" w:type="dxa"/>
          <w:right w:w="62" w:type="dxa"/>
        </w:tblCellMar>
        <w:tblLook w:val="0000"/>
      </w:tblPr>
      <w:tblGrid>
        <w:gridCol w:w="2695"/>
        <w:gridCol w:w="2207"/>
        <w:gridCol w:w="3620"/>
      </w:tblGrid>
      <w:tr w:rsidTr="00AC336A">
        <w:tblPrEx>
          <w:tblW w:w="0" w:type="auto"/>
          <w:tblLayout w:type="fixed"/>
          <w:tblCellMar>
            <w:left w:w="62" w:type="dxa"/>
            <w:right w:w="62" w:type="dxa"/>
          </w:tblCellMar>
          <w:tblLook w:val="0000"/>
        </w:tblPrEx>
        <w:trPr>
          <w:tblHeader/>
        </w:trPr>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Prerequisite units</w:t>
            </w:r>
          </w:p>
        </w:tc>
        <w:tc>
          <w:tcPr>
            <w:tcW w:w="58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p>
        </w:tc>
      </w:tr>
      <w:tr w:rsidTr="00AC336A">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Path 1</w:t>
            </w:r>
            <w:r w:rsidRPr="007325F4">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MEM05001B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Manual soldering/desoldering - electrical/electronic components</w:t>
            </w:r>
          </w:p>
        </w:tc>
      </w:tr>
      <w:tr w:rsidTr="00AC336A">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MEM09002B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Interpret technical drawing</w:t>
            </w:r>
          </w:p>
        </w:tc>
      </w:tr>
      <w:tr w:rsidTr="00AC336A">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MEM12002B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Perform electrical/electronic measurement</w:t>
            </w:r>
          </w:p>
        </w:tc>
      </w:tr>
      <w:tr w:rsidTr="00AC336A">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MEM12023A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Perform engineering measurements</w:t>
            </w:r>
          </w:p>
        </w:tc>
      </w:tr>
      <w:tr w:rsidTr="00AC336A">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MEM18001C</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Use hand tools</w:t>
            </w:r>
          </w:p>
        </w:tc>
      </w:tr>
    </w:tbl>
    <w:p w:rsidR="00AC336A" w:rsidP="007325F4">
      <w:pPr>
        <w:pStyle w:val="BodyText"/>
      </w:pPr>
    </w:p>
    <w:p w:rsidR="00AC336A" w:rsidP="007325F4">
      <w:pPr>
        <w:pStyle w:val="BodyText"/>
      </w:pPr>
    </w:p>
    <w:p w:rsidR="00000000" w:rsidRPr="007325F4" w:rsidP="007325F4">
      <w:pPr>
        <w:pStyle w:val="Heading1"/>
      </w:pPr>
      <w:bookmarkStart w:id="6" w:name="O_212427"/>
      <w:bookmarkEnd w:id="6"/>
      <w:r w:rsidRPr="007325F4">
        <w:t>Employability Skills Information</w:t>
      </w:r>
    </w:p>
    <w:tbl>
      <w:tblPr>
        <w:tblW w:w="0" w:type="auto"/>
        <w:tblLayout w:type="fixed"/>
        <w:tblCellMar>
          <w:left w:w="62" w:type="dxa"/>
          <w:right w:w="62" w:type="dxa"/>
        </w:tblCellMar>
        <w:tblLook w:val="0000"/>
      </w:tblPr>
      <w:tblGrid>
        <w:gridCol w:w="2802"/>
        <w:gridCol w:w="5720"/>
      </w:tblGrid>
      <w:tr w:rsidTr="00AC33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This unit contains employability skills.</w:t>
            </w:r>
          </w:p>
        </w:tc>
      </w:tr>
    </w:tbl>
    <w:p w:rsidR="00AC336A" w:rsidP="007325F4">
      <w:pPr>
        <w:pStyle w:val="BodyText"/>
      </w:pPr>
    </w:p>
    <w:p w:rsidR="00AC336A" w:rsidP="007325F4">
      <w:pPr>
        <w:pStyle w:val="BodyText"/>
      </w:pPr>
    </w:p>
    <w:p w:rsidR="00000000" w:rsidRPr="007325F4" w:rsidP="007325F4">
      <w:pPr>
        <w:pStyle w:val="Heading1"/>
      </w:pPr>
      <w:bookmarkStart w:id="7" w:name="O_290330"/>
      <w:bookmarkEnd w:id="7"/>
      <w:r w:rsidRPr="007325F4">
        <w:t>Elements and Performance Criteria Pre-Content</w:t>
      </w:r>
    </w:p>
    <w:tbl>
      <w:tblPr>
        <w:tblW w:w="0" w:type="auto"/>
        <w:tblLayout w:type="fixed"/>
        <w:tblCellMar>
          <w:left w:w="62" w:type="dxa"/>
          <w:right w:w="62" w:type="dxa"/>
        </w:tblCellMar>
        <w:tblLook w:val="0000"/>
      </w:tblPr>
      <w:tblGrid>
        <w:gridCol w:w="2634"/>
        <w:gridCol w:w="5888"/>
      </w:tblGrid>
      <w:tr w:rsidTr="00AC336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Performance criteria describe the performance needed to demonstrate achievement of the element. Where bold italicised text is used, further information is detailed in the required skills and</w:t>
            </w:r>
            <w:r w:rsidRPr="007325F4">
              <w:t xml:space="preserve"> knowledge section and the range statement. Assessment of performance is to be consistent with the evidence guide.</w:t>
            </w:r>
          </w:p>
        </w:tc>
      </w:tr>
    </w:tbl>
    <w:p w:rsidR="00000000" w:rsidRPr="007325F4" w:rsidP="007325F4">
      <w:pPr>
        <w:pStyle w:val="BodyText"/>
      </w:pPr>
    </w:p>
    <w:p w:rsidR="00000000" w:rsidRPr="007325F4" w:rsidP="007325F4">
      <w:pPr>
        <w:pStyle w:val="AllowPageBreak"/>
      </w:pPr>
    </w:p>
    <w:p w:rsidR="00000000" w:rsidRPr="007325F4" w:rsidP="007325F4">
      <w:pPr>
        <w:pStyle w:val="Heading1"/>
      </w:pPr>
      <w:bookmarkStart w:id="8" w:name="O_236997"/>
      <w:bookmarkEnd w:id="8"/>
      <w:r w:rsidRPr="007325F4">
        <w:t>Elements and Performance Criteria</w:t>
      </w:r>
    </w:p>
    <w:tbl>
      <w:tblPr>
        <w:tblW w:w="0" w:type="auto"/>
        <w:tblLayout w:type="fixed"/>
        <w:tblCellMar>
          <w:left w:w="62" w:type="dxa"/>
          <w:right w:w="62" w:type="dxa"/>
        </w:tblCellMar>
        <w:tblLook w:val="0000"/>
      </w:tblPr>
      <w:tblGrid>
        <w:gridCol w:w="2634"/>
        <w:gridCol w:w="5888"/>
      </w:tblGrid>
      <w:tr w:rsidTr="00AC336A">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PERFORMANCE CRITERIA</w:t>
            </w:r>
          </w:p>
        </w:tc>
      </w:tr>
      <w:tr w:rsidTr="00AC336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List"/>
              <w:rPr>
                <w:lang w:val="en-NZ"/>
              </w:rPr>
            </w:pPr>
            <w:r w:rsidRPr="007325F4">
              <w:t>1.</w:t>
            </w:r>
            <w:r w:rsidRPr="007325F4">
              <w:tab/>
              <w:t xml:space="preserve">Identify and mark conductors/cables </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List2"/>
            </w:pPr>
            <w:r w:rsidRPr="007325F4">
              <w:t>1.1.</w:t>
            </w:r>
            <w:r w:rsidRPr="007325F4">
              <w:tab/>
            </w:r>
            <w:r w:rsidRPr="007325F4">
              <w:t>Cables and conductors are identified using appropriate test equipment and techniques.</w:t>
            </w:r>
          </w:p>
          <w:p w:rsidR="00000000" w:rsidP="007325F4">
            <w:pPr>
              <w:pStyle w:val="List2"/>
              <w:rPr>
                <w:lang w:val="en-NZ"/>
              </w:rPr>
            </w:pPr>
            <w:r w:rsidRPr="007325F4">
              <w:t>1.2.</w:t>
            </w:r>
            <w:r w:rsidRPr="007325F4">
              <w:tab/>
              <w:t>Cables and conductors are labelled in accordance with standard operating procedures, legislative requirements and statutory regulations to specifications.</w:t>
            </w:r>
          </w:p>
        </w:tc>
      </w:tr>
      <w:tr w:rsidTr="00AC336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List"/>
              <w:rPr>
                <w:lang w:val="en-NZ"/>
              </w:rPr>
            </w:pPr>
            <w:r w:rsidRPr="007325F4">
              <w:t>2.</w:t>
            </w:r>
            <w:r w:rsidRPr="007325F4">
              <w:tab/>
              <w:t>Prepar</w:t>
            </w:r>
            <w:r w:rsidRPr="007325F4">
              <w:t>e cable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List2"/>
            </w:pPr>
            <w:r w:rsidRPr="007325F4">
              <w:t>2.1.</w:t>
            </w:r>
            <w:r w:rsidRPr="007325F4">
              <w:tab/>
              <w:t>Termination requirements and specifications are obtained and understood.</w:t>
            </w:r>
          </w:p>
          <w:p w:rsidR="00000000" w:rsidP="007325F4">
            <w:pPr>
              <w:pStyle w:val="List2"/>
              <w:rPr>
                <w:lang w:val="en-NZ"/>
              </w:rPr>
            </w:pPr>
            <w:r w:rsidRPr="007325F4">
              <w:t>2.2.</w:t>
            </w:r>
            <w:r w:rsidRPr="007325F4">
              <w:tab/>
              <w:t>Cable ends are prepared to specifications, legislative requirements and statutory regulations utilising appropriate tools and techniques.</w:t>
            </w:r>
          </w:p>
        </w:tc>
      </w:tr>
      <w:tr w:rsidTr="00AC336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List"/>
              <w:rPr>
                <w:lang w:val="en-NZ"/>
              </w:rPr>
            </w:pPr>
            <w:r w:rsidRPr="007325F4">
              <w:t>3.</w:t>
            </w:r>
            <w:r w:rsidRPr="007325F4">
              <w:tab/>
              <w:t>Terminate cables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List2"/>
            </w:pPr>
            <w:r w:rsidRPr="007325F4">
              <w:t>3.1.</w:t>
            </w:r>
            <w:r w:rsidRPr="007325F4">
              <w:tab/>
              <w:t>C</w:t>
            </w:r>
            <w:r w:rsidRPr="007325F4">
              <w:t>ables are terminated to specifications utilising appropriate tools and techniques.</w:t>
            </w:r>
          </w:p>
          <w:p w:rsidR="00000000" w:rsidP="007325F4">
            <w:pPr>
              <w:pStyle w:val="List2"/>
              <w:rPr>
                <w:lang w:val="en-NZ"/>
              </w:rPr>
            </w:pPr>
            <w:r w:rsidRPr="007325F4">
              <w:t>3.2.</w:t>
            </w:r>
            <w:r w:rsidRPr="007325F4">
              <w:tab/>
              <w:t>Terminations are tested/examined for compliance with specifications, legislative requirements and statutory regulations utilising appropriate test equipment and techniq</w:t>
            </w:r>
            <w:r w:rsidRPr="007325F4">
              <w:t>ues.</w:t>
            </w:r>
          </w:p>
        </w:tc>
      </w:tr>
      <w:tr w:rsidTr="00AC336A">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List"/>
              <w:rPr>
                <w:lang w:val="en-NZ"/>
              </w:rPr>
            </w:pPr>
            <w:r w:rsidRPr="007325F4">
              <w:t>4.</w:t>
            </w:r>
            <w:r w:rsidRPr="007325F4">
              <w:tab/>
              <w:t>Fix/secure cables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List2"/>
            </w:pPr>
            <w:r w:rsidRPr="007325F4">
              <w:t>4.1.</w:t>
            </w:r>
            <w:r w:rsidRPr="007325F4">
              <w:tab/>
              <w:t>Cables are fixed/secured in accordance with standard operating procedures, specifications, legislative requirements and statutory regulations, utilising appropriate fixing/securing techniques.</w:t>
            </w:r>
          </w:p>
        </w:tc>
      </w:tr>
    </w:tbl>
    <w:p w:rsidR="00AC336A" w:rsidP="007325F4">
      <w:pPr>
        <w:pStyle w:val="BodyText"/>
      </w:pPr>
    </w:p>
    <w:p w:rsidR="00AC336A" w:rsidP="007325F4">
      <w:pPr>
        <w:pStyle w:val="BodyText"/>
      </w:pPr>
    </w:p>
    <w:p w:rsidR="00000000" w:rsidRPr="007325F4" w:rsidP="007325F4">
      <w:pPr>
        <w:pStyle w:val="Heading1"/>
      </w:pPr>
      <w:bookmarkStart w:id="9" w:name="O_260947"/>
      <w:bookmarkEnd w:id="9"/>
      <w:r w:rsidRPr="007325F4">
        <w:t>Required Skills and Knowledge</w:t>
      </w:r>
    </w:p>
    <w:tbl>
      <w:tblPr>
        <w:tblW w:w="0" w:type="auto"/>
        <w:tblLayout w:type="fixed"/>
        <w:tblCellMar>
          <w:left w:w="62" w:type="dxa"/>
          <w:right w:w="62" w:type="dxa"/>
        </w:tblCellMar>
        <w:tblLook w:val="0000"/>
      </w:tblPr>
      <w:tblGrid>
        <w:gridCol w:w="8522"/>
      </w:tblGrid>
      <w:tr w:rsidTr="00AC33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REQUIRED SKILLS AND KNOWLEDGE</w:t>
            </w:r>
          </w:p>
        </w:tc>
      </w:tr>
      <w:tr w:rsidTr="00AC33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This section describes the skills and knowledge required for this unit.</w:t>
            </w:r>
          </w:p>
        </w:tc>
      </w:tr>
      <w:tr w:rsidTr="00AC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Required skills</w:t>
            </w:r>
          </w:p>
        </w:tc>
      </w:tr>
      <w:tr w:rsidTr="00AC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Look for evidence that confirms skills in:</w:t>
            </w:r>
          </w:p>
          <w:p w:rsidR="00000000" w:rsidRPr="007325F4" w:rsidP="007325F4">
            <w:pPr>
              <w:pStyle w:val="ListBullet"/>
            </w:pPr>
            <w:r w:rsidRPr="007325F4">
              <w:t>identifying cables and conductors</w:t>
            </w:r>
          </w:p>
          <w:p w:rsidR="00000000" w:rsidRPr="007325F4" w:rsidP="007325F4">
            <w:pPr>
              <w:pStyle w:val="ListBullet"/>
            </w:pPr>
            <w:r w:rsidRPr="007325F4">
              <w:t>labelling cables and conductors</w:t>
            </w:r>
          </w:p>
          <w:p w:rsidR="00000000" w:rsidRPr="007325F4" w:rsidP="007325F4">
            <w:pPr>
              <w:pStyle w:val="ListBullet"/>
            </w:pPr>
            <w:r w:rsidRPr="007325F4">
              <w:t>obtaining relevant instructions, specifications and data sheets</w:t>
            </w:r>
          </w:p>
          <w:p w:rsidR="00000000" w:rsidRPr="007325F4" w:rsidP="007325F4">
            <w:pPr>
              <w:pStyle w:val="ListBullet"/>
            </w:pPr>
            <w:r w:rsidRPr="007325F4">
              <w:t>preparing cable ends for termination</w:t>
            </w:r>
          </w:p>
          <w:p w:rsidR="00000000" w:rsidRPr="007325F4" w:rsidP="007325F4">
            <w:pPr>
              <w:pStyle w:val="ListBullet"/>
            </w:pPr>
            <w:r w:rsidRPr="007325F4">
              <w:t>following specifications</w:t>
            </w:r>
          </w:p>
          <w:p w:rsidR="00000000" w:rsidRPr="007325F4" w:rsidP="007325F4">
            <w:pPr>
              <w:pStyle w:val="ListBullet"/>
            </w:pPr>
            <w:r w:rsidRPr="007325F4">
              <w:t>testing completed terminations for compliance to specifications</w:t>
            </w:r>
          </w:p>
          <w:p w:rsidR="00000000" w:rsidP="007325F4">
            <w:pPr>
              <w:pStyle w:val="ListBullet"/>
              <w:rPr>
                <w:lang w:val="en-NZ"/>
              </w:rPr>
            </w:pPr>
            <w:r w:rsidRPr="007325F4">
              <w:t>fixing/securing cables</w:t>
            </w:r>
          </w:p>
        </w:tc>
      </w:tr>
      <w:tr w:rsidTr="00AC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Required k</w:t>
            </w:r>
            <w:r w:rsidRPr="007325F4">
              <w:rPr>
                <w:rStyle w:val="SpecialBold"/>
              </w:rPr>
              <w:t>nowledge</w:t>
            </w:r>
          </w:p>
        </w:tc>
      </w:tr>
      <w:tr w:rsidTr="00AC3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Look for evidence that confirms knowledge of:</w:t>
            </w:r>
          </w:p>
          <w:p w:rsidR="00000000" w:rsidRPr="007325F4" w:rsidP="007325F4">
            <w:pPr>
              <w:pStyle w:val="ListBullet"/>
            </w:pPr>
            <w:r w:rsidRPr="007325F4">
              <w:t>legislative requirements and statutory regulations including ACA Technical Standards AS/ACIF008, AS/ACIF009, SAA Communications Cabling Manual (Open), AS/NZS 3000, Telecommunications Act 1997</w:t>
            </w:r>
          </w:p>
          <w:p w:rsidR="00000000" w:rsidRPr="007325F4" w:rsidP="007325F4">
            <w:pPr>
              <w:pStyle w:val="ListBullet"/>
            </w:pPr>
            <w:r w:rsidRPr="007325F4">
              <w:t>the tes</w:t>
            </w:r>
            <w:r w:rsidRPr="007325F4">
              <w:t xml:space="preserve">t equipment and techniques to be used to identify cables and conductors  </w:t>
            </w:r>
          </w:p>
          <w:p w:rsidR="00000000" w:rsidRPr="007325F4" w:rsidP="007325F4">
            <w:pPr>
              <w:pStyle w:val="ListBullet"/>
            </w:pPr>
            <w:r w:rsidRPr="007325F4">
              <w:t xml:space="preserve">procedures to be followed when identifying cables and conductors </w:t>
            </w:r>
          </w:p>
          <w:p w:rsidR="00000000" w:rsidRPr="007325F4" w:rsidP="007325F4">
            <w:pPr>
              <w:pStyle w:val="ListBullet"/>
            </w:pPr>
            <w:r w:rsidRPr="007325F4">
              <w:t xml:space="preserve">labelling requirements of cables and conductors </w:t>
            </w:r>
          </w:p>
          <w:p w:rsidR="00000000" w:rsidRPr="007325F4" w:rsidP="007325F4">
            <w:pPr>
              <w:pStyle w:val="ListBullet"/>
            </w:pPr>
            <w:r w:rsidRPr="007325F4">
              <w:t>procedures for labelling cables and conductors</w:t>
            </w:r>
          </w:p>
          <w:p w:rsidR="00000000" w:rsidRPr="007325F4" w:rsidP="007325F4">
            <w:pPr>
              <w:pStyle w:val="ListBullet"/>
            </w:pPr>
            <w:r w:rsidRPr="007325F4">
              <w:t>termination requirements and specifications</w:t>
            </w:r>
          </w:p>
          <w:p w:rsidR="00000000" w:rsidRPr="007325F4" w:rsidP="007325F4">
            <w:pPr>
              <w:pStyle w:val="ListBullet"/>
            </w:pPr>
            <w:r w:rsidRPr="007325F4">
              <w:t>procedures, tools and techniques for preparing and terminating cables</w:t>
            </w:r>
          </w:p>
          <w:p w:rsidR="00000000" w:rsidRPr="007325F4" w:rsidP="007325F4">
            <w:pPr>
              <w:pStyle w:val="ListBullet"/>
            </w:pPr>
            <w:r w:rsidRPr="007325F4">
              <w:t xml:space="preserve">procedures for testing cables and terminations </w:t>
            </w:r>
          </w:p>
          <w:p w:rsidR="00000000" w:rsidRPr="007325F4" w:rsidP="007325F4">
            <w:pPr>
              <w:pStyle w:val="ListBullet"/>
            </w:pPr>
            <w:r w:rsidRPr="007325F4">
              <w:t>factors that influence selection of fixing/securing techniques</w:t>
            </w:r>
          </w:p>
          <w:p w:rsidR="00000000" w:rsidRPr="007325F4" w:rsidP="007325F4">
            <w:pPr>
              <w:pStyle w:val="ListBullet"/>
            </w:pPr>
            <w:r w:rsidRPr="007325F4">
              <w:t>safe work practices and procedu</w:t>
            </w:r>
            <w:r w:rsidRPr="007325F4">
              <w:t>res</w:t>
            </w:r>
          </w:p>
        </w:tc>
      </w:tr>
    </w:tbl>
    <w:p w:rsidR="00AC336A" w:rsidP="007325F4">
      <w:pPr>
        <w:pStyle w:val="BodyText"/>
      </w:pPr>
    </w:p>
    <w:p w:rsidR="00AC336A" w:rsidP="007325F4">
      <w:pPr>
        <w:pStyle w:val="BodyText"/>
      </w:pPr>
    </w:p>
    <w:p w:rsidR="00000000" w:rsidRPr="007325F4" w:rsidP="007325F4">
      <w:pPr>
        <w:pStyle w:val="AllowPageBreak"/>
      </w:pPr>
    </w:p>
    <w:p w:rsidR="00000000" w:rsidRPr="007325F4" w:rsidP="007325F4">
      <w:pPr>
        <w:pStyle w:val="Heading1"/>
      </w:pPr>
      <w:bookmarkStart w:id="10" w:name="O_244981"/>
      <w:bookmarkEnd w:id="10"/>
      <w:r w:rsidRPr="007325F4">
        <w:t>Evidence Guide</w:t>
      </w:r>
    </w:p>
    <w:tbl>
      <w:tblPr>
        <w:tblW w:w="9570" w:type="dxa"/>
        <w:tblLayout w:type="fixed"/>
        <w:tblCellMar>
          <w:left w:w="62" w:type="dxa"/>
          <w:right w:w="62" w:type="dxa"/>
        </w:tblCellMar>
        <w:tblLook w:val="0000"/>
      </w:tblPr>
      <w:tblGrid>
        <w:gridCol w:w="3908"/>
        <w:gridCol w:w="5662"/>
      </w:tblGrid>
      <w:tr w:rsidTr="00AC33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EVIDENCE GUIDE</w:t>
            </w:r>
          </w:p>
        </w:tc>
      </w:tr>
      <w:tr w:rsidTr="00AC33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 xml:space="preserve">The evidence guide provides advice on assessment and must be read in conjunction with the performance criteria, required skills and knowledge, </w:t>
            </w:r>
            <w:r w:rsidRPr="007325F4">
              <w:t>range statement and the Assessment Guidelines for the Training Package.</w:t>
            </w:r>
          </w:p>
        </w:tc>
      </w:tr>
      <w:tr w:rsidTr="00AC3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 xml:space="preserve">A person who demonstrates competency in this unit must be able to terminate signal and data cables. Competency in this unit cannot be claimed </w:t>
            </w:r>
            <w:r w:rsidRPr="007325F4">
              <w:t>until all prerequisites have been satisfied.</w:t>
            </w:r>
          </w:p>
        </w:tc>
      </w:tr>
      <w:tr w:rsidTr="00AC3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Assessors must be satisfied that the candidate can competently and consistently perform all elements of the unit as s</w:t>
            </w:r>
            <w:r w:rsidRPr="007325F4">
              <w:t>pecified by the criteria, including required knowledge, and be capable of applying the competency in new and different situations and contexts.</w:t>
            </w:r>
          </w:p>
        </w:tc>
      </w:tr>
      <w:tr w:rsidTr="00AC3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This unit may be assessed on the job, off the job or a combina</w:t>
            </w:r>
            <w:r w:rsidRPr="007325F4">
              <w:t>tion of both on and off the job. Where assessment occurs off the job, that is the candidate is not in productive work, then an appropriate simulation must be used where the range of conditions reflects realistic workplace situations. The competencies cover</w:t>
            </w:r>
            <w:r w:rsidRPr="007325F4">
              <w:t xml:space="preserve">ed by this unit would be demonstrated by an individual working alone or as part of a team. The assessment environment should not disadvantage the candidate. </w:t>
            </w:r>
          </w:p>
          <w:p w:rsidR="00000000" w:rsidP="007325F4">
            <w:pPr>
              <w:pStyle w:val="BodyText"/>
              <w:rPr>
                <w:lang w:val="en-NZ"/>
              </w:rPr>
            </w:pPr>
            <w:r w:rsidRPr="007325F4">
              <w:t>This unit could be assessed in conjunction with any other units addressing the safety, quality, co</w:t>
            </w:r>
            <w:r w:rsidRPr="007325F4">
              <w:t>mmunication, materials handling, recording and reporting associated with terminating signal and data cables, or other units requiring the exercise of the skills and knowledge covered by this unit.</w:t>
            </w:r>
          </w:p>
        </w:tc>
      </w:tr>
      <w:tr w:rsidTr="00AC3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Assessors should gather a range of ev</w:t>
            </w:r>
            <w:r w:rsidRPr="007325F4">
              <w:t>idence that is valid, sufficient, current and authentic. Evidence can be gathered through a variety of ways including direct observation, supervisor's reports, project work, samples and questioning. Questioning techniques should not require language, liter</w:t>
            </w:r>
            <w:r w:rsidRPr="007325F4">
              <w:t>acy and numeracy skills beyond those required in this unit of competency. The candidate must have access to all tools, equipment, materials and documentation required. The candidate must be permitted to refer to any relevant workplace procedures, product a</w:t>
            </w:r>
            <w:r w:rsidRPr="007325F4">
              <w:t>nd manufacturing specifications, codes, standards, manuals and reference materials.</w:t>
            </w:r>
          </w:p>
        </w:tc>
      </w:tr>
      <w:tr w:rsidTr="00AC33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p>
        </w:tc>
      </w:tr>
    </w:tbl>
    <w:p w:rsidR="00AC336A" w:rsidP="007325F4">
      <w:pPr>
        <w:pStyle w:val="BodyText"/>
      </w:pPr>
    </w:p>
    <w:p w:rsidR="00AC336A" w:rsidP="007325F4">
      <w:pPr>
        <w:pStyle w:val="BodyText"/>
      </w:pPr>
    </w:p>
    <w:p w:rsidR="00000000" w:rsidRPr="007325F4" w:rsidP="007325F4">
      <w:pPr>
        <w:pStyle w:val="Heading1"/>
      </w:pPr>
      <w:bookmarkStart w:id="11" w:name="O_252964"/>
      <w:bookmarkEnd w:id="11"/>
      <w:r w:rsidRPr="007325F4">
        <w:t>Range Statement</w:t>
      </w:r>
    </w:p>
    <w:tbl>
      <w:tblPr>
        <w:tblW w:w="0" w:type="auto"/>
        <w:tblLayout w:type="fixed"/>
        <w:tblCellMar>
          <w:left w:w="62" w:type="dxa"/>
          <w:right w:w="62" w:type="dxa"/>
        </w:tblCellMar>
        <w:tblLook w:val="0000"/>
      </w:tblPr>
      <w:tblGrid>
        <w:gridCol w:w="3389"/>
        <w:gridCol w:w="5133"/>
      </w:tblGrid>
      <w:tr w:rsidTr="00AC33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RANGE STATEMENT</w:t>
            </w:r>
          </w:p>
        </w:tc>
      </w:tr>
      <w:tr w:rsidTr="00AC3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The range statement relates to the unit of competency as a whole. It allows for different work environments and situations that may affect performance. Bold italicised wording, if used in the performance criteria, is detailed below. Essential operating con</w:t>
            </w:r>
            <w:r w:rsidRPr="007325F4">
              <w:t>ditions that may be present with training and assessment (depending on the work situation, needs of the candidate, accessibility of the item, and local industry and regional contexts) may also be included.</w:t>
            </w:r>
          </w:p>
        </w:tc>
      </w:tr>
      <w:tr w:rsidTr="00AC336A">
        <w:tblPrEx>
          <w:tblW w:w="0" w:type="auto"/>
          <w:tblLayout w:type="fixed"/>
          <w:tblCellMar>
            <w:left w:w="62" w:type="dxa"/>
            <w:right w:w="62" w:type="dxa"/>
          </w:tblCellMar>
          <w:tblLook w:val="0000"/>
        </w:tblPrEx>
        <w:tc>
          <w:tcPr>
            <w:tcW w:w="3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Legislative requirements and statutory regulatio</w:t>
            </w:r>
            <w:r w:rsidRPr="007325F4">
              <w:rPr>
                <w:rStyle w:val="SpecialBold"/>
              </w:rPr>
              <w:t>ns</w:t>
            </w:r>
          </w:p>
        </w:tc>
        <w:tc>
          <w:tcPr>
            <w:tcW w:w="5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ListBullet"/>
            </w:pPr>
            <w:r w:rsidRPr="007325F4">
              <w:t>ACA Technical Standards AS/ACIF008, AS/ACIF009</w:t>
            </w:r>
          </w:p>
          <w:p w:rsidR="00000000" w:rsidRPr="007325F4" w:rsidP="007325F4">
            <w:pPr>
              <w:pStyle w:val="ListBullet"/>
            </w:pPr>
            <w:r w:rsidRPr="007325F4">
              <w:t>SAA Communications Cabling Manual (Open)</w:t>
            </w:r>
          </w:p>
          <w:p w:rsidR="00000000" w:rsidRPr="007325F4" w:rsidP="007325F4">
            <w:pPr>
              <w:pStyle w:val="ListBullet"/>
            </w:pPr>
            <w:r w:rsidRPr="007325F4">
              <w:t>AS/NZS 3000</w:t>
            </w:r>
          </w:p>
          <w:p w:rsidR="00000000" w:rsidP="007325F4">
            <w:pPr>
              <w:pStyle w:val="ListBullet"/>
              <w:rPr>
                <w:lang w:val="en-NZ"/>
              </w:rPr>
            </w:pPr>
            <w:r w:rsidRPr="007325F4">
              <w:t>Telecommunications Act 1997</w:t>
            </w:r>
          </w:p>
        </w:tc>
      </w:tr>
      <w:tr w:rsidTr="00AC336A">
        <w:tblPrEx>
          <w:tblW w:w="0" w:type="auto"/>
          <w:tblLayout w:type="fixed"/>
          <w:tblCellMar>
            <w:left w:w="62" w:type="dxa"/>
            <w:right w:w="62" w:type="dxa"/>
          </w:tblCellMar>
          <w:tblLook w:val="0000"/>
        </w:tblPrEx>
        <w:tc>
          <w:tcPr>
            <w:tcW w:w="3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Types of cables</w:t>
            </w:r>
            <w:r w:rsidRPr="007325F4">
              <w:t xml:space="preserve"> </w:t>
            </w:r>
          </w:p>
        </w:tc>
        <w:tc>
          <w:tcPr>
            <w:tcW w:w="5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ListBullet"/>
            </w:pPr>
            <w:r w:rsidRPr="007325F4">
              <w:t>Thermocouple/compensator cables including MIMS</w:t>
            </w:r>
          </w:p>
          <w:p w:rsidR="00000000" w:rsidRPr="007325F4" w:rsidP="007325F4">
            <w:pPr>
              <w:pStyle w:val="ListBullet"/>
            </w:pPr>
            <w:r w:rsidRPr="007325F4">
              <w:t>Transmission cables</w:t>
            </w:r>
          </w:p>
          <w:p w:rsidR="00000000" w:rsidRPr="007325F4" w:rsidP="007325F4">
            <w:pPr>
              <w:pStyle w:val="ListBullet"/>
            </w:pPr>
            <w:r w:rsidRPr="007325F4">
              <w:t>Thermoplastic/elastomer insulated/sheathed</w:t>
            </w:r>
          </w:p>
          <w:p w:rsidR="00000000" w:rsidRPr="007325F4" w:rsidP="007325F4">
            <w:pPr>
              <w:pStyle w:val="ListBullet"/>
            </w:pPr>
            <w:r w:rsidRPr="007325F4">
              <w:t>Compensating cables</w:t>
            </w:r>
          </w:p>
          <w:p w:rsidR="00000000" w:rsidRPr="007325F4" w:rsidP="007325F4">
            <w:pPr>
              <w:pStyle w:val="ListBullet"/>
            </w:pPr>
            <w:r w:rsidRPr="007325F4">
              <w:t>Coaxial</w:t>
            </w:r>
          </w:p>
          <w:p w:rsidR="00000000" w:rsidRPr="007325F4" w:rsidP="007325F4">
            <w:pPr>
              <w:pStyle w:val="ListBullet"/>
            </w:pPr>
            <w:r w:rsidRPr="007325F4">
              <w:t>Telephone</w:t>
            </w:r>
          </w:p>
          <w:p w:rsidR="00000000" w:rsidRPr="007325F4" w:rsidP="007325F4">
            <w:pPr>
              <w:pStyle w:val="ListBullet"/>
            </w:pPr>
            <w:r w:rsidRPr="007325F4">
              <w:t>Category 5</w:t>
            </w:r>
          </w:p>
          <w:p w:rsidR="00000000" w:rsidRPr="007325F4" w:rsidP="007325F4">
            <w:pPr>
              <w:pStyle w:val="ListBullet"/>
            </w:pPr>
            <w:r w:rsidRPr="007325F4">
              <w:t>Optical fibre</w:t>
            </w:r>
          </w:p>
          <w:p w:rsidR="00000000" w:rsidP="007325F4">
            <w:pPr>
              <w:pStyle w:val="ListBullet"/>
              <w:rPr>
                <w:lang w:val="en-NZ"/>
              </w:rPr>
            </w:pPr>
            <w:r w:rsidRPr="007325F4">
              <w:t>Extra low voltage control cables</w:t>
            </w:r>
          </w:p>
        </w:tc>
      </w:tr>
      <w:tr w:rsidTr="00AC336A">
        <w:tblPrEx>
          <w:tblW w:w="0" w:type="auto"/>
          <w:tblLayout w:type="fixed"/>
          <w:tblCellMar>
            <w:left w:w="62" w:type="dxa"/>
            <w:right w:w="62" w:type="dxa"/>
          </w:tblCellMar>
          <w:tblLook w:val="0000"/>
        </w:tblPrEx>
        <w:tc>
          <w:tcPr>
            <w:tcW w:w="3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Terminations</w:t>
            </w:r>
          </w:p>
        </w:tc>
        <w:tc>
          <w:tcPr>
            <w:tcW w:w="5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t>Crimp, wire wrap, (non-insulated and pre-insulated), solder, connectors, multi-terminal plugs and sockets, fibre optics, coaxial, terminal blocks</w:t>
            </w:r>
          </w:p>
        </w:tc>
      </w:tr>
      <w:tr w:rsidTr="00AC336A">
        <w:tblPrEx>
          <w:tblW w:w="0" w:type="auto"/>
          <w:tblLayout w:type="fixed"/>
          <w:tblCellMar>
            <w:left w:w="62" w:type="dxa"/>
            <w:right w:w="62" w:type="dxa"/>
          </w:tblCellMar>
          <w:tblLook w:val="0000"/>
        </w:tblPrEx>
        <w:tc>
          <w:tcPr>
            <w:tcW w:w="3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Fixing and securing</w:t>
            </w:r>
          </w:p>
        </w:tc>
        <w:tc>
          <w:tcPr>
            <w:tcW w:w="5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The use of clamps, cable ties, bolting, screwing</w:t>
            </w:r>
          </w:p>
        </w:tc>
      </w:tr>
    </w:tbl>
    <w:p w:rsidR="00AC336A" w:rsidP="007325F4">
      <w:pPr>
        <w:pStyle w:val="BodyText"/>
      </w:pPr>
    </w:p>
    <w:p w:rsidR="00AC336A" w:rsidP="007325F4">
      <w:pPr>
        <w:pStyle w:val="BodyText"/>
      </w:pPr>
    </w:p>
    <w:p w:rsidR="00000000" w:rsidRPr="007325F4" w:rsidP="007325F4">
      <w:pPr>
        <w:pStyle w:val="Heading1"/>
      </w:pPr>
      <w:bookmarkStart w:id="12" w:name="O_212432"/>
      <w:bookmarkEnd w:id="12"/>
      <w:r w:rsidRPr="007325F4">
        <w:t>Unit Sector(s)</w:t>
      </w:r>
    </w:p>
    <w:tbl>
      <w:tblPr>
        <w:tblW w:w="0" w:type="auto"/>
        <w:tblLayout w:type="fixed"/>
        <w:tblCellMar>
          <w:left w:w="62" w:type="dxa"/>
          <w:right w:w="62" w:type="dxa"/>
        </w:tblCellMar>
        <w:tblLook w:val="0000"/>
      </w:tblPr>
      <w:tblGrid>
        <w:gridCol w:w="2654"/>
        <w:gridCol w:w="5868"/>
      </w:tblGrid>
      <w:tr w:rsidTr="00AC33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p>
        </w:tc>
      </w:tr>
    </w:tbl>
    <w:p w:rsidR="00AC336A" w:rsidP="007325F4">
      <w:pPr>
        <w:pStyle w:val="BodyText"/>
      </w:pPr>
    </w:p>
    <w:p w:rsidR="00AC336A" w:rsidP="007325F4">
      <w:pPr>
        <w:pStyle w:val="BodyText"/>
      </w:pPr>
    </w:p>
    <w:p w:rsidR="00000000" w:rsidRPr="007325F4" w:rsidP="007325F4">
      <w:pPr>
        <w:pStyle w:val="Heading1"/>
      </w:pPr>
      <w:bookmarkStart w:id="13" w:name="O_212429"/>
      <w:bookmarkEnd w:id="13"/>
      <w:r w:rsidRPr="007325F4">
        <w:t>Co-requisite units</w:t>
      </w:r>
    </w:p>
    <w:tbl>
      <w:tblPr>
        <w:tblW w:w="0" w:type="auto"/>
        <w:tblLayout w:type="fixed"/>
        <w:tblCellMar>
          <w:left w:w="62" w:type="dxa"/>
          <w:right w:w="62" w:type="dxa"/>
        </w:tblCellMar>
        <w:tblLook w:val="0000"/>
      </w:tblPr>
      <w:tblGrid>
        <w:gridCol w:w="2641"/>
        <w:gridCol w:w="1322"/>
        <w:gridCol w:w="4559"/>
      </w:tblGrid>
      <w:tr w:rsidTr="00AC33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p>
        </w:tc>
      </w:tr>
      <w:tr w:rsidTr="00AC33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p>
        </w:tc>
      </w:tr>
      <w:tr w:rsidTr="00AC33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p>
        </w:tc>
      </w:tr>
    </w:tbl>
    <w:p w:rsidR="00AC336A" w:rsidP="007325F4">
      <w:pPr>
        <w:pStyle w:val="BodyText"/>
      </w:pPr>
    </w:p>
    <w:p w:rsidR="00AC336A" w:rsidP="007325F4">
      <w:pPr>
        <w:pStyle w:val="BodyText"/>
      </w:pPr>
    </w:p>
    <w:p w:rsidR="00000000" w:rsidRPr="007325F4" w:rsidP="007325F4">
      <w:pPr>
        <w:pStyle w:val="Heading1"/>
      </w:pPr>
      <w:bookmarkStart w:id="14" w:name="O_212431"/>
      <w:bookmarkEnd w:id="14"/>
      <w:r w:rsidRPr="007325F4">
        <w:t>Competency field</w:t>
      </w:r>
    </w:p>
    <w:tbl>
      <w:tblPr>
        <w:tblW w:w="0" w:type="auto"/>
        <w:tblLayout w:type="fixed"/>
        <w:tblCellMar>
          <w:left w:w="62" w:type="dxa"/>
          <w:right w:w="62" w:type="dxa"/>
        </w:tblCellMar>
        <w:tblLook w:val="0000"/>
      </w:tblPr>
      <w:tblGrid>
        <w:gridCol w:w="2775"/>
        <w:gridCol w:w="5747"/>
      </w:tblGrid>
      <w:tr w:rsidTr="00AC33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F4">
            <w:pPr>
              <w:pStyle w:val="BodyText"/>
              <w:rPr>
                <w:lang w:val="en-NZ"/>
              </w:rPr>
            </w:pPr>
            <w:r w:rsidRPr="007325F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F4" w:rsidP="007325F4">
            <w:pPr>
              <w:pStyle w:val="BodyText"/>
            </w:pPr>
            <w:r w:rsidRPr="007325F4">
              <w:t>Maintenance and diagnostics</w:t>
            </w:r>
          </w:p>
        </w:tc>
      </w:tr>
    </w:tbl>
    <w:p w:rsidR="00AC336A" w:rsidP="007325F4">
      <w:pPr>
        <w:pStyle w:val="BodyText"/>
      </w:pPr>
    </w:p>
    <w:p w:rsidR="00AC336A" w:rsidP="007325F4">
      <w:pPr>
        <w:pStyle w:val="BodyText"/>
      </w:pPr>
    </w:p>
    <w:p w:rsidR="00000000" w:rsidRPr="007325F4" w:rsidP="007325F4"/>
    <w:sectPr w:rsidSect="00732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36A" w:rsidP="00AC3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6A" w:rsidP="00732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336A" w:rsidP="007325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336A" w:rsidP="007325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F4" w:rsidRPr="00AC336A" w:rsidP="00AC33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6A" w:rsidP="007325F4">
    <w:pPr>
      <w:pStyle w:val="Header"/>
      <w:framePr w:wrap="around"/>
    </w:pPr>
    <w:r>
      <w:fldChar w:fldCharType="begin"/>
    </w:r>
    <w:r>
      <w:instrText xml:space="preserve"> TITLE   \* MERGEFORMAT </w:instrText>
    </w:r>
    <w:r>
      <w:fldChar w:fldCharType="separate"/>
    </w:r>
    <w:r>
      <w:t>MEM18063B Terminate signal and data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36A" w:rsidP="00732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D685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2E5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5F4"/>
    <w:pPr>
      <w:spacing w:before="360" w:after="60"/>
      <w:outlineLvl w:val="0"/>
    </w:pPr>
    <w:rPr>
      <w:sz w:val="32"/>
    </w:rPr>
  </w:style>
  <w:style w:type="paragraph" w:styleId="Heading2">
    <w:name w:val="heading 2"/>
    <w:basedOn w:val="HeadingBase"/>
    <w:next w:val="BodyText"/>
    <w:link w:val="Heading2Char"/>
    <w:qFormat/>
    <w:rsid w:val="007325F4"/>
    <w:pPr>
      <w:keepLines/>
      <w:spacing w:before="240" w:after="120"/>
      <w:outlineLvl w:val="1"/>
    </w:pPr>
    <w:rPr>
      <w:sz w:val="28"/>
      <w:szCs w:val="40"/>
    </w:rPr>
  </w:style>
  <w:style w:type="paragraph" w:styleId="Heading3">
    <w:name w:val="heading 3"/>
    <w:basedOn w:val="HeadingBase"/>
    <w:next w:val="BodyText"/>
    <w:link w:val="Heading3Char"/>
    <w:qFormat/>
    <w:rsid w:val="007325F4"/>
    <w:pPr>
      <w:spacing w:before="180" w:after="120"/>
      <w:outlineLvl w:val="2"/>
    </w:pPr>
    <w:rPr>
      <w:spacing w:val="-10"/>
      <w:kern w:val="32"/>
    </w:rPr>
  </w:style>
  <w:style w:type="paragraph" w:styleId="Heading4">
    <w:name w:val="heading 4"/>
    <w:basedOn w:val="HeadingBase"/>
    <w:next w:val="BodyText"/>
    <w:link w:val="Heading4Char"/>
    <w:qFormat/>
    <w:rsid w:val="007325F4"/>
    <w:pPr>
      <w:spacing w:before="160" w:after="120"/>
      <w:outlineLvl w:val="3"/>
    </w:pPr>
    <w:rPr>
      <w:sz w:val="22"/>
    </w:rPr>
  </w:style>
  <w:style w:type="paragraph" w:styleId="Heading5">
    <w:name w:val="heading 5"/>
    <w:basedOn w:val="HeadingBase"/>
    <w:next w:val="Normal"/>
    <w:link w:val="Heading5Char"/>
    <w:qFormat/>
    <w:rsid w:val="007325F4"/>
    <w:pPr>
      <w:spacing w:before="80"/>
      <w:outlineLvl w:val="4"/>
    </w:pPr>
    <w:rPr>
      <w:color w:val="918585"/>
      <w:sz w:val="20"/>
    </w:rPr>
  </w:style>
  <w:style w:type="paragraph" w:styleId="Heading6">
    <w:name w:val="heading 6"/>
    <w:basedOn w:val="HeadingBase"/>
    <w:next w:val="Normal"/>
    <w:link w:val="Heading6Char"/>
    <w:qFormat/>
    <w:rsid w:val="007325F4"/>
    <w:pPr>
      <w:spacing w:before="60"/>
      <w:outlineLvl w:val="5"/>
    </w:pPr>
    <w:rPr>
      <w:color w:val="918585"/>
      <w:sz w:val="20"/>
    </w:rPr>
  </w:style>
  <w:style w:type="paragraph" w:styleId="Heading7">
    <w:name w:val="heading 7"/>
    <w:basedOn w:val="Normal"/>
    <w:next w:val="Normal"/>
    <w:link w:val="Heading7Char"/>
    <w:qFormat/>
    <w:rsid w:val="007325F4"/>
    <w:pPr>
      <w:ind w:left="720"/>
      <w:outlineLvl w:val="6"/>
    </w:pPr>
    <w:rPr>
      <w:i/>
    </w:rPr>
  </w:style>
  <w:style w:type="paragraph" w:styleId="Heading8">
    <w:name w:val="heading 8"/>
    <w:basedOn w:val="Normal"/>
    <w:next w:val="Normal"/>
    <w:link w:val="Heading8Char"/>
    <w:qFormat/>
    <w:rsid w:val="007325F4"/>
    <w:pPr>
      <w:ind w:left="720"/>
      <w:outlineLvl w:val="7"/>
    </w:pPr>
    <w:rPr>
      <w:i/>
    </w:rPr>
  </w:style>
  <w:style w:type="paragraph" w:styleId="Heading9">
    <w:name w:val="heading 9"/>
    <w:basedOn w:val="Normal"/>
    <w:next w:val="Normal"/>
    <w:link w:val="Heading9Char"/>
    <w:qFormat/>
    <w:rsid w:val="007325F4"/>
    <w:pPr>
      <w:ind w:left="720"/>
      <w:outlineLvl w:val="8"/>
    </w:pPr>
    <w:rPr>
      <w:i/>
    </w:rPr>
  </w:style>
  <w:style w:type="character" w:default="1" w:styleId="DefaultParagraphFont">
    <w:name w:val="Default Paragraph Font"/>
    <w:uiPriority w:val="1"/>
    <w:unhideWhenUsed/>
    <w:rsid w:val="00732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5F4"/>
  </w:style>
  <w:style w:type="character" w:customStyle="1" w:styleId="Heading1Char">
    <w:name w:val="Heading 1 Char"/>
    <w:link w:val="Heading1"/>
    <w:rsid w:val="007325F4"/>
    <w:rPr>
      <w:rFonts w:ascii="Times New Roman" w:eastAsia="Times New Roman" w:hAnsi="Times New Roman" w:cs="Times New Roman"/>
      <w:b/>
      <w:sz w:val="32"/>
      <w:szCs w:val="20"/>
      <w:lang w:eastAsia="en-US"/>
    </w:rPr>
  </w:style>
  <w:style w:type="paragraph" w:styleId="BodyText">
    <w:name w:val="Body Text"/>
    <w:basedOn w:val="Normal"/>
    <w:link w:val="BodyTextChar"/>
    <w:rsid w:val="007325F4"/>
    <w:pPr>
      <w:spacing w:before="120" w:after="120"/>
      <w:contextualSpacing/>
    </w:pPr>
    <w:rPr>
      <w:rFonts w:ascii="Times New Roman" w:hAnsi="Times New Roman"/>
      <w:sz w:val="24"/>
      <w:szCs w:val="22"/>
    </w:rPr>
  </w:style>
  <w:style w:type="character" w:customStyle="1" w:styleId="BodyTextChar">
    <w:name w:val="Body Text Char"/>
    <w:link w:val="BodyText"/>
    <w:rsid w:val="007325F4"/>
    <w:rPr>
      <w:rFonts w:ascii="Times New Roman" w:eastAsia="Times New Roman" w:hAnsi="Times New Roman" w:cs="Times New Roman"/>
      <w:sz w:val="24"/>
      <w:lang w:val="en-US" w:eastAsia="en-US"/>
    </w:rPr>
  </w:style>
  <w:style w:type="paragraph" w:styleId="Footer">
    <w:name w:val="footer"/>
    <w:basedOn w:val="Normal"/>
    <w:link w:val="FooterChar"/>
    <w:rsid w:val="00732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25F4"/>
    <w:rPr>
      <w:rFonts w:ascii="Times New Roman" w:eastAsia="Times New Roman" w:hAnsi="Times New Roman" w:cs="Times New Roman"/>
      <w:sz w:val="16"/>
      <w:lang w:val="en-US" w:eastAsia="en-US"/>
    </w:rPr>
  </w:style>
  <w:style w:type="paragraph" w:styleId="List">
    <w:name w:val="List"/>
    <w:basedOn w:val="BodyText"/>
    <w:next w:val="BodyText"/>
    <w:rsid w:val="007325F4"/>
    <w:pPr>
      <w:tabs>
        <w:tab w:val="left" w:pos="340"/>
      </w:tabs>
      <w:spacing w:before="60" w:after="60"/>
      <w:ind w:left="340" w:hanging="340"/>
    </w:pPr>
  </w:style>
  <w:style w:type="paragraph" w:styleId="ListBullet">
    <w:name w:val="List Bullet"/>
    <w:basedOn w:val="List"/>
    <w:rsid w:val="007325F4"/>
    <w:pPr>
      <w:numPr>
        <w:numId w:val="12"/>
      </w:numPr>
      <w:tabs>
        <w:tab w:val="clear" w:pos="340"/>
      </w:tabs>
      <w:spacing w:before="40" w:after="40"/>
    </w:pPr>
  </w:style>
  <w:style w:type="character" w:customStyle="1" w:styleId="SpecialBold">
    <w:name w:val="Special Bold"/>
    <w:rsid w:val="007325F4"/>
    <w:rPr>
      <w:b/>
      <w:spacing w:val="0"/>
    </w:rPr>
  </w:style>
  <w:style w:type="paragraph" w:customStyle="1" w:styleId="SuperHeading">
    <w:name w:val="SuperHeading"/>
    <w:basedOn w:val="Normal"/>
    <w:rsid w:val="007325F4"/>
    <w:pPr>
      <w:spacing w:before="240" w:after="120"/>
      <w:outlineLvl w:val="0"/>
    </w:pPr>
    <w:rPr>
      <w:rFonts w:ascii="Times New Roman" w:hAnsi="Times New Roman"/>
      <w:b/>
      <w:sz w:val="28"/>
    </w:rPr>
  </w:style>
  <w:style w:type="paragraph" w:customStyle="1" w:styleId="AllowPageBreak">
    <w:name w:val="AllowPageBreak"/>
    <w:rsid w:val="007325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25F4"/>
    <w:pPr>
      <w:tabs>
        <w:tab w:val="left" w:pos="680"/>
      </w:tabs>
      <w:spacing w:before="60" w:after="60"/>
      <w:ind w:left="680" w:hanging="340"/>
    </w:pPr>
  </w:style>
  <w:style w:type="character" w:customStyle="1" w:styleId="Heading2Char">
    <w:name w:val="Heading 2 Char"/>
    <w:link w:val="Heading2"/>
    <w:rsid w:val="007325F4"/>
    <w:rPr>
      <w:rFonts w:ascii="Times New Roman" w:eastAsia="Times New Roman" w:hAnsi="Times New Roman" w:cs="Times New Roman"/>
      <w:b/>
      <w:sz w:val="28"/>
      <w:szCs w:val="40"/>
      <w:lang w:eastAsia="en-US"/>
    </w:rPr>
  </w:style>
  <w:style w:type="character" w:customStyle="1" w:styleId="Heading3Char">
    <w:name w:val="Heading 3 Char"/>
    <w:link w:val="Heading3"/>
    <w:rsid w:val="007325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25F4"/>
    <w:rPr>
      <w:rFonts w:ascii="Times New Roman" w:eastAsia="Times New Roman" w:hAnsi="Times New Roman" w:cs="Times New Roman"/>
      <w:b/>
      <w:szCs w:val="20"/>
      <w:lang w:eastAsia="en-US"/>
    </w:rPr>
  </w:style>
  <w:style w:type="character" w:customStyle="1" w:styleId="Heading5Char">
    <w:name w:val="Heading 5 Char"/>
    <w:link w:val="Heading5"/>
    <w:rsid w:val="007325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2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5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5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5F4"/>
    <w:rPr>
      <w:rFonts w:ascii="Courier New" w:eastAsia="Times New Roman" w:hAnsi="Courier New" w:cs="Times New Roman"/>
      <w:i/>
      <w:szCs w:val="20"/>
      <w:lang w:val="en-US" w:eastAsia="en-US"/>
    </w:rPr>
  </w:style>
  <w:style w:type="paragraph" w:customStyle="1" w:styleId="HeadingBase">
    <w:name w:val="Heading Base"/>
    <w:rsid w:val="00732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5F4"/>
    <w:pPr>
      <w:tabs>
        <w:tab w:val="right" w:leader="dot" w:pos="9072"/>
      </w:tabs>
      <w:ind w:left="567"/>
    </w:pPr>
    <w:rPr>
      <w:szCs w:val="22"/>
    </w:rPr>
  </w:style>
  <w:style w:type="paragraph" w:customStyle="1" w:styleId="TOCBase">
    <w:name w:val="TOC Base"/>
    <w:rsid w:val="00732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5F4"/>
    <w:pPr>
      <w:tabs>
        <w:tab w:val="right" w:leader="dot" w:pos="9072"/>
      </w:tabs>
      <w:spacing w:before="40" w:after="40"/>
      <w:ind w:left="284"/>
    </w:pPr>
    <w:rPr>
      <w:rFonts w:ascii="Times New Roman" w:hAnsi="Times New Roman"/>
    </w:rPr>
  </w:style>
  <w:style w:type="paragraph" w:styleId="TOC1">
    <w:name w:val="toc 1"/>
    <w:basedOn w:val="TOCBase"/>
    <w:next w:val="Normal"/>
    <w:rsid w:val="007325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5F4"/>
    <w:pPr>
      <w:spacing w:before="5040"/>
      <w:jc w:val="center"/>
    </w:pPr>
    <w:rPr>
      <w:sz w:val="48"/>
      <w:szCs w:val="72"/>
      <w:lang w:val="en-US"/>
    </w:rPr>
  </w:style>
  <w:style w:type="character" w:customStyle="1" w:styleId="TitleChar">
    <w:name w:val="Title Char"/>
    <w:link w:val="Title"/>
    <w:rsid w:val="00732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5F4"/>
    <w:pPr>
      <w:tabs>
        <w:tab w:val="left" w:pos="3600"/>
        <w:tab w:val="left" w:pos="3958"/>
      </w:tabs>
    </w:pPr>
  </w:style>
  <w:style w:type="paragraph" w:customStyle="1" w:styleId="Note">
    <w:name w:val="Note"/>
    <w:basedOn w:val="BodyText"/>
    <w:rsid w:val="00732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5F4"/>
    <w:pPr>
      <w:framePr w:wrap="auto" w:hAnchor="text" w:y="6049"/>
    </w:pPr>
    <w:rPr>
      <w:color w:val="000000"/>
      <w:sz w:val="40"/>
    </w:rPr>
  </w:style>
  <w:style w:type="paragraph" w:customStyle="1" w:styleId="TOCTitle">
    <w:name w:val="TOCTitle"/>
    <w:basedOn w:val="Heading1"/>
    <w:rsid w:val="007325F4"/>
    <w:pPr>
      <w:spacing w:after="240"/>
      <w:jc w:val="center"/>
      <w:outlineLvl w:val="9"/>
    </w:pPr>
    <w:rPr>
      <w:caps/>
    </w:rPr>
  </w:style>
  <w:style w:type="paragraph" w:customStyle="1" w:styleId="Version">
    <w:name w:val="Version"/>
    <w:rsid w:val="00732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25F4"/>
    <w:pPr>
      <w:numPr>
        <w:numId w:val="13"/>
      </w:numPr>
      <w:tabs>
        <w:tab w:val="clear" w:pos="680"/>
      </w:tabs>
    </w:pPr>
  </w:style>
  <w:style w:type="paragraph" w:styleId="Index1">
    <w:name w:val="index 1"/>
    <w:basedOn w:val="Normal"/>
    <w:next w:val="Normal"/>
    <w:semiHidden/>
    <w:rsid w:val="007325F4"/>
    <w:pPr>
      <w:keepNext w:val="0"/>
      <w:tabs>
        <w:tab w:val="right" w:pos="4176"/>
      </w:tabs>
      <w:ind w:left="198" w:hanging="198"/>
    </w:pPr>
    <w:rPr>
      <w:rFonts w:ascii="Garamond" w:hAnsi="Garamond"/>
    </w:rPr>
  </w:style>
  <w:style w:type="paragraph" w:styleId="IndexHeading">
    <w:name w:val="index heading"/>
    <w:basedOn w:val="Normal"/>
    <w:next w:val="Index1"/>
    <w:semiHidden/>
    <w:rsid w:val="007325F4"/>
    <w:pPr>
      <w:spacing w:before="120" w:after="120"/>
    </w:pPr>
    <w:rPr>
      <w:rFonts w:ascii="Arial" w:hAnsi="Arial"/>
      <w:b/>
      <w:color w:val="918585"/>
      <w:sz w:val="24"/>
    </w:rPr>
  </w:style>
  <w:style w:type="paragraph" w:styleId="Header">
    <w:name w:val="header"/>
    <w:basedOn w:val="Normal"/>
    <w:link w:val="HeaderChar"/>
    <w:rsid w:val="00732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25F4"/>
    <w:rPr>
      <w:rFonts w:ascii="Times New Roman" w:eastAsia="Times New Roman" w:hAnsi="Times New Roman" w:cs="Times New Roman"/>
      <w:sz w:val="16"/>
      <w:szCs w:val="20"/>
      <w:lang w:val="en-GB" w:eastAsia="en-US"/>
    </w:rPr>
  </w:style>
  <w:style w:type="paragraph" w:customStyle="1" w:styleId="Chapter">
    <w:name w:val="Chapter"/>
    <w:basedOn w:val="Normal"/>
    <w:rsid w:val="007325F4"/>
    <w:pPr>
      <w:spacing w:before="240"/>
    </w:pPr>
    <w:rPr>
      <w:rFonts w:ascii="Times New Roman" w:hAnsi="Times New Roman"/>
      <w:smallCaps/>
      <w:spacing w:val="80"/>
      <w:sz w:val="28"/>
    </w:rPr>
  </w:style>
  <w:style w:type="paragraph" w:customStyle="1" w:styleId="InChapter">
    <w:name w:val="InChapter"/>
    <w:basedOn w:val="Heading3"/>
    <w:rsid w:val="007325F4"/>
    <w:pPr>
      <w:spacing w:after="240"/>
      <w:outlineLvl w:val="9"/>
    </w:pPr>
    <w:rPr>
      <w:noProof/>
    </w:rPr>
  </w:style>
  <w:style w:type="paragraph" w:styleId="Index2">
    <w:name w:val="index 2"/>
    <w:basedOn w:val="Normal"/>
    <w:next w:val="Normal"/>
    <w:semiHidden/>
    <w:rsid w:val="007325F4"/>
    <w:pPr>
      <w:tabs>
        <w:tab w:val="right" w:pos="4176"/>
      </w:tabs>
      <w:ind w:left="568" w:hanging="284"/>
    </w:pPr>
    <w:rPr>
      <w:rFonts w:ascii="Garamond" w:hAnsi="Garamond"/>
    </w:rPr>
  </w:style>
  <w:style w:type="paragraph" w:customStyle="1" w:styleId="Byline">
    <w:name w:val="Byline"/>
    <w:rsid w:val="00732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5F4"/>
    <w:pPr>
      <w:tabs>
        <w:tab w:val="clear" w:pos="3600"/>
        <w:tab w:val="clear" w:pos="3958"/>
      </w:tabs>
      <w:jc w:val="right"/>
    </w:pPr>
  </w:style>
  <w:style w:type="character" w:styleId="Emphasis">
    <w:name w:val="Emphasis"/>
    <w:qFormat/>
    <w:rsid w:val="007325F4"/>
    <w:rPr>
      <w:i/>
    </w:rPr>
  </w:style>
  <w:style w:type="paragraph" w:styleId="Caption">
    <w:name w:val="caption"/>
    <w:basedOn w:val="BodyText"/>
    <w:next w:val="Normal"/>
    <w:qFormat/>
    <w:rsid w:val="007325F4"/>
    <w:pPr>
      <w:framePr w:w="2268" w:hSpace="181" w:vSpace="181" w:wrap="around" w:vAnchor="text" w:hAnchor="page" w:x="1135" w:y="285" w:anchorLock="1"/>
    </w:pPr>
    <w:rPr>
      <w:i/>
    </w:rPr>
  </w:style>
  <w:style w:type="paragraph" w:customStyle="1" w:styleId="MiniTOCTitle">
    <w:name w:val="MiniTOCTitle"/>
    <w:basedOn w:val="Heading4"/>
    <w:rsid w:val="007325F4"/>
    <w:pPr>
      <w:spacing w:before="240"/>
      <w:outlineLvl w:val="9"/>
    </w:pPr>
    <w:rPr>
      <w:noProof/>
      <w:sz w:val="24"/>
    </w:rPr>
  </w:style>
  <w:style w:type="paragraph" w:customStyle="1" w:styleId="MiniTOCItem">
    <w:name w:val="MiniTOCItem"/>
    <w:basedOn w:val="ListBullet"/>
    <w:rsid w:val="007325F4"/>
    <w:pPr>
      <w:numPr>
        <w:numId w:val="0"/>
      </w:numPr>
      <w:tabs>
        <w:tab w:val="right" w:leader="dot" w:pos="6521"/>
      </w:tabs>
      <w:spacing w:before="0" w:after="0"/>
    </w:pPr>
  </w:style>
  <w:style w:type="paragraph" w:customStyle="1" w:styleId="TOFTitle">
    <w:name w:val="TOFTitle"/>
    <w:basedOn w:val="TOCTitle"/>
    <w:rsid w:val="007325F4"/>
  </w:style>
  <w:style w:type="paragraph" w:styleId="TableofFigures">
    <w:name w:val="table of figures"/>
    <w:basedOn w:val="Normal"/>
    <w:next w:val="Normal"/>
    <w:semiHidden/>
    <w:rsid w:val="007325F4"/>
    <w:pPr>
      <w:tabs>
        <w:tab w:val="right" w:leader="dot" w:pos="9072"/>
      </w:tabs>
      <w:ind w:left="970" w:hanging="403"/>
    </w:pPr>
    <w:rPr>
      <w:rFonts w:ascii="Times New Roman" w:hAnsi="Times New Roman"/>
      <w:b/>
    </w:rPr>
  </w:style>
  <w:style w:type="paragraph" w:styleId="ListNumber">
    <w:name w:val="List Number"/>
    <w:basedOn w:val="List"/>
    <w:rsid w:val="007325F4"/>
    <w:pPr>
      <w:numPr>
        <w:numId w:val="10"/>
      </w:numPr>
    </w:pPr>
  </w:style>
  <w:style w:type="character" w:customStyle="1" w:styleId="WingdingSymbols">
    <w:name w:val="Wingding Symbols"/>
    <w:rsid w:val="007325F4"/>
    <w:rPr>
      <w:rFonts w:ascii="Wingdings" w:hAnsi="Wingdings"/>
    </w:rPr>
  </w:style>
  <w:style w:type="paragraph" w:customStyle="1" w:styleId="TableHeading">
    <w:name w:val="Table Heading"/>
    <w:basedOn w:val="HeadingBase"/>
    <w:rsid w:val="007325F4"/>
    <w:pPr>
      <w:keepLines/>
      <w:pBdr>
        <w:bottom w:val="single" w:sz="6" w:space="1" w:color="918585"/>
      </w:pBdr>
      <w:spacing w:before="240"/>
    </w:pPr>
  </w:style>
  <w:style w:type="character" w:customStyle="1" w:styleId="HotSpot">
    <w:name w:val="HotSpot"/>
    <w:rsid w:val="007325F4"/>
    <w:rPr>
      <w:color w:val="0033CC"/>
      <w:u w:val="none"/>
    </w:rPr>
  </w:style>
  <w:style w:type="paragraph" w:customStyle="1" w:styleId="BodyTextRight">
    <w:name w:val="Body Text Right"/>
    <w:basedOn w:val="BodyText"/>
    <w:rsid w:val="007325F4"/>
    <w:pPr>
      <w:spacing w:before="0" w:after="0"/>
      <w:jc w:val="right"/>
    </w:pPr>
  </w:style>
  <w:style w:type="paragraph" w:styleId="Index3">
    <w:name w:val="index 3"/>
    <w:basedOn w:val="ListNumber2"/>
    <w:next w:val="Normal"/>
    <w:semiHidden/>
    <w:rsid w:val="007325F4"/>
    <w:pPr>
      <w:numPr>
        <w:numId w:val="0"/>
      </w:numPr>
      <w:tabs>
        <w:tab w:val="right" w:leader="dot" w:pos="4176"/>
      </w:tabs>
    </w:pPr>
  </w:style>
  <w:style w:type="paragraph" w:styleId="ListNumber2">
    <w:name w:val="List Number 2"/>
    <w:basedOn w:val="List2"/>
    <w:rsid w:val="007325F4"/>
    <w:pPr>
      <w:numPr>
        <w:numId w:val="9"/>
      </w:numPr>
      <w:tabs>
        <w:tab w:val="clear" w:pos="1060"/>
      </w:tabs>
    </w:pPr>
  </w:style>
  <w:style w:type="paragraph" w:customStyle="1" w:styleId="MarginNote">
    <w:name w:val="Margin Note"/>
    <w:basedOn w:val="BodyText"/>
    <w:rsid w:val="00732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25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5F4"/>
    <w:rPr>
      <w:sz w:val="32"/>
    </w:rPr>
  </w:style>
  <w:style w:type="paragraph" w:customStyle="1" w:styleId="HeadingProcedure">
    <w:name w:val="Heading Procedure"/>
    <w:basedOn w:val="HeadingBase"/>
    <w:next w:val="Normal"/>
    <w:rsid w:val="007325F4"/>
    <w:pPr>
      <w:tabs>
        <w:tab w:val="left" w:pos="0"/>
      </w:tabs>
      <w:spacing w:before="120" w:after="60"/>
    </w:pPr>
    <w:rPr>
      <w:i/>
      <w:color w:val="918585"/>
      <w:sz w:val="22"/>
    </w:rPr>
  </w:style>
  <w:style w:type="paragraph" w:customStyle="1" w:styleId="TableBodyText">
    <w:name w:val="Table Body Text"/>
    <w:basedOn w:val="BodyText"/>
    <w:rsid w:val="007325F4"/>
    <w:pPr>
      <w:spacing w:before="60" w:after="60"/>
    </w:pPr>
  </w:style>
  <w:style w:type="paragraph" w:styleId="ListContinue">
    <w:name w:val="List Continue"/>
    <w:basedOn w:val="List"/>
    <w:rsid w:val="007325F4"/>
    <w:pPr>
      <w:ind w:firstLine="0"/>
    </w:pPr>
  </w:style>
  <w:style w:type="paragraph" w:customStyle="1" w:styleId="ListNote">
    <w:name w:val="List Note"/>
    <w:basedOn w:val="List"/>
    <w:rsid w:val="007325F4"/>
    <w:pPr>
      <w:pBdr>
        <w:top w:val="single" w:sz="6" w:space="2" w:color="918585"/>
        <w:bottom w:val="single" w:sz="6" w:space="2" w:color="918585"/>
      </w:pBdr>
      <w:tabs>
        <w:tab w:val="left" w:pos="1021"/>
      </w:tabs>
      <w:ind w:firstLine="0"/>
    </w:pPr>
  </w:style>
  <w:style w:type="paragraph" w:customStyle="1" w:styleId="Warning">
    <w:name w:val="Warning"/>
    <w:basedOn w:val="BodyText"/>
    <w:rsid w:val="007325F4"/>
    <w:pPr>
      <w:shd w:val="clear" w:color="auto" w:fill="D9D9D9"/>
      <w:tabs>
        <w:tab w:val="left" w:pos="992"/>
      </w:tabs>
      <w:ind w:left="119" w:right="119"/>
    </w:pPr>
    <w:rPr>
      <w:sz w:val="20"/>
    </w:rPr>
  </w:style>
  <w:style w:type="paragraph" w:customStyle="1" w:styleId="MarginIcons">
    <w:name w:val="Margin Icons"/>
    <w:basedOn w:val="BodyText"/>
    <w:rsid w:val="007325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25F4"/>
    <w:rPr>
      <w:rFonts w:ascii="Courier New" w:hAnsi="Courier New"/>
    </w:rPr>
  </w:style>
  <w:style w:type="paragraph" w:customStyle="1" w:styleId="NoteBullet">
    <w:name w:val="Note Bullet"/>
    <w:basedOn w:val="Note"/>
    <w:rsid w:val="007325F4"/>
    <w:pPr>
      <w:tabs>
        <w:tab w:val="clear" w:pos="680"/>
      </w:tabs>
      <w:spacing w:before="60" w:after="60"/>
    </w:pPr>
  </w:style>
  <w:style w:type="paragraph" w:customStyle="1" w:styleId="SubHeading2">
    <w:name w:val="SubHeading2"/>
    <w:basedOn w:val="HeadingBase"/>
    <w:rsid w:val="007325F4"/>
    <w:pPr>
      <w:spacing w:before="240" w:after="60"/>
    </w:pPr>
    <w:rPr>
      <w:sz w:val="20"/>
    </w:rPr>
  </w:style>
  <w:style w:type="paragraph" w:customStyle="1" w:styleId="SubHeading1">
    <w:name w:val="SubHeading1"/>
    <w:basedOn w:val="HeadingBase"/>
    <w:rsid w:val="007325F4"/>
    <w:pPr>
      <w:spacing w:before="240" w:after="60"/>
    </w:pPr>
    <w:rPr>
      <w:color w:val="918585"/>
      <w:sz w:val="22"/>
    </w:rPr>
  </w:style>
  <w:style w:type="paragraph" w:customStyle="1" w:styleId="SideHeading">
    <w:name w:val="Side Heading"/>
    <w:basedOn w:val="HeadingBase"/>
    <w:rsid w:val="00732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5F4"/>
    <w:pPr>
      <w:tabs>
        <w:tab w:val="num" w:pos="360"/>
      </w:tabs>
    </w:pPr>
  </w:style>
  <w:style w:type="paragraph" w:styleId="PlainText">
    <w:name w:val="Plain Text"/>
    <w:basedOn w:val="Normal"/>
    <w:link w:val="PlainTextChar"/>
    <w:rsid w:val="007325F4"/>
    <w:rPr>
      <w:sz w:val="20"/>
    </w:rPr>
  </w:style>
  <w:style w:type="character" w:customStyle="1" w:styleId="PlainTextChar">
    <w:name w:val="Plain Text Char"/>
    <w:basedOn w:val="DefaultParagraphFont"/>
    <w:link w:val="PlainText"/>
    <w:rsid w:val="007325F4"/>
    <w:rPr>
      <w:rFonts w:ascii="Courier New" w:eastAsia="Times New Roman" w:hAnsi="Courier New" w:cs="Times New Roman"/>
      <w:sz w:val="20"/>
      <w:szCs w:val="20"/>
      <w:lang w:val="en-US" w:eastAsia="en-US"/>
    </w:rPr>
  </w:style>
  <w:style w:type="character" w:customStyle="1" w:styleId="MenuOption">
    <w:name w:val="Menu Option"/>
    <w:rsid w:val="007325F4"/>
    <w:rPr>
      <w:b/>
      <w:smallCaps/>
    </w:rPr>
  </w:style>
  <w:style w:type="paragraph" w:customStyle="1" w:styleId="TableListNumber">
    <w:name w:val="Table List Number"/>
    <w:basedOn w:val="ListNumber"/>
    <w:rsid w:val="007325F4"/>
    <w:pPr>
      <w:numPr>
        <w:numId w:val="0"/>
      </w:numPr>
    </w:pPr>
  </w:style>
  <w:style w:type="paragraph" w:styleId="TOC4">
    <w:name w:val="toc 4"/>
    <w:basedOn w:val="TOCBase"/>
    <w:next w:val="Normal"/>
    <w:semiHidden/>
    <w:rsid w:val="007325F4"/>
    <w:pPr>
      <w:tabs>
        <w:tab w:val="right" w:leader="dot" w:pos="9071"/>
      </w:tabs>
      <w:ind w:left="1701"/>
    </w:pPr>
  </w:style>
  <w:style w:type="paragraph" w:customStyle="1" w:styleId="ListAlpha">
    <w:name w:val="List Alpha"/>
    <w:basedOn w:val="List"/>
    <w:rsid w:val="007325F4"/>
    <w:pPr>
      <w:numPr>
        <w:numId w:val="8"/>
      </w:numPr>
    </w:pPr>
  </w:style>
  <w:style w:type="paragraph" w:customStyle="1" w:styleId="ListAlpha2">
    <w:name w:val="List Alpha 2"/>
    <w:basedOn w:val="List2"/>
    <w:rsid w:val="007325F4"/>
    <w:pPr>
      <w:numPr>
        <w:numId w:val="7"/>
      </w:numPr>
    </w:pPr>
  </w:style>
  <w:style w:type="paragraph" w:styleId="List3">
    <w:name w:val="List 3"/>
    <w:basedOn w:val="BodyText"/>
    <w:rsid w:val="007325F4"/>
    <w:pPr>
      <w:tabs>
        <w:tab w:val="left" w:pos="1021"/>
      </w:tabs>
      <w:spacing w:before="60" w:after="60"/>
      <w:ind w:left="1020" w:hanging="340"/>
    </w:pPr>
  </w:style>
  <w:style w:type="paragraph" w:styleId="List4">
    <w:name w:val="List 4"/>
    <w:basedOn w:val="BodyText"/>
    <w:rsid w:val="007325F4"/>
    <w:pPr>
      <w:tabs>
        <w:tab w:val="left" w:pos="1361"/>
      </w:tabs>
      <w:spacing w:before="60" w:after="60"/>
      <w:ind w:left="1361" w:hanging="340"/>
    </w:pPr>
  </w:style>
  <w:style w:type="paragraph" w:styleId="List5">
    <w:name w:val="List 5"/>
    <w:basedOn w:val="BodyText"/>
    <w:rsid w:val="007325F4"/>
    <w:pPr>
      <w:tabs>
        <w:tab w:val="left" w:pos="1701"/>
      </w:tabs>
      <w:spacing w:before="60" w:after="60"/>
      <w:ind w:left="1701" w:hanging="340"/>
    </w:pPr>
  </w:style>
  <w:style w:type="paragraph" w:styleId="ListBullet3">
    <w:name w:val="List Bullet 3"/>
    <w:basedOn w:val="List3"/>
    <w:rsid w:val="007325F4"/>
    <w:pPr>
      <w:numPr>
        <w:numId w:val="14"/>
      </w:numPr>
      <w:tabs>
        <w:tab w:val="clear" w:pos="1021"/>
      </w:tabs>
      <w:ind w:left="1037" w:hanging="357"/>
    </w:pPr>
  </w:style>
  <w:style w:type="paragraph" w:styleId="ListBullet4">
    <w:name w:val="List Bullet 4"/>
    <w:basedOn w:val="List4"/>
    <w:rsid w:val="007325F4"/>
    <w:pPr>
      <w:numPr>
        <w:numId w:val="2"/>
      </w:numPr>
    </w:pPr>
  </w:style>
  <w:style w:type="paragraph" w:styleId="ListBullet5">
    <w:name w:val="List Bullet 5"/>
    <w:basedOn w:val="List5"/>
    <w:rsid w:val="007325F4"/>
    <w:pPr>
      <w:numPr>
        <w:numId w:val="3"/>
      </w:numPr>
    </w:pPr>
  </w:style>
  <w:style w:type="paragraph" w:styleId="ListContinue2">
    <w:name w:val="List Continue 2"/>
    <w:basedOn w:val="List2"/>
    <w:rsid w:val="007325F4"/>
    <w:pPr>
      <w:ind w:firstLine="0"/>
    </w:pPr>
  </w:style>
  <w:style w:type="paragraph" w:styleId="ListContinue3">
    <w:name w:val="List Continue 3"/>
    <w:basedOn w:val="List3"/>
    <w:rsid w:val="007325F4"/>
    <w:pPr>
      <w:ind w:left="1021" w:firstLine="0"/>
    </w:pPr>
  </w:style>
  <w:style w:type="paragraph" w:styleId="ListContinue4">
    <w:name w:val="List Continue 4"/>
    <w:basedOn w:val="List4"/>
    <w:rsid w:val="007325F4"/>
    <w:pPr>
      <w:ind w:firstLine="0"/>
    </w:pPr>
  </w:style>
  <w:style w:type="paragraph" w:styleId="ListContinue5">
    <w:name w:val="List Continue 5"/>
    <w:basedOn w:val="List5"/>
    <w:rsid w:val="007325F4"/>
    <w:pPr>
      <w:ind w:firstLine="0"/>
    </w:pPr>
  </w:style>
  <w:style w:type="paragraph" w:styleId="ListNumber3">
    <w:name w:val="List Number 3"/>
    <w:basedOn w:val="List3"/>
    <w:rsid w:val="007325F4"/>
    <w:pPr>
      <w:numPr>
        <w:numId w:val="4"/>
      </w:numPr>
    </w:pPr>
  </w:style>
  <w:style w:type="paragraph" w:styleId="ListNumber4">
    <w:name w:val="List Number 4"/>
    <w:basedOn w:val="List4"/>
    <w:rsid w:val="007325F4"/>
    <w:pPr>
      <w:numPr>
        <w:numId w:val="5"/>
      </w:numPr>
    </w:pPr>
  </w:style>
  <w:style w:type="paragraph" w:styleId="ListNumber5">
    <w:name w:val="List Number 5"/>
    <w:basedOn w:val="List5"/>
    <w:rsid w:val="007325F4"/>
    <w:pPr>
      <w:numPr>
        <w:numId w:val="6"/>
      </w:numPr>
    </w:pPr>
  </w:style>
  <w:style w:type="paragraph" w:styleId="BlockText">
    <w:name w:val="Block Text"/>
    <w:basedOn w:val="Normal"/>
    <w:rsid w:val="007325F4"/>
    <w:pPr>
      <w:spacing w:after="120"/>
      <w:ind w:left="1440" w:right="1440"/>
    </w:pPr>
  </w:style>
  <w:style w:type="character" w:customStyle="1" w:styleId="Subscript">
    <w:name w:val="Subscript"/>
    <w:rsid w:val="007325F4"/>
    <w:rPr>
      <w:sz w:val="16"/>
      <w:vertAlign w:val="subscript"/>
    </w:rPr>
  </w:style>
  <w:style w:type="character" w:customStyle="1" w:styleId="Superscript">
    <w:name w:val="Superscript"/>
    <w:rsid w:val="007325F4"/>
    <w:rPr>
      <w:sz w:val="16"/>
      <w:vertAlign w:val="superscript"/>
    </w:rPr>
  </w:style>
  <w:style w:type="character" w:customStyle="1" w:styleId="Symbols">
    <w:name w:val="Symbols"/>
    <w:rsid w:val="007325F4"/>
    <w:rPr>
      <w:rFonts w:ascii="Symbol" w:hAnsi="Symbol"/>
    </w:rPr>
  </w:style>
  <w:style w:type="character" w:customStyle="1" w:styleId="MenuOptions">
    <w:name w:val="Menu Options"/>
    <w:rsid w:val="007325F4"/>
    <w:rPr>
      <w:rFonts w:ascii="Arial Narrow" w:hAnsi="Arial Narrow"/>
      <w:smallCaps/>
    </w:rPr>
  </w:style>
  <w:style w:type="character" w:customStyle="1" w:styleId="Buttons">
    <w:name w:val="Buttons"/>
    <w:rsid w:val="007325F4"/>
    <w:rPr>
      <w:b/>
    </w:rPr>
  </w:style>
  <w:style w:type="character" w:customStyle="1" w:styleId="Underlined">
    <w:name w:val="Underlined"/>
    <w:rsid w:val="007325F4"/>
    <w:rPr>
      <w:u w:val="single"/>
    </w:rPr>
  </w:style>
  <w:style w:type="paragraph" w:customStyle="1" w:styleId="TableBodyTextRight">
    <w:name w:val="Table Body Text Right"/>
    <w:basedOn w:val="TableBodyText"/>
    <w:rsid w:val="007325F4"/>
    <w:pPr>
      <w:widowControl w:val="0"/>
      <w:autoSpaceDE w:val="0"/>
      <w:autoSpaceDN w:val="0"/>
      <w:adjustRightInd w:val="0"/>
      <w:jc w:val="right"/>
    </w:pPr>
    <w:rPr>
      <w:rFonts w:cs="Arial"/>
      <w:szCs w:val="18"/>
    </w:rPr>
  </w:style>
  <w:style w:type="paragraph" w:customStyle="1" w:styleId="CopyrightText">
    <w:name w:val="Copyright Text"/>
    <w:basedOn w:val="BodyText"/>
    <w:rsid w:val="007325F4"/>
    <w:rPr>
      <w:sz w:val="18"/>
    </w:rPr>
  </w:style>
  <w:style w:type="paragraph" w:customStyle="1" w:styleId="BodySmallRight">
    <w:name w:val="Body Small Right"/>
    <w:basedOn w:val="BodyTextRight"/>
    <w:rsid w:val="007325F4"/>
    <w:rPr>
      <w:sz w:val="18"/>
      <w:szCs w:val="18"/>
    </w:rPr>
  </w:style>
  <w:style w:type="paragraph" w:customStyle="1" w:styleId="MarginEdition">
    <w:name w:val="Margin Edition"/>
    <w:basedOn w:val="MarginNote"/>
    <w:rsid w:val="007325F4"/>
    <w:pPr>
      <w:spacing w:before="0" w:after="0"/>
    </w:pPr>
    <w:rPr>
      <w:rFonts w:ascii="Times New Roman" w:hAnsi="Times New Roman"/>
      <w:color w:val="999999"/>
    </w:rPr>
  </w:style>
  <w:style w:type="paragraph" w:customStyle="1" w:styleId="Spacer">
    <w:name w:val="Spacer"/>
    <w:basedOn w:val="Normal"/>
    <w:rsid w:val="007325F4"/>
    <w:rPr>
      <w:sz w:val="2"/>
      <w:szCs w:val="2"/>
    </w:rPr>
  </w:style>
  <w:style w:type="character" w:customStyle="1" w:styleId="Small">
    <w:name w:val="Small"/>
    <w:rsid w:val="007325F4"/>
    <w:rPr>
      <w:sz w:val="16"/>
    </w:rPr>
  </w:style>
  <w:style w:type="paragraph" w:customStyle="1" w:styleId="WideTable">
    <w:name w:val="Wide Table"/>
    <w:basedOn w:val="Normal"/>
    <w:rsid w:val="007325F4"/>
    <w:pPr>
      <w:ind w:left="-1418"/>
    </w:pPr>
    <w:rPr>
      <w:sz w:val="2"/>
      <w:szCs w:val="2"/>
    </w:rPr>
  </w:style>
  <w:style w:type="character" w:styleId="PageNumber">
    <w:name w:val="page number"/>
    <w:rsid w:val="007325F4"/>
  </w:style>
  <w:style w:type="paragraph" w:styleId="Quote">
    <w:name w:val="Quote"/>
    <w:basedOn w:val="Heading1"/>
    <w:link w:val="QuoteChar"/>
    <w:qFormat/>
    <w:rsid w:val="007325F4"/>
    <w:rPr>
      <w:b w:val="0"/>
      <w:sz w:val="72"/>
      <w:szCs w:val="72"/>
      <w:lang w:val="en-NZ"/>
    </w:rPr>
  </w:style>
  <w:style w:type="character" w:customStyle="1" w:styleId="QuoteChar">
    <w:name w:val="Quote Char"/>
    <w:link w:val="Quote"/>
    <w:rsid w:val="00732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5F4"/>
    <w:pPr>
      <w:pageBreakBefore/>
    </w:pPr>
  </w:style>
  <w:style w:type="paragraph" w:customStyle="1" w:styleId="Border">
    <w:name w:val="Border"/>
    <w:basedOn w:val="Normal"/>
    <w:qFormat/>
    <w:rsid w:val="007325F4"/>
    <w:pPr>
      <w:pBdr>
        <w:top w:val="single" w:sz="18" w:space="1" w:color="auto"/>
      </w:pBdr>
    </w:pPr>
    <w:rPr>
      <w:rFonts w:ascii="Times New Roman" w:hAnsi="Times New Roman"/>
      <w:color w:val="FFFFFF"/>
      <w:sz w:val="2"/>
    </w:rPr>
  </w:style>
  <w:style w:type="character" w:styleId="IntenseEmphasis">
    <w:name w:val="Intense Emphasis"/>
    <w:uiPriority w:val="21"/>
    <w:qFormat/>
    <w:rsid w:val="007325F4"/>
    <w:rPr>
      <w:b/>
      <w:bCs/>
      <w:i/>
      <w:iCs/>
      <w:color w:val="auto"/>
    </w:rPr>
  </w:style>
  <w:style w:type="paragraph" w:styleId="IntenseQuote">
    <w:name w:val="Intense Quote"/>
    <w:basedOn w:val="Normal"/>
    <w:next w:val="Normal"/>
    <w:link w:val="IntenseQuoteChar"/>
    <w:uiPriority w:val="30"/>
    <w:qFormat/>
    <w:rsid w:val="007325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25F4"/>
    <w:rPr>
      <w:rFonts w:ascii="Courier New" w:eastAsia="Times New Roman" w:hAnsi="Courier New" w:cs="Times New Roman"/>
      <w:b/>
      <w:bCs/>
      <w:i/>
      <w:iCs/>
      <w:szCs w:val="20"/>
      <w:lang w:val="en-US" w:eastAsia="en-US"/>
    </w:rPr>
  </w:style>
  <w:style w:type="character" w:styleId="SubtleReference">
    <w:name w:val="Subtle Reference"/>
    <w:uiPriority w:val="31"/>
    <w:qFormat/>
    <w:rsid w:val="007325F4"/>
    <w:rPr>
      <w:smallCaps/>
      <w:color w:val="auto"/>
      <w:u w:val="single"/>
    </w:rPr>
  </w:style>
  <w:style w:type="character" w:styleId="IntenseReference">
    <w:name w:val="Intense Reference"/>
    <w:uiPriority w:val="32"/>
    <w:qFormat/>
    <w:rsid w:val="007325F4"/>
    <w:rPr>
      <w:b/>
      <w:bCs/>
      <w:smallCaps/>
      <w:color w:val="auto"/>
      <w:spacing w:val="5"/>
      <w:u w:val="single"/>
    </w:rPr>
  </w:style>
  <w:style w:type="paragraph" w:customStyle="1" w:styleId="2ColumnHeading">
    <w:name w:val="2Column Heading"/>
    <w:basedOn w:val="BodyText"/>
    <w:qFormat/>
    <w:rsid w:val="007325F4"/>
    <w:pPr>
      <w:spacing w:after="60"/>
      <w:ind w:left="-2268"/>
    </w:pPr>
    <w:rPr>
      <w:b/>
    </w:rPr>
  </w:style>
  <w:style w:type="paragraph" w:customStyle="1" w:styleId="Heading1TOC">
    <w:name w:val="Heading1 TOC"/>
    <w:basedOn w:val="Normal"/>
    <w:qFormat/>
    <w:rsid w:val="007325F4"/>
    <w:pPr>
      <w:spacing w:before="240" w:after="120"/>
    </w:pPr>
    <w:rPr>
      <w:rFonts w:ascii="Times New Roman" w:hAnsi="Times New Roman"/>
      <w:b/>
      <w:sz w:val="32"/>
    </w:rPr>
  </w:style>
  <w:style w:type="paragraph" w:customStyle="1" w:styleId="Heading2TOC">
    <w:name w:val="Heading2 TOC"/>
    <w:basedOn w:val="Normal"/>
    <w:qFormat/>
    <w:rsid w:val="007325F4"/>
    <w:pPr>
      <w:spacing w:before="240" w:after="60"/>
    </w:pPr>
    <w:rPr>
      <w:rFonts w:ascii="Times New Roman" w:hAnsi="Times New Roman"/>
      <w:b/>
      <w:sz w:val="28"/>
    </w:rPr>
  </w:style>
  <w:style w:type="character" w:customStyle="1" w:styleId="Underline">
    <w:name w:val="Underline"/>
    <w:qFormat/>
    <w:rsid w:val="007325F4"/>
    <w:rPr>
      <w:u w:val="single"/>
    </w:rPr>
  </w:style>
  <w:style w:type="character" w:customStyle="1" w:styleId="BoldandItalics">
    <w:name w:val="Bold and Italics"/>
    <w:qFormat/>
    <w:rsid w:val="007325F4"/>
    <w:rPr>
      <w:b/>
      <w:i/>
      <w:u w:val="none"/>
    </w:rPr>
  </w:style>
  <w:style w:type="paragraph" w:styleId="BalloonText">
    <w:name w:val="Balloon Text"/>
    <w:basedOn w:val="Normal"/>
    <w:link w:val="BalloonTextChar"/>
    <w:rsid w:val="007325F4"/>
    <w:rPr>
      <w:rFonts w:ascii="Tahoma" w:hAnsi="Tahoma" w:cs="Tahoma"/>
      <w:sz w:val="16"/>
      <w:szCs w:val="16"/>
    </w:rPr>
  </w:style>
  <w:style w:type="character" w:customStyle="1" w:styleId="BalloonTextChar">
    <w:name w:val="Balloon Text Char"/>
    <w:link w:val="BalloonText"/>
    <w:rsid w:val="007325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5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25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1057</Words>
  <Characters>6955</Characters>
  <Application>Microsoft Office Word</Application>
  <DocSecurity>0</DocSecurity>
  <Lines>252</Lines>
  <Paragraphs>120</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MEM18063B Terminate signal and data cables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2012-05-27T01:56:00Z</dcterms:created>
  <dcterms:modified xsi:type="dcterms:W3CDTF">2012-05-27T01:56:00Z</dcterms:modified>
</cp:coreProperties>
</file>