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175F" w:rsidP="0056175F">
      <w:pPr>
        <w:pStyle w:val="Title"/>
      </w:pPr>
      <w:r>
        <w:fldChar w:fldCharType="begin"/>
      </w:r>
      <w:r>
        <w:instrText xml:space="preserve"> TITLE   \* MERGEFORMAT </w:instrText>
      </w:r>
      <w:r>
        <w:fldChar w:fldCharType="separate"/>
      </w:r>
      <w:r>
        <w:t>MEM18055B Dismantle, replace and assemble engineering components</w:t>
      </w:r>
      <w:r>
        <w:fldChar w:fldCharType="end"/>
      </w:r>
    </w:p>
    <w:p w:rsidR="0056175F" w:rsidP="0056175F">
      <w:pPr>
        <w:pStyle w:val="Version"/>
        <w:sectPr w:rsidSect="00BF26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269A" w:rsidP="00BF269A">
      <w:pPr>
        <w:pStyle w:val="SuperHeading"/>
      </w:pPr>
      <w:r w:rsidRPr="00BF269A">
        <w:t>MEM18055B Dismantle, replace and assemble engineering components</w:t>
      </w:r>
    </w:p>
    <w:p w:rsidR="00000000" w:rsidRPr="00BF269A" w:rsidP="00BF269A">
      <w:pPr>
        <w:pStyle w:val="Heading1"/>
      </w:pPr>
      <w:bookmarkStart w:id="1" w:name="O_272276"/>
      <w:bookmarkEnd w:id="1"/>
      <w:r w:rsidRPr="00BF269A">
        <w:t>Modification History</w:t>
      </w:r>
    </w:p>
    <w:p w:rsidR="00000000" w:rsidRPr="00BF269A" w:rsidP="00BF269A">
      <w:pPr>
        <w:pStyle w:val="BodyText"/>
      </w:pPr>
      <w:r w:rsidRPr="00BF269A">
        <w:t>Not Applicable</w:t>
      </w:r>
    </w:p>
    <w:p w:rsidR="00000000" w:rsidRPr="00BF269A" w:rsidP="00BF269A">
      <w:pPr>
        <w:pStyle w:val="AllowPageBreak"/>
      </w:pPr>
    </w:p>
    <w:p w:rsidR="00000000" w:rsidRPr="00BF269A" w:rsidP="00BF269A">
      <w:pPr>
        <w:pStyle w:val="Heading1"/>
      </w:pPr>
      <w:bookmarkStart w:id="2" w:name="O_212370"/>
      <w:bookmarkEnd w:id="2"/>
      <w:r w:rsidRPr="00BF269A">
        <w:t>Unit Descriptor</w:t>
      </w:r>
    </w:p>
    <w:tbl>
      <w:tblPr>
        <w:tblW w:w="0" w:type="auto"/>
        <w:tblLayout w:type="fixed"/>
        <w:tblCellMar>
          <w:left w:w="62" w:type="dxa"/>
          <w:right w:w="62" w:type="dxa"/>
        </w:tblCellMar>
        <w:tblLook w:val="0000"/>
      </w:tblPr>
      <w:tblGrid>
        <w:gridCol w:w="2667"/>
        <w:gridCol w:w="5855"/>
      </w:tblGrid>
      <w:tr w:rsidTr="0056175F">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69A" w:rsidP="00BF269A">
            <w:pPr>
              <w:pStyle w:val="BodyText"/>
            </w:pPr>
            <w:r w:rsidRPr="00BF269A">
              <w:t xml:space="preserve">This unit covers dismantling and identifying faulty components, selecting </w:t>
            </w:r>
            <w:r w:rsidRPr="00BF269A">
              <w:t>replacements, and assembling engineering components into assemblies or sub-assemblies in accordance with standard operating procedures.</w:t>
            </w:r>
          </w:p>
        </w:tc>
      </w:tr>
    </w:tbl>
    <w:p w:rsidR="0056175F" w:rsidP="00BF269A">
      <w:pPr>
        <w:pStyle w:val="BodyText"/>
      </w:pPr>
    </w:p>
    <w:p w:rsidR="0056175F" w:rsidP="00BF269A">
      <w:pPr>
        <w:pStyle w:val="BodyText"/>
      </w:pPr>
    </w:p>
    <w:p w:rsidR="00000000" w:rsidRPr="00BF269A" w:rsidP="00BF269A">
      <w:pPr>
        <w:pStyle w:val="Heading1"/>
      </w:pPr>
      <w:bookmarkStart w:id="3" w:name="O_212374"/>
      <w:bookmarkEnd w:id="3"/>
      <w:r w:rsidRPr="00BF269A">
        <w:t>Application of the Unit</w:t>
      </w:r>
    </w:p>
    <w:tbl>
      <w:tblPr>
        <w:tblW w:w="0" w:type="auto"/>
        <w:tblLayout w:type="fixed"/>
        <w:tblCellMar>
          <w:left w:w="62" w:type="dxa"/>
          <w:right w:w="62" w:type="dxa"/>
        </w:tblCellMar>
        <w:tblLook w:val="0000"/>
      </w:tblPr>
      <w:tblGrid>
        <w:gridCol w:w="2745"/>
        <w:gridCol w:w="5777"/>
      </w:tblGrid>
      <w:tr w:rsidTr="0056175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69A" w:rsidP="00BF269A">
            <w:pPr>
              <w:pStyle w:val="BodyText"/>
            </w:pPr>
            <w:r w:rsidRPr="00BF269A">
              <w:t>This unit involves dismantling, checking, replacing and assembling engineering components in accordance with standard operating procedures.</w:t>
            </w:r>
          </w:p>
          <w:p w:rsidR="00000000" w:rsidRPr="00BF269A" w:rsidP="00BF269A">
            <w:pPr>
              <w:pStyle w:val="BodyText"/>
            </w:pPr>
            <w:r w:rsidRPr="00BF269A">
              <w:t>All specifications are interpreted from manufacturers' manuals, engineering drawings, detailed/technical sketches an</w:t>
            </w:r>
            <w:r w:rsidRPr="00BF269A">
              <w:t xml:space="preserve">d associated data sheets. Tasks are undertaken utilising engineering principles, designated procedures, appropriate tools, equipment and safe workshop practices. </w:t>
            </w:r>
          </w:p>
          <w:p w:rsidR="00000000" w:rsidRPr="00BF269A" w:rsidP="00BF269A">
            <w:pPr>
              <w:pStyle w:val="BodyText"/>
            </w:pPr>
            <w:r w:rsidRPr="00BF269A">
              <w:t>Work is undertaken autonomously or in a team environment using predetermined standards of qua</w:t>
            </w:r>
            <w:r w:rsidRPr="00BF269A">
              <w:t>lity, safety and workshop procedures.</w:t>
            </w:r>
          </w:p>
          <w:p w:rsidR="00000000" w:rsidRPr="00BF269A" w:rsidP="00BF269A">
            <w:pPr>
              <w:pStyle w:val="BodyText"/>
            </w:pPr>
            <w:r w:rsidRPr="00BF269A">
              <w:t>Where fitting techniques and principles are required to assess component condition, and/or modify components to achieve precision fits, unit MEM18006C (Repair and fit engineering components) should also be selected.</w:t>
            </w:r>
          </w:p>
          <w:p w:rsidR="00000000" w:rsidRPr="00BF269A" w:rsidP="00BF269A">
            <w:pPr>
              <w:pStyle w:val="BodyText"/>
            </w:pPr>
            <w:r w:rsidRPr="00BF269A">
              <w:t>Wh</w:t>
            </w:r>
            <w:r w:rsidRPr="00BF269A">
              <w:t>ere precision mechanical measurement is required, then Unit MEM12003B (Perform precision mechanical measurement) should also be selected.</w:t>
            </w:r>
          </w:p>
          <w:p w:rsidR="00000000" w:rsidRPr="00BF269A" w:rsidP="00BF269A">
            <w:pPr>
              <w:pStyle w:val="BodyText"/>
            </w:pPr>
          </w:p>
          <w:p w:rsidR="00000000" w:rsidRPr="00BF269A" w:rsidP="00BF269A">
            <w:pPr>
              <w:pStyle w:val="BodyText"/>
            </w:pPr>
            <w:r w:rsidRPr="00BF269A">
              <w:rPr>
                <w:rStyle w:val="SpecialBold"/>
              </w:rPr>
              <w:t>Band</w:t>
            </w:r>
            <w:r w:rsidRPr="00BF269A">
              <w:t>:</w:t>
            </w:r>
            <w:r w:rsidRPr="00BF269A">
              <w:tab/>
            </w:r>
            <w:r w:rsidRPr="00BF269A">
              <w:rPr>
                <w:rStyle w:val="SpecialBold"/>
              </w:rPr>
              <w:t>A</w:t>
            </w:r>
          </w:p>
          <w:p w:rsidR="00000000" w:rsidRPr="00BF269A" w:rsidP="00BF269A">
            <w:pPr>
              <w:pStyle w:val="BodyText"/>
            </w:pPr>
            <w:r w:rsidRPr="00BF269A">
              <w:rPr>
                <w:rStyle w:val="SpecialBold"/>
              </w:rPr>
              <w:t>Unit Weight</w:t>
            </w:r>
            <w:r w:rsidRPr="00BF269A">
              <w:t>:</w:t>
            </w:r>
            <w:r w:rsidRPr="00BF269A">
              <w:tab/>
            </w:r>
            <w:r w:rsidRPr="00BF269A">
              <w:rPr>
                <w:rStyle w:val="SpecialBold"/>
              </w:rPr>
              <w:t>3</w:t>
            </w:r>
          </w:p>
        </w:tc>
      </w:tr>
    </w:tbl>
    <w:p w:rsidR="0056175F" w:rsidP="00BF269A">
      <w:pPr>
        <w:pStyle w:val="BodyText"/>
      </w:pPr>
    </w:p>
    <w:p w:rsidR="0056175F" w:rsidP="00BF269A">
      <w:pPr>
        <w:pStyle w:val="BodyText"/>
      </w:pPr>
    </w:p>
    <w:p w:rsidR="00000000" w:rsidRPr="00BF269A" w:rsidP="00BF269A">
      <w:pPr>
        <w:pStyle w:val="Heading1"/>
      </w:pPr>
      <w:bookmarkStart w:id="4" w:name="O_280536"/>
      <w:bookmarkEnd w:id="4"/>
      <w:r w:rsidRPr="00BF269A">
        <w:t>Licensing/Regulatory Information</w:t>
      </w:r>
    </w:p>
    <w:p w:rsidR="00000000" w:rsidRPr="00BF269A" w:rsidP="00BF269A">
      <w:pPr>
        <w:pStyle w:val="BodyText"/>
      </w:pPr>
      <w:r w:rsidRPr="00BF269A">
        <w:t>Not Applicable</w:t>
      </w:r>
    </w:p>
    <w:p w:rsidR="00000000" w:rsidRPr="00BF269A" w:rsidP="00BF269A">
      <w:pPr>
        <w:pStyle w:val="AllowPageBreak"/>
      </w:pPr>
    </w:p>
    <w:p w:rsidR="00000000" w:rsidRPr="00BF269A" w:rsidP="00BF269A">
      <w:pPr>
        <w:pStyle w:val="Heading1"/>
      </w:pPr>
      <w:bookmarkStart w:id="5" w:name="O_212372"/>
      <w:bookmarkEnd w:id="5"/>
      <w:r w:rsidRPr="00BF269A">
        <w:t>Pre-Requisites</w:t>
      </w:r>
    </w:p>
    <w:tbl>
      <w:tblPr>
        <w:tblW w:w="0" w:type="auto"/>
        <w:tblLayout w:type="fixed"/>
        <w:tblCellMar>
          <w:left w:w="62" w:type="dxa"/>
          <w:right w:w="62" w:type="dxa"/>
        </w:tblCellMar>
        <w:tblLook w:val="0000"/>
      </w:tblPr>
      <w:tblGrid>
        <w:gridCol w:w="2712"/>
        <w:gridCol w:w="2207"/>
        <w:gridCol w:w="3603"/>
      </w:tblGrid>
      <w:tr w:rsidTr="0056175F">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p>
        </w:tc>
      </w:tr>
      <w:tr w:rsidTr="0056175F">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rPr>
                <w:rStyle w:val="SpecialBold"/>
              </w:rPr>
              <w:t>Path 1</w:t>
            </w:r>
            <w:r w:rsidRPr="00BF269A">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t>MEM09002B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t>Interpret technical drawing</w:t>
            </w:r>
          </w:p>
        </w:tc>
      </w:tr>
      <w:tr w:rsidTr="0056175F">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t>MEM12023A</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t>Perform engineering measurements</w:t>
            </w:r>
          </w:p>
        </w:tc>
      </w:tr>
      <w:tr w:rsidTr="0056175F">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t>MEM18001C</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t>Use hand tools</w:t>
            </w:r>
          </w:p>
        </w:tc>
      </w:tr>
      <w:tr w:rsidTr="0056175F">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t>MEM18002B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69A" w:rsidP="00BF269A">
            <w:pPr>
              <w:pStyle w:val="BodyText"/>
            </w:pPr>
            <w:r w:rsidRPr="00BF269A">
              <w:t>Use power tools/hand held operations</w:t>
            </w:r>
          </w:p>
        </w:tc>
      </w:tr>
    </w:tbl>
    <w:p w:rsidR="0056175F" w:rsidP="00BF269A">
      <w:pPr>
        <w:pStyle w:val="BodyText"/>
      </w:pPr>
    </w:p>
    <w:p w:rsidR="0056175F" w:rsidP="00BF269A">
      <w:pPr>
        <w:pStyle w:val="BodyText"/>
      </w:pPr>
    </w:p>
    <w:p w:rsidR="00000000" w:rsidRPr="00BF269A" w:rsidP="00BF269A">
      <w:pPr>
        <w:pStyle w:val="Heading1"/>
      </w:pPr>
      <w:bookmarkStart w:id="6" w:name="O_212371"/>
      <w:bookmarkEnd w:id="6"/>
      <w:r w:rsidRPr="00BF269A">
        <w:t>Employability Skills Information</w:t>
      </w:r>
    </w:p>
    <w:tbl>
      <w:tblPr>
        <w:tblW w:w="0" w:type="auto"/>
        <w:tblLayout w:type="fixed"/>
        <w:tblCellMar>
          <w:left w:w="62" w:type="dxa"/>
          <w:right w:w="62" w:type="dxa"/>
        </w:tblCellMar>
        <w:tblLook w:val="0000"/>
      </w:tblPr>
      <w:tblGrid>
        <w:gridCol w:w="2802"/>
        <w:gridCol w:w="5720"/>
      </w:tblGrid>
      <w:tr w:rsidTr="0056175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69A" w:rsidP="00BF269A">
            <w:pPr>
              <w:pStyle w:val="BodyText"/>
            </w:pPr>
            <w:r w:rsidRPr="00BF269A">
              <w:t>This unit contains employability skills.</w:t>
            </w:r>
          </w:p>
        </w:tc>
      </w:tr>
    </w:tbl>
    <w:p w:rsidR="0056175F" w:rsidP="00BF269A">
      <w:pPr>
        <w:pStyle w:val="BodyText"/>
      </w:pPr>
    </w:p>
    <w:p w:rsidR="0056175F" w:rsidP="00BF269A">
      <w:pPr>
        <w:pStyle w:val="BodyText"/>
      </w:pPr>
    </w:p>
    <w:p w:rsidR="00000000" w:rsidRPr="00BF269A" w:rsidP="00BF269A">
      <w:pPr>
        <w:pStyle w:val="Heading1"/>
      </w:pPr>
      <w:bookmarkStart w:id="7" w:name="O_290322"/>
      <w:bookmarkEnd w:id="7"/>
      <w:r w:rsidRPr="00BF269A">
        <w:t>Elements and Performance Criteria Pre-Content</w:t>
      </w:r>
    </w:p>
    <w:tbl>
      <w:tblPr>
        <w:tblW w:w="0" w:type="auto"/>
        <w:tblLayout w:type="fixed"/>
        <w:tblCellMar>
          <w:left w:w="62" w:type="dxa"/>
          <w:right w:w="62" w:type="dxa"/>
        </w:tblCellMar>
        <w:tblLook w:val="0000"/>
      </w:tblPr>
      <w:tblGrid>
        <w:gridCol w:w="2559"/>
        <w:gridCol w:w="5963"/>
      </w:tblGrid>
      <w:tr w:rsidTr="0056175F">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69A" w:rsidP="00BF269A">
            <w:pPr>
              <w:pStyle w:val="BodyText"/>
            </w:pPr>
            <w:r w:rsidRPr="00BF269A">
              <w:t>Performance criteria describe the performance needed to demonstrate achievement of the element. Where bold italicised text is used, further information is detailed in the required skills and knowledge section and the range statement. Assessment of performa</w:t>
            </w:r>
            <w:r w:rsidRPr="00BF269A">
              <w:t>nce is to be consistent with the evidence guide.</w:t>
            </w:r>
          </w:p>
        </w:tc>
      </w:tr>
    </w:tbl>
    <w:p w:rsidR="00000000" w:rsidRPr="00BF269A" w:rsidP="00BF269A">
      <w:pPr>
        <w:pStyle w:val="BodyText"/>
      </w:pPr>
    </w:p>
    <w:p w:rsidR="00000000" w:rsidRPr="00BF269A" w:rsidP="00BF269A">
      <w:pPr>
        <w:pStyle w:val="AllowPageBreak"/>
      </w:pPr>
    </w:p>
    <w:p w:rsidR="00000000" w:rsidRPr="00BF269A" w:rsidP="00BF269A">
      <w:pPr>
        <w:pStyle w:val="Heading1"/>
      </w:pPr>
      <w:bookmarkStart w:id="8" w:name="O_236989"/>
      <w:bookmarkEnd w:id="8"/>
      <w:r w:rsidRPr="00BF269A">
        <w:t>Elements and Performance Criteria</w:t>
      </w:r>
    </w:p>
    <w:tbl>
      <w:tblPr>
        <w:tblW w:w="0" w:type="auto"/>
        <w:tblLayout w:type="fixed"/>
        <w:tblCellMar>
          <w:left w:w="62" w:type="dxa"/>
          <w:right w:w="62" w:type="dxa"/>
        </w:tblCellMar>
        <w:tblLook w:val="0000"/>
      </w:tblPr>
      <w:tblGrid>
        <w:gridCol w:w="2559"/>
        <w:gridCol w:w="5963"/>
      </w:tblGrid>
      <w:tr w:rsidTr="0056175F">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69A" w:rsidP="00BF269A">
            <w:pPr>
              <w:pStyle w:val="BodyText"/>
            </w:pPr>
            <w:r w:rsidRPr="00BF269A">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rPr>
                <w:rStyle w:val="SpecialBold"/>
              </w:rPr>
              <w:t>PERFORMANCE CRITERIA</w:t>
            </w:r>
          </w:p>
        </w:tc>
      </w:tr>
      <w:tr w:rsidTr="0056175F">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List"/>
              <w:rPr>
                <w:lang w:val="en-NZ"/>
              </w:rPr>
            </w:pPr>
            <w:r w:rsidRPr="00BF269A">
              <w:t>1.</w:t>
            </w:r>
            <w:r w:rsidRPr="00BF269A">
              <w:tab/>
              <w:t>Dismantle engineering components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69A" w:rsidP="00BF269A">
            <w:pPr>
              <w:pStyle w:val="List2"/>
            </w:pPr>
            <w:r w:rsidRPr="00BF269A">
              <w:t>1.1.</w:t>
            </w:r>
            <w:r w:rsidRPr="00BF269A">
              <w:tab/>
              <w:t>Engineering components are inspected and task requirements are analysed.</w:t>
            </w:r>
          </w:p>
          <w:p w:rsidR="00000000" w:rsidRPr="00BF269A" w:rsidP="00BF269A">
            <w:pPr>
              <w:pStyle w:val="List2"/>
            </w:pPr>
            <w:r w:rsidRPr="00BF269A">
              <w:t>1.2.</w:t>
            </w:r>
            <w:r w:rsidRPr="00BF269A">
              <w:tab/>
            </w:r>
            <w:r w:rsidRPr="00BF269A">
              <w:t>Appropriate tools and equipment are selected and component/s are prepared for dismantling.</w:t>
            </w:r>
          </w:p>
          <w:p w:rsidR="00000000" w:rsidRPr="00BF269A" w:rsidP="00BF269A">
            <w:pPr>
              <w:pStyle w:val="List2"/>
            </w:pPr>
            <w:r w:rsidRPr="00BF269A">
              <w:t>1.3.</w:t>
            </w:r>
            <w:r w:rsidRPr="00BF269A">
              <w:tab/>
              <w:t>Component is dismantled using standard operating procedures, tools and equipment.</w:t>
            </w:r>
          </w:p>
          <w:p w:rsidR="00000000" w:rsidP="00BF269A">
            <w:pPr>
              <w:pStyle w:val="List2"/>
              <w:rPr>
                <w:lang w:val="en-NZ"/>
              </w:rPr>
            </w:pPr>
            <w:r w:rsidRPr="00BF269A">
              <w:t>1.4.</w:t>
            </w:r>
            <w:r w:rsidRPr="00BF269A">
              <w:tab/>
              <w:t>Engineering components are clearly marked to aid reassembly.</w:t>
            </w:r>
          </w:p>
        </w:tc>
      </w:tr>
      <w:tr w:rsidTr="0056175F">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List"/>
              <w:rPr>
                <w:lang w:val="en-NZ"/>
              </w:rPr>
            </w:pPr>
            <w:r w:rsidRPr="00BF269A">
              <w:t>2.</w:t>
            </w:r>
            <w:r w:rsidRPr="00BF269A">
              <w:tab/>
              <w:t>Identify</w:t>
            </w:r>
            <w:r w:rsidRPr="00BF269A">
              <w:t xml:space="preserve"> faulty components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69A" w:rsidP="00BF269A">
            <w:pPr>
              <w:pStyle w:val="List2"/>
            </w:pPr>
            <w:r w:rsidRPr="00BF269A">
              <w:t>2.1.</w:t>
            </w:r>
            <w:r w:rsidRPr="00BF269A">
              <w:tab/>
              <w:t>Specifications for components are obtained from appropriate source and are interpreted and understood.</w:t>
            </w:r>
          </w:p>
          <w:p w:rsidR="00000000" w:rsidRPr="00BF269A" w:rsidP="00BF269A">
            <w:pPr>
              <w:pStyle w:val="List2"/>
            </w:pPr>
            <w:r w:rsidRPr="00BF269A">
              <w:t>2.2.</w:t>
            </w:r>
            <w:r w:rsidRPr="00BF269A">
              <w:tab/>
              <w:t>Damaged or faulty components are assessed against specifications according to standard operating procedures.</w:t>
            </w:r>
          </w:p>
          <w:p w:rsidR="00000000" w:rsidP="00BF269A">
            <w:pPr>
              <w:pStyle w:val="List2"/>
              <w:rPr>
                <w:lang w:val="en-NZ"/>
              </w:rPr>
            </w:pPr>
            <w:r w:rsidRPr="00BF269A">
              <w:t>2.3.</w:t>
            </w:r>
            <w:r w:rsidRPr="00BF269A">
              <w:tab/>
              <w:t>Faulty com</w:t>
            </w:r>
            <w:r w:rsidRPr="00BF269A">
              <w:t>ponents are identified for repair, replacement or adjustment according to standard operating procedures.</w:t>
            </w:r>
          </w:p>
        </w:tc>
      </w:tr>
      <w:tr w:rsidTr="0056175F">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List"/>
              <w:rPr>
                <w:lang w:val="en-NZ"/>
              </w:rPr>
            </w:pPr>
            <w:r w:rsidRPr="00BF269A">
              <w:t>3.</w:t>
            </w:r>
            <w:r w:rsidRPr="00BF269A">
              <w:tab/>
              <w:t>Select replacement components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List2"/>
              <w:rPr>
                <w:lang w:val="en-NZ"/>
              </w:rPr>
            </w:pPr>
            <w:r w:rsidRPr="00BF269A">
              <w:t>3.1.</w:t>
            </w:r>
            <w:r w:rsidRPr="00BF269A">
              <w:tab/>
              <w:t xml:space="preserve">Where applicable, replacement and/or repaired parts are selected for reassembly according to standard operating </w:t>
            </w:r>
            <w:r w:rsidRPr="00BF269A">
              <w:t xml:space="preserve">procedures. </w:t>
            </w:r>
          </w:p>
        </w:tc>
      </w:tr>
      <w:tr w:rsidTr="0056175F">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List"/>
              <w:rPr>
                <w:lang w:val="en-NZ"/>
              </w:rPr>
            </w:pPr>
            <w:r w:rsidRPr="00BF269A">
              <w:t>4.</w:t>
            </w:r>
            <w:r w:rsidRPr="00BF269A">
              <w:tab/>
              <w:t>Assemble engineering components into assemblies or sub-assemblies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69A" w:rsidP="00BF269A">
            <w:pPr>
              <w:pStyle w:val="List2"/>
            </w:pPr>
            <w:r w:rsidRPr="00BF269A">
              <w:t>4.1.</w:t>
            </w:r>
            <w:r w:rsidRPr="00BF269A">
              <w:tab/>
              <w:t xml:space="preserve">Appropriate techniques are applied in the preparation, assembly and adjustment of components using fastening equipment </w:t>
            </w:r>
            <w:r w:rsidRPr="00BF269A">
              <w:t>and methods which ensure conformance to specifications, operational performance, quality and safety of the completed assembly according to standard operating procedures.</w:t>
            </w:r>
          </w:p>
          <w:p w:rsidR="00000000" w:rsidRPr="00BF269A" w:rsidP="00BF269A">
            <w:pPr>
              <w:pStyle w:val="List2"/>
            </w:pPr>
            <w:r w:rsidRPr="00BF269A">
              <w:t>4.2.</w:t>
            </w:r>
            <w:r w:rsidRPr="00BF269A">
              <w:tab/>
              <w:t>Correct lubrication, packing, sealing materials are selected and applied correctl</w:t>
            </w:r>
            <w:r w:rsidRPr="00BF269A">
              <w:t>y in conformance to job specifications.</w:t>
            </w:r>
          </w:p>
          <w:p w:rsidR="00000000" w:rsidRPr="00BF269A" w:rsidP="00BF269A">
            <w:pPr>
              <w:pStyle w:val="List2"/>
            </w:pPr>
            <w:r w:rsidRPr="00BF269A">
              <w:t>4.3.</w:t>
            </w:r>
            <w:r w:rsidRPr="00BF269A">
              <w:tab/>
              <w:t>Final component assembly is inspected, tested and adjusted as necessary for compliance with operational specifications and returned to use according to standard operating procedures.</w:t>
            </w:r>
          </w:p>
        </w:tc>
      </w:tr>
    </w:tbl>
    <w:p w:rsidR="0056175F" w:rsidP="00BF269A">
      <w:pPr>
        <w:pStyle w:val="BodyText"/>
      </w:pPr>
    </w:p>
    <w:p w:rsidR="0056175F" w:rsidP="00BF269A">
      <w:pPr>
        <w:pStyle w:val="BodyText"/>
      </w:pPr>
    </w:p>
    <w:p w:rsidR="00000000" w:rsidRPr="00BF269A" w:rsidP="00BF269A">
      <w:pPr>
        <w:pStyle w:val="Heading1"/>
      </w:pPr>
      <w:bookmarkStart w:id="9" w:name="O_260939"/>
      <w:bookmarkEnd w:id="9"/>
      <w:r w:rsidRPr="00BF269A">
        <w:t>Required Skills and Knowledge</w:t>
      </w:r>
    </w:p>
    <w:tbl>
      <w:tblPr>
        <w:tblW w:w="0" w:type="auto"/>
        <w:tblLayout w:type="fixed"/>
        <w:tblCellMar>
          <w:left w:w="62" w:type="dxa"/>
          <w:right w:w="62" w:type="dxa"/>
        </w:tblCellMar>
        <w:tblLook w:val="0000"/>
      </w:tblPr>
      <w:tblGrid>
        <w:gridCol w:w="8522"/>
      </w:tblGrid>
      <w:tr w:rsidTr="0056175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269A">
            <w:pPr>
              <w:pStyle w:val="BodyText"/>
              <w:rPr>
                <w:lang w:val="en-NZ"/>
              </w:rPr>
            </w:pPr>
            <w:r w:rsidRPr="00BF269A">
              <w:rPr>
                <w:rStyle w:val="SpecialBold"/>
              </w:rPr>
              <w:t>REQUIRED SKILLS AND KNOWLEDGE</w:t>
            </w:r>
          </w:p>
        </w:tc>
      </w:tr>
      <w:tr w:rsidTr="0056175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t>This section describes the skills and knowledge required for this unit.</w:t>
            </w:r>
          </w:p>
        </w:tc>
      </w:tr>
      <w:tr w:rsidTr="005617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rPr>
                <w:rStyle w:val="SpecialBold"/>
              </w:rPr>
              <w:t>Required skills</w:t>
            </w:r>
          </w:p>
        </w:tc>
      </w:tr>
      <w:tr w:rsidTr="005617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69A" w:rsidP="00BF269A">
            <w:pPr>
              <w:pStyle w:val="BodyText"/>
            </w:pPr>
            <w:r w:rsidRPr="00BF269A">
              <w:t>Look for evidence that confirms skills in:</w:t>
            </w:r>
          </w:p>
          <w:p w:rsidR="00000000" w:rsidRPr="00BF269A" w:rsidP="00BF269A">
            <w:pPr>
              <w:pStyle w:val="ListBullet"/>
            </w:pPr>
            <w:r w:rsidRPr="00BF269A">
              <w:t>obtaining and interpreting all relevant instructions, standard operating procedures, drawings and specifications</w:t>
            </w:r>
          </w:p>
          <w:p w:rsidR="00000000" w:rsidRPr="00BF269A" w:rsidP="00BF269A">
            <w:pPr>
              <w:pStyle w:val="ListBullet"/>
            </w:pPr>
            <w:r w:rsidRPr="00BF269A">
              <w:t xml:space="preserve">preparing component for dismantling </w:t>
            </w:r>
          </w:p>
          <w:p w:rsidR="00000000" w:rsidRPr="00BF269A" w:rsidP="00BF269A">
            <w:pPr>
              <w:pStyle w:val="ListBullet"/>
            </w:pPr>
            <w:r w:rsidRPr="00BF269A">
              <w:t xml:space="preserve">dismantling components using appropriate techniques, tools and equipment </w:t>
            </w:r>
          </w:p>
          <w:p w:rsidR="00000000" w:rsidRPr="00BF269A" w:rsidP="00BF269A">
            <w:pPr>
              <w:pStyle w:val="ListBullet"/>
            </w:pPr>
            <w:r w:rsidRPr="00BF269A">
              <w:t>marking component parts appropri</w:t>
            </w:r>
            <w:r w:rsidRPr="00BF269A">
              <w:t xml:space="preserve">ately for identification purposes </w:t>
            </w:r>
          </w:p>
          <w:p w:rsidR="00000000" w:rsidRPr="00BF269A" w:rsidP="00BF269A">
            <w:pPr>
              <w:pStyle w:val="ListBullet"/>
            </w:pPr>
            <w:r w:rsidRPr="00BF269A">
              <w:t>checking components visually and dimensionally for conformance to specification</w:t>
            </w:r>
          </w:p>
          <w:p w:rsidR="00000000" w:rsidRPr="00BF269A" w:rsidP="00BF269A">
            <w:pPr>
              <w:pStyle w:val="ListBullet"/>
            </w:pPr>
            <w:r w:rsidRPr="00BF269A">
              <w:t xml:space="preserve">where appropriate, marking faulty parts for repair, replacement or adjustment </w:t>
            </w:r>
          </w:p>
          <w:p w:rsidR="00000000" w:rsidRPr="00BF269A" w:rsidP="00BF269A">
            <w:pPr>
              <w:pStyle w:val="ListBullet"/>
            </w:pPr>
            <w:r w:rsidRPr="00BF269A">
              <w:t>selecting and confirming replacement parts to specifications</w:t>
            </w:r>
          </w:p>
          <w:p w:rsidR="00000000" w:rsidRPr="00BF269A" w:rsidP="00BF269A">
            <w:pPr>
              <w:pStyle w:val="ListBullet"/>
            </w:pPr>
            <w:r w:rsidRPr="00BF269A">
              <w:t>o</w:t>
            </w:r>
            <w:r w:rsidRPr="00BF269A">
              <w:t>btaining and using all relevant supplier catalogues</w:t>
            </w:r>
          </w:p>
          <w:p w:rsidR="00000000" w:rsidRPr="00BF269A" w:rsidP="00BF269A">
            <w:pPr>
              <w:pStyle w:val="ListBullet"/>
            </w:pPr>
            <w:r w:rsidRPr="00BF269A">
              <w:t>preparing and assembling components using appropriate techniques in accordance with standard operating procedures</w:t>
            </w:r>
          </w:p>
          <w:p w:rsidR="00000000" w:rsidRPr="00BF269A" w:rsidP="00BF269A">
            <w:pPr>
              <w:pStyle w:val="ListBullet"/>
            </w:pPr>
            <w:r w:rsidRPr="00BF269A">
              <w:t>where appropriate, applying lubricants correctly to the assembly in accordance with specif</w:t>
            </w:r>
            <w:r w:rsidRPr="00BF269A">
              <w:t xml:space="preserve">ications and standard operating procedures </w:t>
            </w:r>
          </w:p>
          <w:p w:rsidR="00000000" w:rsidRPr="00BF269A" w:rsidP="00BF269A">
            <w:pPr>
              <w:pStyle w:val="ListBullet"/>
            </w:pPr>
            <w:r w:rsidRPr="00BF269A">
              <w:t>where appropriate, applying packing and/or sealing materials in accordance with specifications and standard operating procedures</w:t>
            </w:r>
          </w:p>
          <w:p w:rsidR="00000000" w:rsidRPr="00BF269A" w:rsidP="00BF269A">
            <w:pPr>
              <w:pStyle w:val="ListBullet"/>
            </w:pPr>
            <w:r w:rsidRPr="00BF269A">
              <w:t xml:space="preserve">inspecting and checking the final assembly for conformance to specification </w:t>
            </w:r>
          </w:p>
          <w:p w:rsidR="00000000" w:rsidP="00BF269A">
            <w:pPr>
              <w:pStyle w:val="ListBullet"/>
              <w:rPr>
                <w:lang w:val="en-NZ"/>
              </w:rPr>
            </w:pPr>
            <w:r w:rsidRPr="00BF269A">
              <w:t xml:space="preserve">where </w:t>
            </w:r>
            <w:r w:rsidRPr="00BF269A">
              <w:t>appropriate, returning the final assembly to use</w:t>
            </w:r>
          </w:p>
        </w:tc>
      </w:tr>
      <w:tr w:rsidTr="005617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rPr>
                <w:rStyle w:val="SpecialBold"/>
              </w:rPr>
              <w:t>Required knowledge</w:t>
            </w:r>
          </w:p>
        </w:tc>
      </w:tr>
      <w:tr w:rsidTr="005617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69A" w:rsidP="00BF269A">
            <w:pPr>
              <w:pStyle w:val="BodyText"/>
            </w:pPr>
            <w:r w:rsidRPr="00BF269A">
              <w:t>Look for evidence that confirms knowledge of:</w:t>
            </w:r>
          </w:p>
          <w:p w:rsidR="00000000" w:rsidRPr="00BF269A" w:rsidP="00BF269A">
            <w:pPr>
              <w:pStyle w:val="ListBullet"/>
            </w:pPr>
            <w:r w:rsidRPr="00BF269A">
              <w:t>tasks to be performed in accordance with standard operating procedures</w:t>
            </w:r>
          </w:p>
          <w:p w:rsidR="00000000" w:rsidRPr="00BF269A" w:rsidP="00BF269A">
            <w:pPr>
              <w:pStyle w:val="ListBullet"/>
            </w:pPr>
            <w:r w:rsidRPr="00BF269A">
              <w:t>procedures for dismantling the assembly</w:t>
            </w:r>
          </w:p>
          <w:p w:rsidR="00000000" w:rsidRPr="00BF269A" w:rsidP="00BF269A">
            <w:pPr>
              <w:pStyle w:val="ListBullet"/>
            </w:pPr>
            <w:r w:rsidRPr="00BF269A">
              <w:t>tools and equipment to be used to dismantle the components</w:t>
            </w:r>
          </w:p>
          <w:p w:rsidR="00000000" w:rsidRPr="00BF269A" w:rsidP="00BF269A">
            <w:pPr>
              <w:pStyle w:val="ListBullet"/>
            </w:pPr>
            <w:r w:rsidRPr="00BF269A">
              <w:t>procedures and required equipment for checking components for conformance to specification</w:t>
            </w:r>
          </w:p>
          <w:p w:rsidR="00000000" w:rsidRPr="00BF269A" w:rsidP="00BF269A">
            <w:pPr>
              <w:pStyle w:val="ListBullet"/>
            </w:pPr>
            <w:r w:rsidRPr="00BF269A">
              <w:t xml:space="preserve">specifications of the components to be replaced </w:t>
            </w:r>
          </w:p>
          <w:p w:rsidR="00000000" w:rsidRPr="00BF269A" w:rsidP="00BF269A">
            <w:pPr>
              <w:pStyle w:val="ListBullet"/>
            </w:pPr>
            <w:r w:rsidRPr="00BF269A">
              <w:t>features and/or dimensions upon which replacement parts a</w:t>
            </w:r>
            <w:r w:rsidRPr="00BF269A">
              <w:t>re to be selected</w:t>
            </w:r>
          </w:p>
          <w:p w:rsidR="00000000" w:rsidRPr="00BF269A" w:rsidP="00BF269A">
            <w:pPr>
              <w:pStyle w:val="ListBullet"/>
            </w:pPr>
            <w:r w:rsidRPr="00BF269A">
              <w:t>process of identifying replacement parts from "third party" suppliers' catalogues</w:t>
            </w:r>
          </w:p>
          <w:p w:rsidR="00000000" w:rsidRPr="00BF269A" w:rsidP="00BF269A">
            <w:pPr>
              <w:pStyle w:val="ListBullet"/>
            </w:pPr>
            <w:r w:rsidRPr="00BF269A">
              <w:t>procedures for assembling components</w:t>
            </w:r>
          </w:p>
          <w:p w:rsidR="00000000" w:rsidRPr="00BF269A" w:rsidP="00BF269A">
            <w:pPr>
              <w:pStyle w:val="ListBullet"/>
            </w:pPr>
            <w:r w:rsidRPr="00BF269A">
              <w:t>requirements of the assembly in terms of specifications, operational performance, quality and safety</w:t>
            </w:r>
          </w:p>
          <w:p w:rsidR="00000000" w:rsidRPr="00BF269A" w:rsidP="00BF269A">
            <w:pPr>
              <w:pStyle w:val="ListBullet"/>
            </w:pPr>
            <w:r w:rsidRPr="00BF269A">
              <w:t>procedures for lub</w:t>
            </w:r>
            <w:r w:rsidRPr="00BF269A">
              <w:t xml:space="preserve">ricating the assembly </w:t>
            </w:r>
          </w:p>
          <w:p w:rsidR="00000000" w:rsidRPr="00BF269A" w:rsidP="00BF269A">
            <w:pPr>
              <w:pStyle w:val="ListBullet"/>
            </w:pPr>
            <w:r w:rsidRPr="00BF269A">
              <w:t xml:space="preserve">materials </w:t>
            </w:r>
          </w:p>
          <w:p w:rsidR="00000000" w:rsidRPr="00BF269A" w:rsidP="00BF269A">
            <w:pPr>
              <w:pStyle w:val="ListBullet"/>
            </w:pPr>
            <w:r w:rsidRPr="00BF269A">
              <w:t xml:space="preserve">checks to be undertaken during inspection of the final assembly </w:t>
            </w:r>
          </w:p>
          <w:p w:rsidR="00000000" w:rsidRPr="00BF269A" w:rsidP="00BF269A">
            <w:pPr>
              <w:pStyle w:val="ListBullet"/>
            </w:pPr>
            <w:r w:rsidRPr="00BF269A">
              <w:t>procedures for returning components/assemblies into use</w:t>
            </w:r>
          </w:p>
          <w:p w:rsidR="00000000" w:rsidRPr="00BF269A" w:rsidP="00BF269A">
            <w:pPr>
              <w:pStyle w:val="ListBullet"/>
            </w:pPr>
            <w:r w:rsidRPr="00BF269A">
              <w:t>hazards and control measures associated with dismantling, replacing and assembling engineering components, including housekeeping</w:t>
            </w:r>
          </w:p>
          <w:p w:rsidR="00000000" w:rsidRPr="00BF269A" w:rsidP="00BF269A">
            <w:pPr>
              <w:pStyle w:val="ListBullet"/>
            </w:pPr>
            <w:r w:rsidRPr="00BF269A">
              <w:t>safe work practices and procedures</w:t>
            </w:r>
          </w:p>
        </w:tc>
      </w:tr>
    </w:tbl>
    <w:p w:rsidR="0056175F" w:rsidP="00BF269A">
      <w:pPr>
        <w:pStyle w:val="BodyText"/>
      </w:pPr>
    </w:p>
    <w:p w:rsidR="0056175F" w:rsidP="00BF269A">
      <w:pPr>
        <w:pStyle w:val="BodyText"/>
      </w:pPr>
    </w:p>
    <w:p w:rsidR="00000000" w:rsidRPr="00BF269A" w:rsidP="00BF269A">
      <w:pPr>
        <w:pStyle w:val="AllowPageBreak"/>
      </w:pPr>
    </w:p>
    <w:p w:rsidR="00000000" w:rsidRPr="00BF269A" w:rsidP="00BF269A">
      <w:pPr>
        <w:pStyle w:val="Heading1"/>
      </w:pPr>
      <w:bookmarkStart w:id="10" w:name="O_244973"/>
      <w:bookmarkEnd w:id="10"/>
      <w:r w:rsidRPr="00BF269A">
        <w:t>Evidence Guide</w:t>
      </w:r>
    </w:p>
    <w:tbl>
      <w:tblPr>
        <w:tblW w:w="9570" w:type="dxa"/>
        <w:tblLayout w:type="fixed"/>
        <w:tblCellMar>
          <w:left w:w="62" w:type="dxa"/>
          <w:right w:w="62" w:type="dxa"/>
        </w:tblCellMar>
        <w:tblLook w:val="0000"/>
      </w:tblPr>
      <w:tblGrid>
        <w:gridCol w:w="3908"/>
        <w:gridCol w:w="5662"/>
      </w:tblGrid>
      <w:tr w:rsidTr="0056175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rPr>
                <w:rStyle w:val="SpecialBold"/>
              </w:rPr>
              <w:t>EVIDENCE GUIDE</w:t>
            </w:r>
          </w:p>
        </w:tc>
      </w:tr>
      <w:tr w:rsidTr="0056175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t>The evidence guide provides advice on assessment and must be read in conjunction with the performance criteria, required skills and knowledge, range statement and the Assessment Guidelines for the Training Package.</w:t>
            </w:r>
          </w:p>
        </w:tc>
      </w:tr>
      <w:tr w:rsidTr="005617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t>A person who demonstrates competency in this unit must be able to dismantle, replace and assemble engineering components. Competency in this unit cannot be claimed until all prerequisites have been satisfied.</w:t>
            </w:r>
          </w:p>
        </w:tc>
      </w:tr>
      <w:tr w:rsidTr="005617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rPr>
                <w:rStyle w:val="SpecialBold"/>
              </w:rPr>
              <w:t>Critical aspects for assessment and evidence r</w:t>
            </w:r>
            <w:r w:rsidRPr="00BF269A">
              <w:rPr>
                <w:rStyle w:val="SpecialBold"/>
              </w:rPr>
              <w:t>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t>Assessors must be satisfied that the candidate can competently and consistently perform all elements of the unit as specified by the criteria, including required knowledge, and be capable of applying the compe</w:t>
            </w:r>
            <w:r w:rsidRPr="00BF269A">
              <w:t>tency in new and different situations and contexts.</w:t>
            </w:r>
          </w:p>
        </w:tc>
      </w:tr>
      <w:tr w:rsidTr="005617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69A" w:rsidP="00BF269A">
            <w:pPr>
              <w:pStyle w:val="BodyText"/>
            </w:pPr>
            <w:r w:rsidRPr="00BF269A">
              <w:t xml:space="preserve">This unit may be assessed on the job, off the job or a combination of both on and off the job. Where assessment occurs off the job, that is the candidate </w:t>
            </w:r>
            <w:r w:rsidRPr="00BF269A">
              <w:t>is not in productive work, then an appropriate simulation must be used where the range of conditions reflects realistic workplace situations. The competencies covered by this unit would be demonstrated by an individual working alone or as part of a team. T</w:t>
            </w:r>
            <w:r w:rsidRPr="00BF269A">
              <w:t xml:space="preserve">he assessment environment should not disadvantage the candidate. </w:t>
            </w:r>
          </w:p>
          <w:p w:rsidR="00000000" w:rsidP="00BF269A">
            <w:pPr>
              <w:pStyle w:val="BodyText"/>
              <w:rPr>
                <w:lang w:val="en-NZ"/>
              </w:rPr>
            </w:pPr>
            <w:r w:rsidRPr="00BF269A">
              <w:t>This unit could be assessed in conjunction with any other units addressing the safety, quality, communication, materials handling, recording and reporting associated with dismantling, replac</w:t>
            </w:r>
            <w:r w:rsidRPr="00BF269A">
              <w:t>ing and assembling engineering components or other units requiring the exercise of the skills and knowledge covered by this unit.</w:t>
            </w:r>
          </w:p>
        </w:tc>
      </w:tr>
      <w:tr w:rsidTr="005617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t>Assessors should gather a range of evidence that is valid, sufficient, current and authentic. Evidence c</w:t>
            </w:r>
            <w:r w:rsidRPr="00BF269A">
              <w:t>an be gathered through a variety of ways including direct observation, supervisor's reports, project work, samples and questioning. Questioning techniques should not require language, literacy and numeracy skills beyond those required in this unit of compe</w:t>
            </w:r>
            <w:r w:rsidRPr="00BF269A">
              <w:t>tency. The candidate must have access to all tools, equipment, materials and documentation required. The candidate must be permitted to refer to any relevant workplace procedures, product and manufacturing specifications, codes, standards, manuals and refe</w:t>
            </w:r>
            <w:r w:rsidRPr="00BF269A">
              <w:t>rence materials.</w:t>
            </w:r>
          </w:p>
        </w:tc>
      </w:tr>
      <w:tr w:rsidTr="005617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69A" w:rsidP="00BF269A">
            <w:pPr>
              <w:pStyle w:val="BodyText"/>
            </w:pPr>
          </w:p>
        </w:tc>
      </w:tr>
    </w:tbl>
    <w:p w:rsidR="0056175F" w:rsidP="00BF269A">
      <w:pPr>
        <w:pStyle w:val="BodyText"/>
      </w:pPr>
    </w:p>
    <w:p w:rsidR="0056175F" w:rsidP="00BF269A">
      <w:pPr>
        <w:pStyle w:val="BodyText"/>
      </w:pPr>
    </w:p>
    <w:p w:rsidR="00000000" w:rsidRPr="00BF269A" w:rsidP="00BF269A">
      <w:pPr>
        <w:pStyle w:val="Heading1"/>
      </w:pPr>
      <w:bookmarkStart w:id="11" w:name="O_252956"/>
      <w:bookmarkEnd w:id="11"/>
      <w:r w:rsidRPr="00BF269A">
        <w:t>Range Statement</w:t>
      </w:r>
    </w:p>
    <w:tbl>
      <w:tblPr>
        <w:tblW w:w="0" w:type="auto"/>
        <w:tblLayout w:type="fixed"/>
        <w:tblCellMar>
          <w:left w:w="62" w:type="dxa"/>
          <w:right w:w="62" w:type="dxa"/>
        </w:tblCellMar>
        <w:tblLook w:val="0000"/>
      </w:tblPr>
      <w:tblGrid>
        <w:gridCol w:w="3516"/>
        <w:gridCol w:w="5006"/>
      </w:tblGrid>
      <w:tr w:rsidTr="0056175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rPr>
                <w:rStyle w:val="SpecialBold"/>
              </w:rPr>
              <w:t>RANGE STATEMENT</w:t>
            </w:r>
          </w:p>
        </w:tc>
      </w:tr>
      <w:tr w:rsidTr="005617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t xml:space="preserve">The range statement relates to the unit of competency as a whole. It allows for different work environments and situations that may affect </w:t>
            </w:r>
            <w:r w:rsidRPr="00BF269A">
              <w:t>performance. Bold italicised wording, if used in the performance criteria, is detailed below. Essential operating conditions that may be present with training and assessment (depending on the work situation, needs of the candidate, accessibility of the ite</w:t>
            </w:r>
            <w:r w:rsidRPr="00BF269A">
              <w:t>m, and local industry and regional contexts) may also be included.</w:t>
            </w:r>
          </w:p>
        </w:tc>
      </w:tr>
      <w:tr w:rsidTr="0056175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rPr>
                <w:rStyle w:val="SpecialBold"/>
              </w:rPr>
              <w:t>Engineering components</w:t>
            </w:r>
            <w:r w:rsidRPr="00BF269A">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t>Includes a range of component parts found in equipment or product assemblies, sub-assemblies, e.g. couplings, universal joints, pumps etc. employing shafts, pre-ma</w:t>
            </w:r>
            <w:r w:rsidRPr="00BF269A">
              <w:t>nufactured bearings and seals, lubricants, fasteners, gaskets etc.</w:t>
            </w:r>
          </w:p>
        </w:tc>
      </w:tr>
      <w:tr w:rsidTr="0056175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rPr>
                <w:rStyle w:val="SpecialBold"/>
              </w:rPr>
              <w:t>Appropriate tools and equipment</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t>Includes a range of hand and power tools, bearing pullers, special purpose dismantling and assembly tools etc.</w:t>
            </w:r>
          </w:p>
        </w:tc>
      </w:tr>
      <w:tr w:rsidTr="0056175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rPr>
                <w:rStyle w:val="SpecialBold"/>
              </w:rPr>
              <w:t>Selected</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t>Replacement parts are selected from manufacturers' catalogues, etc.</w:t>
            </w:r>
          </w:p>
        </w:tc>
      </w:tr>
      <w:tr w:rsidTr="0056175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rPr>
                <w:rStyle w:val="SpecialBold"/>
              </w:rPr>
              <w:t>Appropriate techniques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69A" w:rsidP="00BF269A">
            <w:pPr>
              <w:pStyle w:val="BodyText"/>
            </w:pPr>
            <w:r w:rsidRPr="00BF269A">
              <w:t>Are in accordance with standard operating procedures and may include the straightforward removal and replacement of pre-manufactured bearings and seals</w:t>
            </w:r>
          </w:p>
        </w:tc>
      </w:tr>
    </w:tbl>
    <w:p w:rsidR="0056175F" w:rsidP="00BF269A">
      <w:pPr>
        <w:pStyle w:val="BodyText"/>
      </w:pPr>
    </w:p>
    <w:p w:rsidR="0056175F" w:rsidP="00BF269A">
      <w:pPr>
        <w:pStyle w:val="BodyText"/>
      </w:pPr>
    </w:p>
    <w:p w:rsidR="00000000" w:rsidRPr="00BF269A" w:rsidP="00BF269A">
      <w:pPr>
        <w:pStyle w:val="Heading1"/>
      </w:pPr>
      <w:bookmarkStart w:id="12" w:name="O_212376"/>
      <w:bookmarkEnd w:id="12"/>
      <w:r w:rsidRPr="00BF269A">
        <w:t>Unit Sector(s)</w:t>
      </w:r>
    </w:p>
    <w:tbl>
      <w:tblPr>
        <w:tblW w:w="0" w:type="auto"/>
        <w:tblLayout w:type="fixed"/>
        <w:tblCellMar>
          <w:left w:w="62" w:type="dxa"/>
          <w:right w:w="62" w:type="dxa"/>
        </w:tblCellMar>
        <w:tblLook w:val="0000"/>
      </w:tblPr>
      <w:tblGrid>
        <w:gridCol w:w="2654"/>
        <w:gridCol w:w="5868"/>
      </w:tblGrid>
      <w:tr w:rsidTr="0056175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69A" w:rsidP="00BF269A">
            <w:pPr>
              <w:pStyle w:val="BodyText"/>
            </w:pPr>
          </w:p>
        </w:tc>
      </w:tr>
    </w:tbl>
    <w:p w:rsidR="0056175F" w:rsidP="00BF269A">
      <w:pPr>
        <w:pStyle w:val="BodyText"/>
      </w:pPr>
    </w:p>
    <w:p w:rsidR="0056175F" w:rsidP="00BF269A">
      <w:pPr>
        <w:pStyle w:val="BodyText"/>
      </w:pPr>
    </w:p>
    <w:p w:rsidR="00000000" w:rsidRPr="00BF269A" w:rsidP="00BF269A">
      <w:pPr>
        <w:pStyle w:val="Heading1"/>
      </w:pPr>
      <w:bookmarkStart w:id="13" w:name="O_212373"/>
      <w:bookmarkEnd w:id="13"/>
      <w:r w:rsidRPr="00BF269A">
        <w:t>Co-requisite units</w:t>
      </w:r>
    </w:p>
    <w:tbl>
      <w:tblPr>
        <w:tblW w:w="0" w:type="auto"/>
        <w:tblLayout w:type="fixed"/>
        <w:tblCellMar>
          <w:left w:w="62" w:type="dxa"/>
          <w:right w:w="62" w:type="dxa"/>
        </w:tblCellMar>
        <w:tblLook w:val="0000"/>
      </w:tblPr>
      <w:tblGrid>
        <w:gridCol w:w="2641"/>
        <w:gridCol w:w="1322"/>
        <w:gridCol w:w="4559"/>
      </w:tblGrid>
      <w:tr w:rsidTr="0056175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617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p>
        </w:tc>
      </w:tr>
      <w:tr w:rsidTr="005617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69A" w:rsidP="00BF269A">
            <w:pPr>
              <w:pStyle w:val="BodyText"/>
            </w:pPr>
          </w:p>
        </w:tc>
      </w:tr>
    </w:tbl>
    <w:p w:rsidR="0056175F" w:rsidP="00BF269A">
      <w:pPr>
        <w:pStyle w:val="BodyText"/>
      </w:pPr>
    </w:p>
    <w:p w:rsidR="0056175F" w:rsidP="00BF269A">
      <w:pPr>
        <w:pStyle w:val="BodyText"/>
      </w:pPr>
    </w:p>
    <w:p w:rsidR="00000000" w:rsidRPr="00BF269A" w:rsidP="00BF269A">
      <w:pPr>
        <w:pStyle w:val="Heading1"/>
      </w:pPr>
      <w:bookmarkStart w:id="14" w:name="O_212375"/>
      <w:bookmarkEnd w:id="14"/>
      <w:r w:rsidRPr="00BF269A">
        <w:t>Competency field</w:t>
      </w:r>
    </w:p>
    <w:tbl>
      <w:tblPr>
        <w:tblW w:w="0" w:type="auto"/>
        <w:tblLayout w:type="fixed"/>
        <w:tblCellMar>
          <w:left w:w="62" w:type="dxa"/>
          <w:right w:w="62" w:type="dxa"/>
        </w:tblCellMar>
        <w:tblLook w:val="0000"/>
      </w:tblPr>
      <w:tblGrid>
        <w:gridCol w:w="2775"/>
        <w:gridCol w:w="5747"/>
      </w:tblGrid>
      <w:tr w:rsidTr="0056175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69A">
            <w:pPr>
              <w:pStyle w:val="BodyText"/>
              <w:rPr>
                <w:lang w:val="en-NZ"/>
              </w:rPr>
            </w:pPr>
            <w:r w:rsidRPr="00BF269A">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69A" w:rsidP="00BF269A">
            <w:pPr>
              <w:pStyle w:val="BodyText"/>
            </w:pPr>
            <w:r w:rsidRPr="00BF269A">
              <w:t>Maintenance and diagnostics</w:t>
            </w:r>
          </w:p>
        </w:tc>
      </w:tr>
    </w:tbl>
    <w:p w:rsidR="0056175F" w:rsidP="00BF269A">
      <w:pPr>
        <w:pStyle w:val="BodyText"/>
      </w:pPr>
    </w:p>
    <w:p w:rsidR="0056175F" w:rsidP="00BF269A">
      <w:pPr>
        <w:pStyle w:val="BodyText"/>
      </w:pPr>
    </w:p>
    <w:p w:rsidR="00000000" w:rsidRPr="00BF269A" w:rsidP="00BF269A"/>
    <w:sectPr w:rsidSect="00BF26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6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175F" w:rsidP="005617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6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75F" w:rsidP="00BF26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6175F" w:rsidP="00BF26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6175F" w:rsidP="00BF26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6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175F" w:rsidP="0056175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6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75F" w:rsidP="00BF269A">
    <w:pPr>
      <w:pStyle w:val="Header"/>
      <w:framePr w:wrap="around"/>
    </w:pPr>
    <w:r>
      <w:fldChar w:fldCharType="begin"/>
    </w:r>
    <w:r>
      <w:instrText xml:space="preserve"> TITLE   \* MERGEFORMAT </w:instrText>
    </w:r>
    <w:r>
      <w:fldChar w:fldCharType="separate"/>
    </w:r>
    <w:r>
      <w:t>MEM18055B Dismantle, replace and assemble engineering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6175F" w:rsidP="00BF26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8CB1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92C3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6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269A"/>
    <w:pPr>
      <w:spacing w:before="360" w:after="60"/>
      <w:outlineLvl w:val="0"/>
    </w:pPr>
    <w:rPr>
      <w:sz w:val="32"/>
    </w:rPr>
  </w:style>
  <w:style w:type="paragraph" w:styleId="Heading2">
    <w:name w:val="heading 2"/>
    <w:basedOn w:val="HeadingBase"/>
    <w:next w:val="BodyText"/>
    <w:link w:val="Heading2Char"/>
    <w:qFormat/>
    <w:rsid w:val="00BF269A"/>
    <w:pPr>
      <w:keepLines/>
      <w:spacing w:before="240" w:after="120"/>
      <w:outlineLvl w:val="1"/>
    </w:pPr>
    <w:rPr>
      <w:sz w:val="28"/>
      <w:szCs w:val="40"/>
    </w:rPr>
  </w:style>
  <w:style w:type="paragraph" w:styleId="Heading3">
    <w:name w:val="heading 3"/>
    <w:basedOn w:val="HeadingBase"/>
    <w:next w:val="BodyText"/>
    <w:link w:val="Heading3Char"/>
    <w:qFormat/>
    <w:rsid w:val="00BF269A"/>
    <w:pPr>
      <w:spacing w:before="180" w:after="120"/>
      <w:outlineLvl w:val="2"/>
    </w:pPr>
    <w:rPr>
      <w:spacing w:val="-10"/>
      <w:kern w:val="32"/>
    </w:rPr>
  </w:style>
  <w:style w:type="paragraph" w:styleId="Heading4">
    <w:name w:val="heading 4"/>
    <w:basedOn w:val="HeadingBase"/>
    <w:next w:val="BodyText"/>
    <w:link w:val="Heading4Char"/>
    <w:qFormat/>
    <w:rsid w:val="00BF269A"/>
    <w:pPr>
      <w:spacing w:before="160" w:after="120"/>
      <w:outlineLvl w:val="3"/>
    </w:pPr>
    <w:rPr>
      <w:sz w:val="22"/>
    </w:rPr>
  </w:style>
  <w:style w:type="paragraph" w:styleId="Heading5">
    <w:name w:val="heading 5"/>
    <w:basedOn w:val="HeadingBase"/>
    <w:next w:val="Normal"/>
    <w:link w:val="Heading5Char"/>
    <w:qFormat/>
    <w:rsid w:val="00BF269A"/>
    <w:pPr>
      <w:spacing w:before="80"/>
      <w:outlineLvl w:val="4"/>
    </w:pPr>
    <w:rPr>
      <w:color w:val="918585"/>
      <w:sz w:val="20"/>
    </w:rPr>
  </w:style>
  <w:style w:type="paragraph" w:styleId="Heading6">
    <w:name w:val="heading 6"/>
    <w:basedOn w:val="HeadingBase"/>
    <w:next w:val="Normal"/>
    <w:link w:val="Heading6Char"/>
    <w:qFormat/>
    <w:rsid w:val="00BF269A"/>
    <w:pPr>
      <w:spacing w:before="60"/>
      <w:outlineLvl w:val="5"/>
    </w:pPr>
    <w:rPr>
      <w:color w:val="918585"/>
      <w:sz w:val="20"/>
    </w:rPr>
  </w:style>
  <w:style w:type="paragraph" w:styleId="Heading7">
    <w:name w:val="heading 7"/>
    <w:basedOn w:val="Normal"/>
    <w:next w:val="Normal"/>
    <w:link w:val="Heading7Char"/>
    <w:qFormat/>
    <w:rsid w:val="00BF269A"/>
    <w:pPr>
      <w:ind w:left="720"/>
      <w:outlineLvl w:val="6"/>
    </w:pPr>
    <w:rPr>
      <w:i/>
    </w:rPr>
  </w:style>
  <w:style w:type="paragraph" w:styleId="Heading8">
    <w:name w:val="heading 8"/>
    <w:basedOn w:val="Normal"/>
    <w:next w:val="Normal"/>
    <w:link w:val="Heading8Char"/>
    <w:qFormat/>
    <w:rsid w:val="00BF269A"/>
    <w:pPr>
      <w:ind w:left="720"/>
      <w:outlineLvl w:val="7"/>
    </w:pPr>
    <w:rPr>
      <w:i/>
    </w:rPr>
  </w:style>
  <w:style w:type="paragraph" w:styleId="Heading9">
    <w:name w:val="heading 9"/>
    <w:basedOn w:val="Normal"/>
    <w:next w:val="Normal"/>
    <w:link w:val="Heading9Char"/>
    <w:qFormat/>
    <w:rsid w:val="00BF269A"/>
    <w:pPr>
      <w:ind w:left="720"/>
      <w:outlineLvl w:val="8"/>
    </w:pPr>
    <w:rPr>
      <w:i/>
    </w:rPr>
  </w:style>
  <w:style w:type="character" w:default="1" w:styleId="DefaultParagraphFont">
    <w:name w:val="Default Paragraph Font"/>
    <w:uiPriority w:val="1"/>
    <w:unhideWhenUsed/>
    <w:rsid w:val="00BF26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269A"/>
  </w:style>
  <w:style w:type="character" w:customStyle="1" w:styleId="Heading1Char">
    <w:name w:val="Heading 1 Char"/>
    <w:link w:val="Heading1"/>
    <w:rsid w:val="00BF269A"/>
    <w:rPr>
      <w:rFonts w:ascii="Times New Roman" w:eastAsia="Times New Roman" w:hAnsi="Times New Roman" w:cs="Times New Roman"/>
      <w:b/>
      <w:sz w:val="32"/>
      <w:szCs w:val="20"/>
      <w:lang w:eastAsia="en-US"/>
    </w:rPr>
  </w:style>
  <w:style w:type="paragraph" w:styleId="BodyText">
    <w:name w:val="Body Text"/>
    <w:basedOn w:val="Normal"/>
    <w:link w:val="BodyTextChar"/>
    <w:rsid w:val="00BF269A"/>
    <w:pPr>
      <w:spacing w:before="120" w:after="120"/>
      <w:contextualSpacing/>
    </w:pPr>
    <w:rPr>
      <w:rFonts w:ascii="Times New Roman" w:hAnsi="Times New Roman"/>
      <w:sz w:val="24"/>
      <w:szCs w:val="22"/>
    </w:rPr>
  </w:style>
  <w:style w:type="character" w:customStyle="1" w:styleId="BodyTextChar">
    <w:name w:val="Body Text Char"/>
    <w:link w:val="BodyText"/>
    <w:rsid w:val="00BF269A"/>
    <w:rPr>
      <w:rFonts w:ascii="Times New Roman" w:eastAsia="Times New Roman" w:hAnsi="Times New Roman" w:cs="Times New Roman"/>
      <w:sz w:val="24"/>
      <w:lang w:val="en-US" w:eastAsia="en-US"/>
    </w:rPr>
  </w:style>
  <w:style w:type="paragraph" w:styleId="Footer">
    <w:name w:val="footer"/>
    <w:basedOn w:val="Normal"/>
    <w:link w:val="FooterChar"/>
    <w:rsid w:val="00BF26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F269A"/>
    <w:rPr>
      <w:rFonts w:ascii="Times New Roman" w:eastAsia="Times New Roman" w:hAnsi="Times New Roman" w:cs="Times New Roman"/>
      <w:sz w:val="16"/>
      <w:lang w:val="en-US" w:eastAsia="en-US"/>
    </w:rPr>
  </w:style>
  <w:style w:type="paragraph" w:styleId="List">
    <w:name w:val="List"/>
    <w:basedOn w:val="BodyText"/>
    <w:next w:val="BodyText"/>
    <w:rsid w:val="00BF269A"/>
    <w:pPr>
      <w:tabs>
        <w:tab w:val="left" w:pos="340"/>
      </w:tabs>
      <w:spacing w:before="60" w:after="60"/>
      <w:ind w:left="340" w:hanging="340"/>
    </w:pPr>
  </w:style>
  <w:style w:type="paragraph" w:styleId="ListBullet">
    <w:name w:val="List Bullet"/>
    <w:basedOn w:val="List"/>
    <w:rsid w:val="00BF269A"/>
    <w:pPr>
      <w:numPr>
        <w:numId w:val="12"/>
      </w:numPr>
      <w:tabs>
        <w:tab w:val="clear" w:pos="340"/>
      </w:tabs>
      <w:spacing w:before="40" w:after="40"/>
    </w:pPr>
  </w:style>
  <w:style w:type="character" w:customStyle="1" w:styleId="SpecialBold">
    <w:name w:val="Special Bold"/>
    <w:rsid w:val="00BF269A"/>
    <w:rPr>
      <w:b/>
      <w:spacing w:val="0"/>
    </w:rPr>
  </w:style>
  <w:style w:type="paragraph" w:styleId="Header">
    <w:name w:val="header"/>
    <w:basedOn w:val="Normal"/>
    <w:link w:val="HeaderChar"/>
    <w:rsid w:val="00BF26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F26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269A"/>
    <w:pPr>
      <w:spacing w:before="240" w:after="120"/>
      <w:outlineLvl w:val="0"/>
    </w:pPr>
    <w:rPr>
      <w:rFonts w:ascii="Times New Roman" w:hAnsi="Times New Roman"/>
      <w:b/>
      <w:sz w:val="28"/>
    </w:rPr>
  </w:style>
  <w:style w:type="paragraph" w:customStyle="1" w:styleId="AllowPageBreak">
    <w:name w:val="AllowPageBreak"/>
    <w:rsid w:val="00BF26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269A"/>
    <w:pPr>
      <w:tabs>
        <w:tab w:val="left" w:pos="680"/>
      </w:tabs>
      <w:spacing w:before="60" w:after="60"/>
      <w:ind w:left="680" w:hanging="340"/>
    </w:pPr>
  </w:style>
  <w:style w:type="character" w:customStyle="1" w:styleId="Heading2Char">
    <w:name w:val="Heading 2 Char"/>
    <w:link w:val="Heading2"/>
    <w:rsid w:val="00BF269A"/>
    <w:rPr>
      <w:rFonts w:ascii="Times New Roman" w:eastAsia="Times New Roman" w:hAnsi="Times New Roman" w:cs="Times New Roman"/>
      <w:b/>
      <w:sz w:val="28"/>
      <w:szCs w:val="40"/>
      <w:lang w:eastAsia="en-US"/>
    </w:rPr>
  </w:style>
  <w:style w:type="character" w:customStyle="1" w:styleId="Heading3Char">
    <w:name w:val="Heading 3 Char"/>
    <w:link w:val="Heading3"/>
    <w:rsid w:val="00BF269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F269A"/>
    <w:rPr>
      <w:rFonts w:ascii="Times New Roman" w:eastAsia="Times New Roman" w:hAnsi="Times New Roman" w:cs="Times New Roman"/>
      <w:b/>
      <w:szCs w:val="20"/>
      <w:lang w:eastAsia="en-US"/>
    </w:rPr>
  </w:style>
  <w:style w:type="character" w:customStyle="1" w:styleId="Heading5Char">
    <w:name w:val="Heading 5 Char"/>
    <w:link w:val="Heading5"/>
    <w:rsid w:val="00BF269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F26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26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26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269A"/>
    <w:rPr>
      <w:rFonts w:ascii="Courier New" w:eastAsia="Times New Roman" w:hAnsi="Courier New" w:cs="Times New Roman"/>
      <w:i/>
      <w:szCs w:val="20"/>
      <w:lang w:val="en-US" w:eastAsia="en-US"/>
    </w:rPr>
  </w:style>
  <w:style w:type="paragraph" w:customStyle="1" w:styleId="HeadingBase">
    <w:name w:val="Heading Base"/>
    <w:rsid w:val="00BF26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269A"/>
    <w:pPr>
      <w:tabs>
        <w:tab w:val="right" w:leader="dot" w:pos="9072"/>
      </w:tabs>
      <w:ind w:left="567"/>
    </w:pPr>
    <w:rPr>
      <w:szCs w:val="22"/>
    </w:rPr>
  </w:style>
  <w:style w:type="paragraph" w:customStyle="1" w:styleId="TOCBase">
    <w:name w:val="TOC Base"/>
    <w:rsid w:val="00BF26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269A"/>
    <w:pPr>
      <w:tabs>
        <w:tab w:val="right" w:leader="dot" w:pos="9072"/>
      </w:tabs>
      <w:spacing w:before="40" w:after="40"/>
      <w:ind w:left="284"/>
    </w:pPr>
    <w:rPr>
      <w:rFonts w:ascii="Times New Roman" w:hAnsi="Times New Roman"/>
    </w:rPr>
  </w:style>
  <w:style w:type="paragraph" w:styleId="TOC1">
    <w:name w:val="toc 1"/>
    <w:basedOn w:val="TOCBase"/>
    <w:next w:val="Normal"/>
    <w:rsid w:val="00BF26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269A"/>
    <w:pPr>
      <w:spacing w:before="5040"/>
      <w:jc w:val="center"/>
    </w:pPr>
    <w:rPr>
      <w:sz w:val="48"/>
      <w:szCs w:val="72"/>
      <w:lang w:val="en-US"/>
    </w:rPr>
  </w:style>
  <w:style w:type="character" w:customStyle="1" w:styleId="TitleChar">
    <w:name w:val="Title Char"/>
    <w:link w:val="Title"/>
    <w:rsid w:val="00BF26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269A"/>
    <w:pPr>
      <w:tabs>
        <w:tab w:val="left" w:pos="3600"/>
        <w:tab w:val="left" w:pos="3958"/>
      </w:tabs>
    </w:pPr>
  </w:style>
  <w:style w:type="paragraph" w:customStyle="1" w:styleId="Note">
    <w:name w:val="Note"/>
    <w:basedOn w:val="BodyText"/>
    <w:rsid w:val="00BF26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269A"/>
    <w:pPr>
      <w:framePr w:wrap="auto" w:hAnchor="text" w:y="6049"/>
    </w:pPr>
    <w:rPr>
      <w:color w:val="000000"/>
      <w:sz w:val="40"/>
    </w:rPr>
  </w:style>
  <w:style w:type="paragraph" w:customStyle="1" w:styleId="TOCTitle">
    <w:name w:val="TOCTitle"/>
    <w:basedOn w:val="Heading1"/>
    <w:rsid w:val="00BF269A"/>
    <w:pPr>
      <w:spacing w:after="240"/>
      <w:jc w:val="center"/>
      <w:outlineLvl w:val="9"/>
    </w:pPr>
    <w:rPr>
      <w:caps/>
    </w:rPr>
  </w:style>
  <w:style w:type="paragraph" w:customStyle="1" w:styleId="Version">
    <w:name w:val="Version"/>
    <w:rsid w:val="00BF26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269A"/>
    <w:pPr>
      <w:numPr>
        <w:numId w:val="13"/>
      </w:numPr>
      <w:tabs>
        <w:tab w:val="clear" w:pos="680"/>
      </w:tabs>
    </w:pPr>
  </w:style>
  <w:style w:type="paragraph" w:styleId="Index1">
    <w:name w:val="index 1"/>
    <w:basedOn w:val="Normal"/>
    <w:next w:val="Normal"/>
    <w:semiHidden/>
    <w:rsid w:val="00BF269A"/>
    <w:pPr>
      <w:keepNext w:val="0"/>
      <w:tabs>
        <w:tab w:val="right" w:pos="4176"/>
      </w:tabs>
      <w:ind w:left="198" w:hanging="198"/>
    </w:pPr>
    <w:rPr>
      <w:rFonts w:ascii="Garamond" w:hAnsi="Garamond"/>
    </w:rPr>
  </w:style>
  <w:style w:type="paragraph" w:styleId="IndexHeading">
    <w:name w:val="index heading"/>
    <w:basedOn w:val="Normal"/>
    <w:next w:val="Index1"/>
    <w:semiHidden/>
    <w:rsid w:val="00BF269A"/>
    <w:pPr>
      <w:spacing w:before="120" w:after="120"/>
    </w:pPr>
    <w:rPr>
      <w:rFonts w:ascii="Arial" w:hAnsi="Arial"/>
      <w:b/>
      <w:color w:val="918585"/>
      <w:sz w:val="24"/>
    </w:rPr>
  </w:style>
  <w:style w:type="paragraph" w:customStyle="1" w:styleId="Chapter">
    <w:name w:val="Chapter"/>
    <w:basedOn w:val="Normal"/>
    <w:rsid w:val="00BF269A"/>
    <w:pPr>
      <w:spacing w:before="240"/>
    </w:pPr>
    <w:rPr>
      <w:rFonts w:ascii="Times New Roman" w:hAnsi="Times New Roman"/>
      <w:smallCaps/>
      <w:spacing w:val="80"/>
      <w:sz w:val="28"/>
    </w:rPr>
  </w:style>
  <w:style w:type="paragraph" w:customStyle="1" w:styleId="InChapter">
    <w:name w:val="InChapter"/>
    <w:basedOn w:val="Heading3"/>
    <w:rsid w:val="00BF269A"/>
    <w:pPr>
      <w:spacing w:after="240"/>
      <w:outlineLvl w:val="9"/>
    </w:pPr>
    <w:rPr>
      <w:noProof/>
    </w:rPr>
  </w:style>
  <w:style w:type="paragraph" w:styleId="Index2">
    <w:name w:val="index 2"/>
    <w:basedOn w:val="Normal"/>
    <w:next w:val="Normal"/>
    <w:semiHidden/>
    <w:rsid w:val="00BF269A"/>
    <w:pPr>
      <w:tabs>
        <w:tab w:val="right" w:pos="4176"/>
      </w:tabs>
      <w:ind w:left="568" w:hanging="284"/>
    </w:pPr>
    <w:rPr>
      <w:rFonts w:ascii="Garamond" w:hAnsi="Garamond"/>
    </w:rPr>
  </w:style>
  <w:style w:type="paragraph" w:customStyle="1" w:styleId="Byline">
    <w:name w:val="Byline"/>
    <w:rsid w:val="00BF26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269A"/>
    <w:pPr>
      <w:tabs>
        <w:tab w:val="clear" w:pos="3600"/>
        <w:tab w:val="clear" w:pos="3958"/>
      </w:tabs>
      <w:jc w:val="right"/>
    </w:pPr>
  </w:style>
  <w:style w:type="character" w:styleId="Emphasis">
    <w:name w:val="Emphasis"/>
    <w:qFormat/>
    <w:rsid w:val="00BF269A"/>
    <w:rPr>
      <w:i/>
    </w:rPr>
  </w:style>
  <w:style w:type="paragraph" w:styleId="Caption">
    <w:name w:val="caption"/>
    <w:basedOn w:val="BodyText"/>
    <w:next w:val="Normal"/>
    <w:qFormat/>
    <w:rsid w:val="00BF269A"/>
    <w:pPr>
      <w:framePr w:w="2268" w:hSpace="181" w:vSpace="181" w:wrap="around" w:vAnchor="text" w:hAnchor="page" w:x="1135" w:y="285" w:anchorLock="1"/>
    </w:pPr>
    <w:rPr>
      <w:i/>
    </w:rPr>
  </w:style>
  <w:style w:type="paragraph" w:customStyle="1" w:styleId="MiniTOCTitle">
    <w:name w:val="MiniTOCTitle"/>
    <w:basedOn w:val="Heading4"/>
    <w:rsid w:val="00BF269A"/>
    <w:pPr>
      <w:spacing w:before="240"/>
      <w:outlineLvl w:val="9"/>
    </w:pPr>
    <w:rPr>
      <w:noProof/>
      <w:sz w:val="24"/>
    </w:rPr>
  </w:style>
  <w:style w:type="paragraph" w:customStyle="1" w:styleId="MiniTOCItem">
    <w:name w:val="MiniTOCItem"/>
    <w:basedOn w:val="ListBullet"/>
    <w:rsid w:val="00BF269A"/>
    <w:pPr>
      <w:numPr>
        <w:numId w:val="0"/>
      </w:numPr>
      <w:tabs>
        <w:tab w:val="right" w:leader="dot" w:pos="6521"/>
      </w:tabs>
      <w:spacing w:before="0" w:after="0"/>
    </w:pPr>
  </w:style>
  <w:style w:type="paragraph" w:customStyle="1" w:styleId="TOFTitle">
    <w:name w:val="TOFTitle"/>
    <w:basedOn w:val="TOCTitle"/>
    <w:rsid w:val="00BF269A"/>
  </w:style>
  <w:style w:type="paragraph" w:styleId="TableofFigures">
    <w:name w:val="table of figures"/>
    <w:basedOn w:val="Normal"/>
    <w:next w:val="Normal"/>
    <w:semiHidden/>
    <w:rsid w:val="00BF269A"/>
    <w:pPr>
      <w:tabs>
        <w:tab w:val="right" w:leader="dot" w:pos="9072"/>
      </w:tabs>
      <w:ind w:left="970" w:hanging="403"/>
    </w:pPr>
    <w:rPr>
      <w:rFonts w:ascii="Times New Roman" w:hAnsi="Times New Roman"/>
      <w:b/>
    </w:rPr>
  </w:style>
  <w:style w:type="paragraph" w:styleId="ListNumber">
    <w:name w:val="List Number"/>
    <w:basedOn w:val="List"/>
    <w:rsid w:val="00BF269A"/>
    <w:pPr>
      <w:numPr>
        <w:numId w:val="10"/>
      </w:numPr>
    </w:pPr>
  </w:style>
  <w:style w:type="character" w:customStyle="1" w:styleId="WingdingSymbols">
    <w:name w:val="Wingding Symbols"/>
    <w:rsid w:val="00BF269A"/>
    <w:rPr>
      <w:rFonts w:ascii="Wingdings" w:hAnsi="Wingdings"/>
    </w:rPr>
  </w:style>
  <w:style w:type="paragraph" w:customStyle="1" w:styleId="TableHeading">
    <w:name w:val="Table Heading"/>
    <w:basedOn w:val="HeadingBase"/>
    <w:rsid w:val="00BF269A"/>
    <w:pPr>
      <w:keepLines/>
      <w:pBdr>
        <w:bottom w:val="single" w:sz="6" w:space="1" w:color="918585"/>
      </w:pBdr>
      <w:spacing w:before="240"/>
    </w:pPr>
  </w:style>
  <w:style w:type="character" w:customStyle="1" w:styleId="HotSpot">
    <w:name w:val="HotSpot"/>
    <w:rsid w:val="00BF269A"/>
    <w:rPr>
      <w:color w:val="0033CC"/>
      <w:u w:val="none"/>
    </w:rPr>
  </w:style>
  <w:style w:type="paragraph" w:customStyle="1" w:styleId="BodyTextRight">
    <w:name w:val="Body Text Right"/>
    <w:basedOn w:val="BodyText"/>
    <w:rsid w:val="00BF269A"/>
    <w:pPr>
      <w:spacing w:before="0" w:after="0"/>
      <w:jc w:val="right"/>
    </w:pPr>
  </w:style>
  <w:style w:type="paragraph" w:styleId="Index3">
    <w:name w:val="index 3"/>
    <w:basedOn w:val="ListNumber2"/>
    <w:next w:val="Normal"/>
    <w:semiHidden/>
    <w:rsid w:val="00BF269A"/>
    <w:pPr>
      <w:numPr>
        <w:numId w:val="0"/>
      </w:numPr>
      <w:tabs>
        <w:tab w:val="right" w:leader="dot" w:pos="4176"/>
      </w:tabs>
    </w:pPr>
  </w:style>
  <w:style w:type="paragraph" w:styleId="ListNumber2">
    <w:name w:val="List Number 2"/>
    <w:basedOn w:val="List2"/>
    <w:rsid w:val="00BF269A"/>
    <w:pPr>
      <w:numPr>
        <w:numId w:val="9"/>
      </w:numPr>
      <w:tabs>
        <w:tab w:val="clear" w:pos="1060"/>
      </w:tabs>
    </w:pPr>
  </w:style>
  <w:style w:type="paragraph" w:customStyle="1" w:styleId="MarginNote">
    <w:name w:val="Margin Note"/>
    <w:basedOn w:val="BodyText"/>
    <w:rsid w:val="00BF26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26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F26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269A"/>
    <w:rPr>
      <w:sz w:val="32"/>
    </w:rPr>
  </w:style>
  <w:style w:type="paragraph" w:customStyle="1" w:styleId="HeadingProcedure">
    <w:name w:val="Heading Procedure"/>
    <w:basedOn w:val="HeadingBase"/>
    <w:next w:val="Normal"/>
    <w:rsid w:val="00BF269A"/>
    <w:pPr>
      <w:tabs>
        <w:tab w:val="left" w:pos="0"/>
      </w:tabs>
      <w:spacing w:before="120" w:after="60"/>
    </w:pPr>
    <w:rPr>
      <w:i/>
      <w:color w:val="918585"/>
      <w:sz w:val="22"/>
    </w:rPr>
  </w:style>
  <w:style w:type="paragraph" w:customStyle="1" w:styleId="TableBodyText">
    <w:name w:val="Table Body Text"/>
    <w:basedOn w:val="BodyText"/>
    <w:rsid w:val="00BF269A"/>
    <w:pPr>
      <w:spacing w:before="60" w:after="60"/>
    </w:pPr>
  </w:style>
  <w:style w:type="paragraph" w:styleId="ListContinue">
    <w:name w:val="List Continue"/>
    <w:basedOn w:val="List"/>
    <w:rsid w:val="00BF269A"/>
    <w:pPr>
      <w:ind w:firstLine="0"/>
    </w:pPr>
  </w:style>
  <w:style w:type="paragraph" w:customStyle="1" w:styleId="ListNote">
    <w:name w:val="List Note"/>
    <w:basedOn w:val="List"/>
    <w:rsid w:val="00BF269A"/>
    <w:pPr>
      <w:pBdr>
        <w:top w:val="single" w:sz="6" w:space="2" w:color="918585"/>
        <w:bottom w:val="single" w:sz="6" w:space="2" w:color="918585"/>
      </w:pBdr>
      <w:tabs>
        <w:tab w:val="left" w:pos="1021"/>
      </w:tabs>
      <w:ind w:firstLine="0"/>
    </w:pPr>
  </w:style>
  <w:style w:type="paragraph" w:customStyle="1" w:styleId="Warning">
    <w:name w:val="Warning"/>
    <w:basedOn w:val="BodyText"/>
    <w:rsid w:val="00BF269A"/>
    <w:pPr>
      <w:shd w:val="clear" w:color="auto" w:fill="D9D9D9"/>
      <w:tabs>
        <w:tab w:val="left" w:pos="992"/>
      </w:tabs>
      <w:ind w:left="119" w:right="119"/>
    </w:pPr>
    <w:rPr>
      <w:sz w:val="20"/>
    </w:rPr>
  </w:style>
  <w:style w:type="paragraph" w:customStyle="1" w:styleId="MarginIcons">
    <w:name w:val="Margin Icons"/>
    <w:basedOn w:val="BodyText"/>
    <w:rsid w:val="00BF269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F269A"/>
    <w:rPr>
      <w:rFonts w:ascii="Courier New" w:hAnsi="Courier New"/>
    </w:rPr>
  </w:style>
  <w:style w:type="paragraph" w:customStyle="1" w:styleId="NoteBullet">
    <w:name w:val="Note Bullet"/>
    <w:basedOn w:val="Note"/>
    <w:rsid w:val="00BF269A"/>
    <w:pPr>
      <w:tabs>
        <w:tab w:val="clear" w:pos="680"/>
      </w:tabs>
      <w:spacing w:before="60" w:after="60"/>
    </w:pPr>
  </w:style>
  <w:style w:type="paragraph" w:customStyle="1" w:styleId="SubHeading2">
    <w:name w:val="SubHeading2"/>
    <w:basedOn w:val="HeadingBase"/>
    <w:rsid w:val="00BF269A"/>
    <w:pPr>
      <w:spacing w:before="240" w:after="60"/>
    </w:pPr>
    <w:rPr>
      <w:sz w:val="20"/>
    </w:rPr>
  </w:style>
  <w:style w:type="paragraph" w:customStyle="1" w:styleId="SubHeading1">
    <w:name w:val="SubHeading1"/>
    <w:basedOn w:val="HeadingBase"/>
    <w:rsid w:val="00BF269A"/>
    <w:pPr>
      <w:spacing w:before="240" w:after="60"/>
    </w:pPr>
    <w:rPr>
      <w:color w:val="918585"/>
      <w:sz w:val="22"/>
    </w:rPr>
  </w:style>
  <w:style w:type="paragraph" w:customStyle="1" w:styleId="SideHeading">
    <w:name w:val="Side Heading"/>
    <w:basedOn w:val="HeadingBase"/>
    <w:rsid w:val="00BF26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269A"/>
    <w:pPr>
      <w:tabs>
        <w:tab w:val="num" w:pos="360"/>
      </w:tabs>
    </w:pPr>
  </w:style>
  <w:style w:type="paragraph" w:styleId="PlainText">
    <w:name w:val="Plain Text"/>
    <w:basedOn w:val="Normal"/>
    <w:link w:val="PlainTextChar"/>
    <w:rsid w:val="00BF269A"/>
    <w:rPr>
      <w:sz w:val="20"/>
    </w:rPr>
  </w:style>
  <w:style w:type="character" w:customStyle="1" w:styleId="PlainTextChar">
    <w:name w:val="Plain Text Char"/>
    <w:basedOn w:val="DefaultParagraphFont"/>
    <w:link w:val="PlainText"/>
    <w:rsid w:val="00BF269A"/>
    <w:rPr>
      <w:rFonts w:ascii="Courier New" w:eastAsia="Times New Roman" w:hAnsi="Courier New" w:cs="Times New Roman"/>
      <w:sz w:val="20"/>
      <w:szCs w:val="20"/>
      <w:lang w:val="en-US" w:eastAsia="en-US"/>
    </w:rPr>
  </w:style>
  <w:style w:type="character" w:customStyle="1" w:styleId="MenuOption">
    <w:name w:val="Menu Option"/>
    <w:rsid w:val="00BF269A"/>
    <w:rPr>
      <w:b/>
      <w:smallCaps/>
    </w:rPr>
  </w:style>
  <w:style w:type="paragraph" w:customStyle="1" w:styleId="TableListNumber">
    <w:name w:val="Table List Number"/>
    <w:basedOn w:val="ListNumber"/>
    <w:rsid w:val="00BF269A"/>
    <w:pPr>
      <w:numPr>
        <w:numId w:val="0"/>
      </w:numPr>
    </w:pPr>
  </w:style>
  <w:style w:type="paragraph" w:styleId="TOC4">
    <w:name w:val="toc 4"/>
    <w:basedOn w:val="TOCBase"/>
    <w:next w:val="Normal"/>
    <w:semiHidden/>
    <w:rsid w:val="00BF269A"/>
    <w:pPr>
      <w:tabs>
        <w:tab w:val="right" w:leader="dot" w:pos="9071"/>
      </w:tabs>
      <w:ind w:left="1701"/>
    </w:pPr>
  </w:style>
  <w:style w:type="paragraph" w:customStyle="1" w:styleId="ListAlpha">
    <w:name w:val="List Alpha"/>
    <w:basedOn w:val="List"/>
    <w:rsid w:val="00BF269A"/>
    <w:pPr>
      <w:numPr>
        <w:numId w:val="8"/>
      </w:numPr>
    </w:pPr>
  </w:style>
  <w:style w:type="paragraph" w:customStyle="1" w:styleId="ListAlpha2">
    <w:name w:val="List Alpha 2"/>
    <w:basedOn w:val="List2"/>
    <w:rsid w:val="00BF269A"/>
    <w:pPr>
      <w:numPr>
        <w:numId w:val="7"/>
      </w:numPr>
    </w:pPr>
  </w:style>
  <w:style w:type="paragraph" w:styleId="List3">
    <w:name w:val="List 3"/>
    <w:basedOn w:val="BodyText"/>
    <w:rsid w:val="00BF269A"/>
    <w:pPr>
      <w:tabs>
        <w:tab w:val="left" w:pos="1021"/>
      </w:tabs>
      <w:spacing w:before="60" w:after="60"/>
      <w:ind w:left="1020" w:hanging="340"/>
    </w:pPr>
  </w:style>
  <w:style w:type="paragraph" w:styleId="List4">
    <w:name w:val="List 4"/>
    <w:basedOn w:val="BodyText"/>
    <w:rsid w:val="00BF269A"/>
    <w:pPr>
      <w:tabs>
        <w:tab w:val="left" w:pos="1361"/>
      </w:tabs>
      <w:spacing w:before="60" w:after="60"/>
      <w:ind w:left="1361" w:hanging="340"/>
    </w:pPr>
  </w:style>
  <w:style w:type="paragraph" w:styleId="List5">
    <w:name w:val="List 5"/>
    <w:basedOn w:val="BodyText"/>
    <w:rsid w:val="00BF269A"/>
    <w:pPr>
      <w:tabs>
        <w:tab w:val="left" w:pos="1701"/>
      </w:tabs>
      <w:spacing w:before="60" w:after="60"/>
      <w:ind w:left="1701" w:hanging="340"/>
    </w:pPr>
  </w:style>
  <w:style w:type="paragraph" w:styleId="ListBullet3">
    <w:name w:val="List Bullet 3"/>
    <w:basedOn w:val="List3"/>
    <w:rsid w:val="00BF269A"/>
    <w:pPr>
      <w:numPr>
        <w:numId w:val="14"/>
      </w:numPr>
      <w:tabs>
        <w:tab w:val="clear" w:pos="1021"/>
      </w:tabs>
      <w:ind w:left="1037" w:hanging="357"/>
    </w:pPr>
  </w:style>
  <w:style w:type="paragraph" w:styleId="ListBullet4">
    <w:name w:val="List Bullet 4"/>
    <w:basedOn w:val="List4"/>
    <w:rsid w:val="00BF269A"/>
    <w:pPr>
      <w:numPr>
        <w:numId w:val="2"/>
      </w:numPr>
    </w:pPr>
  </w:style>
  <w:style w:type="paragraph" w:styleId="ListBullet5">
    <w:name w:val="List Bullet 5"/>
    <w:basedOn w:val="List5"/>
    <w:rsid w:val="00BF269A"/>
    <w:pPr>
      <w:numPr>
        <w:numId w:val="3"/>
      </w:numPr>
    </w:pPr>
  </w:style>
  <w:style w:type="paragraph" w:styleId="ListContinue2">
    <w:name w:val="List Continue 2"/>
    <w:basedOn w:val="List2"/>
    <w:rsid w:val="00BF269A"/>
    <w:pPr>
      <w:ind w:firstLine="0"/>
    </w:pPr>
  </w:style>
  <w:style w:type="paragraph" w:styleId="ListContinue3">
    <w:name w:val="List Continue 3"/>
    <w:basedOn w:val="List3"/>
    <w:rsid w:val="00BF269A"/>
    <w:pPr>
      <w:ind w:left="1021" w:firstLine="0"/>
    </w:pPr>
  </w:style>
  <w:style w:type="paragraph" w:styleId="ListContinue4">
    <w:name w:val="List Continue 4"/>
    <w:basedOn w:val="List4"/>
    <w:rsid w:val="00BF269A"/>
    <w:pPr>
      <w:ind w:firstLine="0"/>
    </w:pPr>
  </w:style>
  <w:style w:type="paragraph" w:styleId="ListContinue5">
    <w:name w:val="List Continue 5"/>
    <w:basedOn w:val="List5"/>
    <w:rsid w:val="00BF269A"/>
    <w:pPr>
      <w:ind w:firstLine="0"/>
    </w:pPr>
  </w:style>
  <w:style w:type="paragraph" w:styleId="ListNumber3">
    <w:name w:val="List Number 3"/>
    <w:basedOn w:val="List3"/>
    <w:rsid w:val="00BF269A"/>
    <w:pPr>
      <w:numPr>
        <w:numId w:val="4"/>
      </w:numPr>
    </w:pPr>
  </w:style>
  <w:style w:type="paragraph" w:styleId="ListNumber4">
    <w:name w:val="List Number 4"/>
    <w:basedOn w:val="List4"/>
    <w:rsid w:val="00BF269A"/>
    <w:pPr>
      <w:numPr>
        <w:numId w:val="5"/>
      </w:numPr>
    </w:pPr>
  </w:style>
  <w:style w:type="paragraph" w:styleId="ListNumber5">
    <w:name w:val="List Number 5"/>
    <w:basedOn w:val="List5"/>
    <w:rsid w:val="00BF269A"/>
    <w:pPr>
      <w:numPr>
        <w:numId w:val="6"/>
      </w:numPr>
    </w:pPr>
  </w:style>
  <w:style w:type="paragraph" w:styleId="BlockText">
    <w:name w:val="Block Text"/>
    <w:basedOn w:val="Normal"/>
    <w:rsid w:val="00BF269A"/>
    <w:pPr>
      <w:spacing w:after="120"/>
      <w:ind w:left="1440" w:right="1440"/>
    </w:pPr>
  </w:style>
  <w:style w:type="character" w:customStyle="1" w:styleId="Subscript">
    <w:name w:val="Subscript"/>
    <w:rsid w:val="00BF269A"/>
    <w:rPr>
      <w:sz w:val="16"/>
      <w:vertAlign w:val="subscript"/>
    </w:rPr>
  </w:style>
  <w:style w:type="character" w:customStyle="1" w:styleId="Superscript">
    <w:name w:val="Superscript"/>
    <w:rsid w:val="00BF269A"/>
    <w:rPr>
      <w:sz w:val="16"/>
      <w:vertAlign w:val="superscript"/>
    </w:rPr>
  </w:style>
  <w:style w:type="character" w:customStyle="1" w:styleId="Symbols">
    <w:name w:val="Symbols"/>
    <w:rsid w:val="00BF269A"/>
    <w:rPr>
      <w:rFonts w:ascii="Symbol" w:hAnsi="Symbol"/>
    </w:rPr>
  </w:style>
  <w:style w:type="character" w:customStyle="1" w:styleId="MenuOptions">
    <w:name w:val="Menu Options"/>
    <w:rsid w:val="00BF269A"/>
    <w:rPr>
      <w:rFonts w:ascii="Arial Narrow" w:hAnsi="Arial Narrow"/>
      <w:smallCaps/>
    </w:rPr>
  </w:style>
  <w:style w:type="character" w:customStyle="1" w:styleId="Buttons">
    <w:name w:val="Buttons"/>
    <w:rsid w:val="00BF269A"/>
    <w:rPr>
      <w:b/>
    </w:rPr>
  </w:style>
  <w:style w:type="character" w:customStyle="1" w:styleId="Underlined">
    <w:name w:val="Underlined"/>
    <w:rsid w:val="00BF269A"/>
    <w:rPr>
      <w:u w:val="single"/>
    </w:rPr>
  </w:style>
  <w:style w:type="paragraph" w:customStyle="1" w:styleId="TableBodyTextRight">
    <w:name w:val="Table Body Text Right"/>
    <w:basedOn w:val="TableBodyText"/>
    <w:rsid w:val="00BF269A"/>
    <w:pPr>
      <w:widowControl w:val="0"/>
      <w:autoSpaceDE w:val="0"/>
      <w:autoSpaceDN w:val="0"/>
      <w:adjustRightInd w:val="0"/>
      <w:jc w:val="right"/>
    </w:pPr>
    <w:rPr>
      <w:rFonts w:cs="Arial"/>
      <w:szCs w:val="18"/>
    </w:rPr>
  </w:style>
  <w:style w:type="paragraph" w:customStyle="1" w:styleId="CopyrightText">
    <w:name w:val="Copyright Text"/>
    <w:basedOn w:val="BodyText"/>
    <w:rsid w:val="00BF269A"/>
    <w:rPr>
      <w:sz w:val="18"/>
    </w:rPr>
  </w:style>
  <w:style w:type="paragraph" w:customStyle="1" w:styleId="BodySmallRight">
    <w:name w:val="Body Small Right"/>
    <w:basedOn w:val="BodyTextRight"/>
    <w:rsid w:val="00BF269A"/>
    <w:rPr>
      <w:sz w:val="18"/>
      <w:szCs w:val="18"/>
    </w:rPr>
  </w:style>
  <w:style w:type="paragraph" w:customStyle="1" w:styleId="MarginEdition">
    <w:name w:val="Margin Edition"/>
    <w:basedOn w:val="MarginNote"/>
    <w:rsid w:val="00BF269A"/>
    <w:pPr>
      <w:spacing w:before="0" w:after="0"/>
    </w:pPr>
    <w:rPr>
      <w:rFonts w:ascii="Times New Roman" w:hAnsi="Times New Roman"/>
      <w:color w:val="999999"/>
    </w:rPr>
  </w:style>
  <w:style w:type="paragraph" w:customStyle="1" w:styleId="Spacer">
    <w:name w:val="Spacer"/>
    <w:basedOn w:val="Normal"/>
    <w:rsid w:val="00BF269A"/>
    <w:rPr>
      <w:sz w:val="2"/>
      <w:szCs w:val="2"/>
    </w:rPr>
  </w:style>
  <w:style w:type="character" w:customStyle="1" w:styleId="Small">
    <w:name w:val="Small"/>
    <w:rsid w:val="00BF269A"/>
    <w:rPr>
      <w:sz w:val="16"/>
    </w:rPr>
  </w:style>
  <w:style w:type="paragraph" w:customStyle="1" w:styleId="WideTable">
    <w:name w:val="Wide Table"/>
    <w:basedOn w:val="Normal"/>
    <w:rsid w:val="00BF269A"/>
    <w:pPr>
      <w:ind w:left="-1418"/>
    </w:pPr>
    <w:rPr>
      <w:sz w:val="2"/>
      <w:szCs w:val="2"/>
    </w:rPr>
  </w:style>
  <w:style w:type="character" w:styleId="PageNumber">
    <w:name w:val="page number"/>
    <w:rsid w:val="00BF269A"/>
  </w:style>
  <w:style w:type="paragraph" w:styleId="Quote">
    <w:name w:val="Quote"/>
    <w:basedOn w:val="Heading1"/>
    <w:link w:val="QuoteChar"/>
    <w:qFormat/>
    <w:rsid w:val="00BF269A"/>
    <w:rPr>
      <w:b w:val="0"/>
      <w:sz w:val="72"/>
      <w:szCs w:val="72"/>
      <w:lang w:val="en-NZ"/>
    </w:rPr>
  </w:style>
  <w:style w:type="character" w:customStyle="1" w:styleId="QuoteChar">
    <w:name w:val="Quote Char"/>
    <w:link w:val="Quote"/>
    <w:rsid w:val="00BF26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269A"/>
    <w:pPr>
      <w:pageBreakBefore/>
    </w:pPr>
  </w:style>
  <w:style w:type="paragraph" w:customStyle="1" w:styleId="Border">
    <w:name w:val="Border"/>
    <w:basedOn w:val="Normal"/>
    <w:qFormat/>
    <w:rsid w:val="00BF269A"/>
    <w:pPr>
      <w:pBdr>
        <w:top w:val="single" w:sz="18" w:space="1" w:color="auto"/>
      </w:pBdr>
    </w:pPr>
    <w:rPr>
      <w:rFonts w:ascii="Times New Roman" w:hAnsi="Times New Roman"/>
      <w:color w:val="FFFFFF"/>
      <w:sz w:val="2"/>
    </w:rPr>
  </w:style>
  <w:style w:type="character" w:styleId="IntenseEmphasis">
    <w:name w:val="Intense Emphasis"/>
    <w:uiPriority w:val="21"/>
    <w:qFormat/>
    <w:rsid w:val="00BF269A"/>
    <w:rPr>
      <w:b/>
      <w:bCs/>
      <w:i/>
      <w:iCs/>
      <w:color w:val="auto"/>
    </w:rPr>
  </w:style>
  <w:style w:type="paragraph" w:styleId="IntenseQuote">
    <w:name w:val="Intense Quote"/>
    <w:basedOn w:val="Normal"/>
    <w:next w:val="Normal"/>
    <w:link w:val="IntenseQuoteChar"/>
    <w:uiPriority w:val="30"/>
    <w:qFormat/>
    <w:rsid w:val="00BF269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F269A"/>
    <w:rPr>
      <w:rFonts w:ascii="Courier New" w:eastAsia="Times New Roman" w:hAnsi="Courier New" w:cs="Times New Roman"/>
      <w:b/>
      <w:bCs/>
      <w:i/>
      <w:iCs/>
      <w:szCs w:val="20"/>
      <w:lang w:val="en-US" w:eastAsia="en-US"/>
    </w:rPr>
  </w:style>
  <w:style w:type="character" w:styleId="SubtleReference">
    <w:name w:val="Subtle Reference"/>
    <w:uiPriority w:val="31"/>
    <w:qFormat/>
    <w:rsid w:val="00BF269A"/>
    <w:rPr>
      <w:smallCaps/>
      <w:color w:val="auto"/>
      <w:u w:val="single"/>
    </w:rPr>
  </w:style>
  <w:style w:type="character" w:styleId="IntenseReference">
    <w:name w:val="Intense Reference"/>
    <w:uiPriority w:val="32"/>
    <w:qFormat/>
    <w:rsid w:val="00BF269A"/>
    <w:rPr>
      <w:b/>
      <w:bCs/>
      <w:smallCaps/>
      <w:color w:val="auto"/>
      <w:spacing w:val="5"/>
      <w:u w:val="single"/>
    </w:rPr>
  </w:style>
  <w:style w:type="paragraph" w:customStyle="1" w:styleId="2ColumnHeading">
    <w:name w:val="2Column Heading"/>
    <w:basedOn w:val="BodyText"/>
    <w:qFormat/>
    <w:rsid w:val="00BF269A"/>
    <w:pPr>
      <w:spacing w:after="60"/>
      <w:ind w:left="-2268"/>
    </w:pPr>
    <w:rPr>
      <w:b/>
    </w:rPr>
  </w:style>
  <w:style w:type="paragraph" w:customStyle="1" w:styleId="Heading1TOC">
    <w:name w:val="Heading1 TOC"/>
    <w:basedOn w:val="Normal"/>
    <w:qFormat/>
    <w:rsid w:val="00BF269A"/>
    <w:pPr>
      <w:spacing w:before="240" w:after="120"/>
    </w:pPr>
    <w:rPr>
      <w:rFonts w:ascii="Times New Roman" w:hAnsi="Times New Roman"/>
      <w:b/>
      <w:sz w:val="32"/>
    </w:rPr>
  </w:style>
  <w:style w:type="paragraph" w:customStyle="1" w:styleId="Heading2TOC">
    <w:name w:val="Heading2 TOC"/>
    <w:basedOn w:val="Normal"/>
    <w:qFormat/>
    <w:rsid w:val="00BF269A"/>
    <w:pPr>
      <w:spacing w:before="240" w:after="60"/>
    </w:pPr>
    <w:rPr>
      <w:rFonts w:ascii="Times New Roman" w:hAnsi="Times New Roman"/>
      <w:b/>
      <w:sz w:val="28"/>
    </w:rPr>
  </w:style>
  <w:style w:type="character" w:customStyle="1" w:styleId="Underline">
    <w:name w:val="Underline"/>
    <w:qFormat/>
    <w:rsid w:val="00BF269A"/>
    <w:rPr>
      <w:u w:val="single"/>
    </w:rPr>
  </w:style>
  <w:style w:type="character" w:customStyle="1" w:styleId="BoldandItalics">
    <w:name w:val="Bold and Italics"/>
    <w:qFormat/>
    <w:rsid w:val="00BF269A"/>
    <w:rPr>
      <w:b/>
      <w:i/>
      <w:u w:val="none"/>
    </w:rPr>
  </w:style>
  <w:style w:type="paragraph" w:styleId="BalloonText">
    <w:name w:val="Balloon Text"/>
    <w:basedOn w:val="Normal"/>
    <w:link w:val="BalloonTextChar"/>
    <w:rsid w:val="00BF269A"/>
    <w:rPr>
      <w:rFonts w:ascii="Tahoma" w:hAnsi="Tahoma" w:cs="Tahoma"/>
      <w:sz w:val="16"/>
      <w:szCs w:val="16"/>
    </w:rPr>
  </w:style>
  <w:style w:type="character" w:customStyle="1" w:styleId="BalloonTextChar">
    <w:name w:val="Balloon Text Char"/>
    <w:link w:val="BalloonText"/>
    <w:rsid w:val="00BF26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269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F269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1276</Words>
  <Characters>8434</Characters>
  <Application>Microsoft Office Word</Application>
  <DocSecurity>0</DocSecurity>
  <Lines>277</Lines>
  <Paragraphs>120</Paragraphs>
  <ScaleCrop>false</ScaleCrop>
  <Company>Author-it Software Corporation Ltd.</Company>
  <LinksUpToDate>false</LinksUpToDate>
  <CharactersWithSpaces>9633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MEM18055B Dismantle, replace and assemble engineering components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2012-05-27T01:55:00Z</dcterms:created>
  <dcterms:modified xsi:type="dcterms:W3CDTF">2012-05-27T01:55:00Z</dcterms:modified>
</cp:coreProperties>
</file>