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132" w:rsidP="008A4132">
      <w:pPr>
        <w:pStyle w:val="Title"/>
      </w:pPr>
      <w:bookmarkStart w:id="0" w:name="_GoBack"/>
      <w:bookmarkEnd w:id="0"/>
      <w:r>
        <w:fldChar w:fldCharType="begin"/>
      </w:r>
      <w:r>
        <w:instrText xml:space="preserve"> TITLE   \* MERGEFORMAT </w:instrText>
      </w:r>
      <w:r>
        <w:fldChar w:fldCharType="separate"/>
      </w:r>
      <w:r>
        <w:t>MEM18050C Disconnect/reconnect fixed wired equipment over 1000 volts a.c./1500 volts d.c.</w:t>
      </w:r>
      <w:r>
        <w:fldChar w:fldCharType="end"/>
      </w:r>
    </w:p>
    <w:p w:rsidR="008A4132" w:rsidP="008A4132">
      <w:pPr>
        <w:pStyle w:val="Version"/>
        <w:sectPr w:rsidSect="003600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60007" w:rsidP="00360007">
      <w:pPr>
        <w:pStyle w:val="SuperHeading"/>
      </w:pPr>
      <w:r w:rsidRPr="00360007">
        <w:t>MEM18050C Disconnect/reconnect fixed wired equipment over 1000 volts a.c./1500 volts d.c.</w:t>
      </w:r>
    </w:p>
    <w:p w:rsidR="00000000" w:rsidRPr="00360007" w:rsidP="00360007">
      <w:pPr>
        <w:pStyle w:val="Heading1"/>
      </w:pPr>
      <w:bookmarkStart w:id="1" w:name="O_461404"/>
      <w:bookmarkEnd w:id="1"/>
      <w:r w:rsidRPr="00360007">
        <w:t>Modification History</w:t>
      </w:r>
    </w:p>
    <w:p w:rsidR="00000000" w:rsidRPr="00360007" w:rsidP="00360007">
      <w:pPr>
        <w:pStyle w:val="BodyText"/>
      </w:pPr>
      <w:r w:rsidRPr="00360007">
        <w:t>Single band identifier removed to clari</w:t>
      </w:r>
      <w:r w:rsidRPr="00360007">
        <w:t>fy dual status</w:t>
      </w:r>
    </w:p>
    <w:p w:rsidR="00000000" w:rsidRPr="00360007" w:rsidP="00360007">
      <w:pPr>
        <w:pStyle w:val="AllowPageBreak"/>
      </w:pPr>
    </w:p>
    <w:p w:rsidR="00000000" w:rsidRPr="00360007" w:rsidP="00360007">
      <w:pPr>
        <w:pStyle w:val="Heading1"/>
      </w:pPr>
      <w:bookmarkStart w:id="2" w:name="O_461393"/>
      <w:bookmarkEnd w:id="2"/>
      <w:r w:rsidRPr="00360007">
        <w:t>Unit Descriptor</w:t>
      </w:r>
    </w:p>
    <w:tbl>
      <w:tblPr>
        <w:tblW w:w="0" w:type="auto"/>
        <w:tblLayout w:type="fixed"/>
        <w:tblCellMar>
          <w:left w:w="62" w:type="dxa"/>
          <w:right w:w="62" w:type="dxa"/>
        </w:tblCellMar>
        <w:tblLook w:val="0000"/>
      </w:tblPr>
      <w:tblGrid>
        <w:gridCol w:w="2668"/>
        <w:gridCol w:w="5854"/>
      </w:tblGrid>
      <w:tr w:rsidTr="008A4132">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007" w:rsidP="00360007">
            <w:pPr>
              <w:pStyle w:val="BodyText"/>
            </w:pPr>
            <w:r w:rsidRPr="00360007">
              <w:t>This unit covers connecting and disconnecting equipment. This unit applies to all voltage levels above 1000 volts a.c./1500 volts d.c.</w:t>
            </w:r>
          </w:p>
        </w:tc>
      </w:tr>
    </w:tbl>
    <w:p w:rsidR="008A4132" w:rsidP="00360007">
      <w:pPr>
        <w:pStyle w:val="BodyText"/>
      </w:pPr>
    </w:p>
    <w:p w:rsidR="008A4132" w:rsidP="00360007">
      <w:pPr>
        <w:pStyle w:val="BodyText"/>
      </w:pPr>
    </w:p>
    <w:p w:rsidR="00000000" w:rsidRPr="00360007" w:rsidP="00360007">
      <w:pPr>
        <w:pStyle w:val="Heading1"/>
      </w:pPr>
      <w:bookmarkStart w:id="3" w:name="O_461417"/>
      <w:bookmarkEnd w:id="3"/>
      <w:r w:rsidRPr="00360007">
        <w:t>Application of the Unit</w:t>
      </w:r>
    </w:p>
    <w:tbl>
      <w:tblPr>
        <w:tblW w:w="0" w:type="auto"/>
        <w:tblLayout w:type="fixed"/>
        <w:tblCellMar>
          <w:left w:w="62" w:type="dxa"/>
          <w:right w:w="62" w:type="dxa"/>
        </w:tblCellMar>
        <w:tblLook w:val="0000"/>
      </w:tblPr>
      <w:tblGrid>
        <w:gridCol w:w="2745"/>
        <w:gridCol w:w="5777"/>
      </w:tblGrid>
      <w:tr w:rsidTr="008A413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007" w:rsidP="00360007">
            <w:pPr>
              <w:pStyle w:val="BodyText"/>
            </w:pPr>
            <w:r w:rsidRPr="00360007">
              <w:t xml:space="preserve">This unit applies to work performed on site and undertaken using predetermined standards of quality, safe work procedures and regulatory and legislative requirements. </w:t>
            </w:r>
          </w:p>
          <w:p w:rsidR="00000000" w:rsidRPr="00360007" w:rsidP="00360007">
            <w:pPr>
              <w:pStyle w:val="BodyText"/>
            </w:pPr>
            <w:r w:rsidRPr="00360007">
              <w:t xml:space="preserve">Persons undertaking this work would be appropriately recognised </w:t>
            </w:r>
            <w:r w:rsidRPr="00360007">
              <w:t>and endorsed by relevant statutory authorities where required.</w:t>
            </w:r>
          </w:p>
          <w:p w:rsidR="00000000" w:rsidRPr="00360007" w:rsidP="00360007">
            <w:pPr>
              <w:pStyle w:val="BodyText"/>
            </w:pPr>
            <w:r w:rsidRPr="00360007">
              <w:t>If power tools are used, Unit MEM18002B (Use power tools/hand held operations) must also be selected.</w:t>
            </w:r>
          </w:p>
          <w:p w:rsidR="00000000" w:rsidRPr="00360007" w:rsidP="00360007">
            <w:pPr>
              <w:pStyle w:val="BodyText"/>
            </w:pPr>
            <w:r w:rsidRPr="00360007">
              <w:rPr>
                <w:rStyle w:val="SpecialBold"/>
              </w:rPr>
              <w:t>Band:</w:t>
            </w:r>
          </w:p>
          <w:p w:rsidR="00000000" w:rsidRPr="00360007" w:rsidP="00360007">
            <w:pPr>
              <w:pStyle w:val="BodyText"/>
            </w:pPr>
            <w:r w:rsidRPr="00360007">
              <w:t xml:space="preserve">This unit has dual status and is to be regarded as both a specialisation band A unit </w:t>
            </w:r>
            <w:r w:rsidRPr="00360007">
              <w:t>and Specialisation band B unit for progression to C7 (AQF level IV).</w:t>
            </w:r>
          </w:p>
          <w:p w:rsidR="00000000" w:rsidRPr="00360007" w:rsidP="00360007">
            <w:pPr>
              <w:pStyle w:val="BodyText"/>
            </w:pPr>
          </w:p>
          <w:p w:rsidR="00000000" w:rsidRPr="00360007" w:rsidP="00360007">
            <w:pPr>
              <w:pStyle w:val="BodyText"/>
            </w:pPr>
            <w:r w:rsidRPr="00360007">
              <w:rPr>
                <w:rStyle w:val="SpecialBold"/>
              </w:rPr>
              <w:t>Unit Weight</w:t>
            </w:r>
            <w:r w:rsidRPr="00360007">
              <w:t>:</w:t>
            </w:r>
            <w:r w:rsidRPr="00360007">
              <w:tab/>
            </w:r>
            <w:r w:rsidRPr="00360007">
              <w:rPr>
                <w:rStyle w:val="SpecialBold"/>
              </w:rPr>
              <w:t>3</w:t>
            </w:r>
          </w:p>
        </w:tc>
      </w:tr>
    </w:tbl>
    <w:p w:rsidR="008A4132" w:rsidP="00360007">
      <w:pPr>
        <w:pStyle w:val="BodyText"/>
      </w:pPr>
    </w:p>
    <w:p w:rsidR="008A4132" w:rsidP="00360007">
      <w:pPr>
        <w:pStyle w:val="BodyText"/>
      </w:pPr>
    </w:p>
    <w:p w:rsidR="00000000" w:rsidRPr="00360007" w:rsidP="00360007">
      <w:pPr>
        <w:pStyle w:val="Heading1"/>
      </w:pPr>
      <w:bookmarkStart w:id="4" w:name="O_461407"/>
      <w:bookmarkEnd w:id="4"/>
      <w:r w:rsidRPr="00360007">
        <w:t>Licensing/Regulatory Information</w:t>
      </w:r>
    </w:p>
    <w:p w:rsidR="00000000" w:rsidRPr="00360007" w:rsidP="00360007">
      <w:pPr>
        <w:pStyle w:val="BodyText"/>
      </w:pPr>
      <w:r w:rsidRPr="00360007">
        <w:t>Not Applicable</w:t>
      </w:r>
    </w:p>
    <w:p w:rsidR="00000000" w:rsidRPr="00360007" w:rsidP="00360007">
      <w:pPr>
        <w:pStyle w:val="AllowPageBreak"/>
      </w:pPr>
    </w:p>
    <w:p w:rsidR="00000000" w:rsidRPr="00360007" w:rsidP="00360007">
      <w:pPr>
        <w:pStyle w:val="Heading1"/>
      </w:pPr>
      <w:bookmarkStart w:id="5" w:name="O_461397"/>
      <w:bookmarkEnd w:id="5"/>
      <w:r w:rsidRPr="00360007">
        <w:t>Pre-Requisites</w:t>
      </w:r>
    </w:p>
    <w:tbl>
      <w:tblPr>
        <w:tblW w:w="0" w:type="auto"/>
        <w:tblLayout w:type="fixed"/>
        <w:tblCellMar>
          <w:left w:w="62" w:type="dxa"/>
          <w:right w:w="62" w:type="dxa"/>
        </w:tblCellMar>
        <w:tblLook w:val="0000"/>
      </w:tblPr>
      <w:tblGrid>
        <w:gridCol w:w="2702"/>
        <w:gridCol w:w="2207"/>
        <w:gridCol w:w="3613"/>
      </w:tblGrid>
      <w:tr w:rsidTr="008A4132">
        <w:tblPrEx>
          <w:tblW w:w="0" w:type="auto"/>
          <w:tblLayout w:type="fixed"/>
          <w:tblCellMar>
            <w:left w:w="62" w:type="dxa"/>
            <w:right w:w="62" w:type="dxa"/>
          </w:tblCellMar>
          <w:tblLook w:val="0000"/>
        </w:tblPrEx>
        <w:trPr>
          <w:tblHeader/>
        </w:trPr>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rPr>
                <w:rStyle w:val="SpecialBold"/>
              </w:rPr>
              <w:t>Prerequisite units</w:t>
            </w:r>
          </w:p>
        </w:tc>
        <w:tc>
          <w:tcPr>
            <w:tcW w:w="58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p>
        </w:tc>
      </w:tr>
      <w:tr w:rsidTr="008A4132">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rPr>
                <w:rStyle w:val="SpecialBold"/>
              </w:rPr>
              <w:t>Path 1</w:t>
            </w:r>
            <w:r w:rsidRPr="00360007">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t>MEM09002B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t>Interpret technical drawing</w:t>
            </w:r>
          </w:p>
        </w:tc>
      </w:tr>
      <w:tr w:rsidTr="008A4132">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t>MEM10002B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t>Terminate and connect electrical wiring</w:t>
            </w:r>
          </w:p>
        </w:tc>
      </w:tr>
      <w:tr w:rsidTr="008A4132">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t>MEM12002B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t>Perform electrical/electronic measurement</w:t>
            </w:r>
          </w:p>
        </w:tc>
      </w:tr>
      <w:tr w:rsidTr="008A4132">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t>MEM18001C</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007" w:rsidP="00360007">
            <w:pPr>
              <w:pStyle w:val="BodyText"/>
            </w:pPr>
            <w:r w:rsidRPr="00360007">
              <w:t>Use hand tools</w:t>
            </w:r>
          </w:p>
        </w:tc>
      </w:tr>
    </w:tbl>
    <w:p w:rsidR="008A4132" w:rsidP="00360007">
      <w:pPr>
        <w:pStyle w:val="BodyText"/>
      </w:pPr>
    </w:p>
    <w:p w:rsidR="008A4132" w:rsidP="00360007">
      <w:pPr>
        <w:pStyle w:val="BodyText"/>
      </w:pPr>
    </w:p>
    <w:p w:rsidR="00000000" w:rsidRPr="00360007" w:rsidP="00360007">
      <w:pPr>
        <w:pStyle w:val="Heading1"/>
      </w:pPr>
      <w:bookmarkStart w:id="6" w:name="O_461412"/>
      <w:bookmarkEnd w:id="6"/>
      <w:r w:rsidRPr="00360007">
        <w:t>Employability Skills Information</w:t>
      </w:r>
    </w:p>
    <w:tbl>
      <w:tblPr>
        <w:tblW w:w="0" w:type="auto"/>
        <w:tblLayout w:type="fixed"/>
        <w:tblCellMar>
          <w:left w:w="62" w:type="dxa"/>
          <w:right w:w="62" w:type="dxa"/>
        </w:tblCellMar>
        <w:tblLook w:val="0000"/>
      </w:tblPr>
      <w:tblGrid>
        <w:gridCol w:w="2802"/>
        <w:gridCol w:w="5720"/>
      </w:tblGrid>
      <w:tr w:rsidTr="008A41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007" w:rsidP="00360007">
            <w:pPr>
              <w:pStyle w:val="BodyText"/>
            </w:pPr>
            <w:r w:rsidRPr="00360007">
              <w:t>This unit contains employability skills.</w:t>
            </w:r>
          </w:p>
        </w:tc>
      </w:tr>
    </w:tbl>
    <w:p w:rsidR="008A4132" w:rsidP="00360007">
      <w:pPr>
        <w:pStyle w:val="BodyText"/>
      </w:pPr>
    </w:p>
    <w:p w:rsidR="008A4132" w:rsidP="00360007">
      <w:pPr>
        <w:pStyle w:val="BodyText"/>
      </w:pPr>
    </w:p>
    <w:p w:rsidR="00000000" w:rsidRPr="00360007" w:rsidP="00360007">
      <w:pPr>
        <w:pStyle w:val="Heading1"/>
      </w:pPr>
      <w:bookmarkStart w:id="7" w:name="O_461413"/>
      <w:bookmarkEnd w:id="7"/>
      <w:r w:rsidRPr="00360007">
        <w:t>Elements and Performance Criteria Pre-Content</w:t>
      </w:r>
    </w:p>
    <w:tbl>
      <w:tblPr>
        <w:tblW w:w="0" w:type="auto"/>
        <w:tblLayout w:type="fixed"/>
        <w:tblCellMar>
          <w:left w:w="62" w:type="dxa"/>
          <w:right w:w="62" w:type="dxa"/>
        </w:tblCellMar>
        <w:tblLook w:val="0000"/>
      </w:tblPr>
      <w:tblGrid>
        <w:gridCol w:w="2562"/>
        <w:gridCol w:w="5960"/>
      </w:tblGrid>
      <w:tr w:rsidTr="008A413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007" w:rsidP="00360007">
            <w:pPr>
              <w:pStyle w:val="BodyText"/>
            </w:pPr>
            <w:r w:rsidRPr="00360007">
              <w:t>Performance criteria describe the performance needed to demonstrate achievement of the element. Where bold italicised text is us</w:t>
            </w:r>
            <w:r w:rsidRPr="00360007">
              <w:t>ed, further information is detailed in the required skills and knowledge section and the range statement. Assessment of performance is to be consistent with the evidence guide.</w:t>
            </w:r>
          </w:p>
        </w:tc>
      </w:tr>
    </w:tbl>
    <w:p w:rsidR="00000000" w:rsidRPr="00360007" w:rsidP="00360007">
      <w:pPr>
        <w:pStyle w:val="BodyText"/>
      </w:pPr>
    </w:p>
    <w:p w:rsidR="00000000" w:rsidRPr="00360007" w:rsidP="00360007">
      <w:pPr>
        <w:pStyle w:val="AllowPageBreak"/>
      </w:pPr>
    </w:p>
    <w:p w:rsidR="00000000" w:rsidRPr="00360007" w:rsidP="00360007">
      <w:pPr>
        <w:pStyle w:val="Heading1"/>
      </w:pPr>
      <w:bookmarkStart w:id="8" w:name="O_461414"/>
      <w:bookmarkEnd w:id="8"/>
      <w:r w:rsidRPr="00360007">
        <w:t>Elements and Performance Criteria</w:t>
      </w:r>
    </w:p>
    <w:tbl>
      <w:tblPr>
        <w:tblW w:w="0" w:type="auto"/>
        <w:tblLayout w:type="fixed"/>
        <w:tblCellMar>
          <w:left w:w="62" w:type="dxa"/>
          <w:right w:w="62" w:type="dxa"/>
        </w:tblCellMar>
        <w:tblLook w:val="0000"/>
      </w:tblPr>
      <w:tblGrid>
        <w:gridCol w:w="2562"/>
        <w:gridCol w:w="5960"/>
      </w:tblGrid>
      <w:tr w:rsidTr="008A4132">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007" w:rsidP="00360007">
            <w:pPr>
              <w:pStyle w:val="BodyText"/>
            </w:pPr>
            <w:r w:rsidRPr="00360007">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rPr>
                <w:rStyle w:val="SpecialBold"/>
              </w:rPr>
              <w:t>PERFORMANCE CRITER</w:t>
            </w:r>
            <w:r w:rsidRPr="00360007">
              <w:rPr>
                <w:rStyle w:val="SpecialBold"/>
              </w:rPr>
              <w:t>IA</w:t>
            </w:r>
          </w:p>
        </w:tc>
      </w:tr>
      <w:tr w:rsidTr="008A413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List"/>
              <w:rPr>
                <w:lang w:val="en-NZ"/>
              </w:rPr>
            </w:pPr>
            <w:r w:rsidRPr="00360007">
              <w:t>1.</w:t>
            </w:r>
            <w:r w:rsidRPr="00360007">
              <w:tab/>
              <w:t xml:space="preserve">Disconnect equipment </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007" w:rsidP="00360007">
            <w:pPr>
              <w:pStyle w:val="List2"/>
            </w:pPr>
            <w:r w:rsidRPr="00360007">
              <w:t>1.1.</w:t>
            </w:r>
            <w:r w:rsidRPr="00360007">
              <w:tab/>
              <w:t xml:space="preserve">Electrical characteristics of equipment and circuit are determined by reference to circuit drawings, schematics, reference </w:t>
            </w:r>
            <w:r w:rsidRPr="00360007">
              <w:t>manuals, equipment specifications, identification plates and/or consultation with technical adviser.</w:t>
            </w:r>
          </w:p>
          <w:p w:rsidR="00000000" w:rsidRPr="00360007" w:rsidP="00360007">
            <w:pPr>
              <w:pStyle w:val="List2"/>
            </w:pPr>
            <w:r w:rsidRPr="00360007">
              <w:t>1.2.</w:t>
            </w:r>
            <w:r w:rsidRPr="00360007">
              <w:tab/>
              <w:t>Where appropriate, equipment characteristics are determined and recorded to standard operating procedures (rotation etc.).</w:t>
            </w:r>
          </w:p>
          <w:p w:rsidR="00000000" w:rsidRPr="00360007" w:rsidP="00360007">
            <w:pPr>
              <w:pStyle w:val="List2"/>
            </w:pPr>
            <w:r w:rsidRPr="00360007">
              <w:t>1.3.</w:t>
            </w:r>
            <w:r w:rsidRPr="00360007">
              <w:tab/>
              <w:t>Points of isolation ar</w:t>
            </w:r>
            <w:r w:rsidRPr="00360007">
              <w:t>e identified using correct and appropriate procedures incorporating access permits where required.</w:t>
            </w:r>
          </w:p>
          <w:p w:rsidR="00000000" w:rsidRPr="00360007" w:rsidP="00360007">
            <w:pPr>
              <w:pStyle w:val="List2"/>
            </w:pPr>
            <w:r w:rsidRPr="00360007">
              <w:t>1.4.</w:t>
            </w:r>
            <w:r w:rsidRPr="00360007">
              <w:tab/>
              <w:t>Equipment is isolated using correct and appropriate techniques and procedures.</w:t>
            </w:r>
          </w:p>
          <w:p w:rsidR="00000000" w:rsidRPr="00360007" w:rsidP="00360007">
            <w:pPr>
              <w:pStyle w:val="List2"/>
            </w:pPr>
            <w:r w:rsidRPr="00360007">
              <w:t>1.5.</w:t>
            </w:r>
            <w:r w:rsidRPr="00360007">
              <w:tab/>
              <w:t>All lock-off equipment and signage requirements are used correctly a</w:t>
            </w:r>
            <w:r w:rsidRPr="00360007">
              <w:t>nd appropriately.</w:t>
            </w:r>
          </w:p>
          <w:p w:rsidR="00000000" w:rsidRPr="00360007" w:rsidP="00360007">
            <w:pPr>
              <w:pStyle w:val="List2"/>
            </w:pPr>
            <w:r w:rsidRPr="00360007">
              <w:t>1.6.</w:t>
            </w:r>
            <w:r w:rsidRPr="00360007">
              <w:tab/>
              <w:t>Electrical isolation is proven using correct and appropriate techniques, procedures and test equipment.</w:t>
            </w:r>
          </w:p>
          <w:p w:rsidR="00000000" w:rsidRPr="00360007" w:rsidP="00360007">
            <w:pPr>
              <w:pStyle w:val="List2"/>
            </w:pPr>
            <w:r w:rsidRPr="00360007">
              <w:t>1.7.</w:t>
            </w:r>
            <w:r w:rsidRPr="00360007">
              <w:tab/>
              <w:t>Conductor layout is noted, recorded and labelled to standard operating procedures.</w:t>
            </w:r>
          </w:p>
          <w:p w:rsidR="00000000" w:rsidRPr="00360007" w:rsidP="00360007">
            <w:pPr>
              <w:pStyle w:val="List2"/>
            </w:pPr>
            <w:r w:rsidRPr="00360007">
              <w:t>1.8.</w:t>
            </w:r>
            <w:r w:rsidRPr="00360007">
              <w:tab/>
              <w:t>Conductors are disconnected using co</w:t>
            </w:r>
            <w:r w:rsidRPr="00360007">
              <w:t>rrect and appropriate techniques, procedures, tools and equipment.</w:t>
            </w:r>
          </w:p>
          <w:p w:rsidR="00000000" w:rsidP="00360007">
            <w:pPr>
              <w:pStyle w:val="List2"/>
              <w:rPr>
                <w:lang w:val="en-NZ"/>
              </w:rPr>
            </w:pPr>
            <w:r w:rsidRPr="00360007">
              <w:t>1.9.</w:t>
            </w:r>
            <w:r w:rsidRPr="00360007">
              <w:tab/>
              <w:t>Disconnected cables/connections are made safe to standard operating procedures and access permits are issued where required.</w:t>
            </w:r>
          </w:p>
        </w:tc>
      </w:tr>
      <w:tr w:rsidTr="008A413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List"/>
              <w:rPr>
                <w:lang w:val="en-NZ"/>
              </w:rPr>
            </w:pPr>
            <w:r w:rsidRPr="00360007">
              <w:t>2.</w:t>
            </w:r>
            <w:r w:rsidRPr="00360007">
              <w:tab/>
              <w:t>Connect equipment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007" w:rsidP="00360007">
            <w:pPr>
              <w:pStyle w:val="List2"/>
            </w:pPr>
            <w:r w:rsidRPr="00360007">
              <w:t>2.1.</w:t>
            </w:r>
            <w:r w:rsidRPr="00360007">
              <w:tab/>
              <w:t>Characteristics of the equipment</w:t>
            </w:r>
            <w:r w:rsidRPr="00360007">
              <w:t xml:space="preserve"> to be connected are identified and connection requirements are determined.</w:t>
            </w:r>
          </w:p>
          <w:p w:rsidR="00000000" w:rsidRPr="00360007" w:rsidP="00360007">
            <w:pPr>
              <w:pStyle w:val="List2"/>
            </w:pPr>
            <w:r w:rsidRPr="00360007">
              <w:t>2.2.</w:t>
            </w:r>
            <w:r w:rsidRPr="00360007">
              <w:tab/>
              <w:t>Circuit is checked for safe isolation using correct and appropriate techniques, procedures and test equipment.</w:t>
            </w:r>
          </w:p>
          <w:p w:rsidR="00000000" w:rsidRPr="00360007" w:rsidP="00360007">
            <w:pPr>
              <w:pStyle w:val="List2"/>
            </w:pPr>
            <w:r w:rsidRPr="00360007">
              <w:t>2.3.</w:t>
            </w:r>
            <w:r w:rsidRPr="00360007">
              <w:tab/>
            </w:r>
            <w:r w:rsidRPr="00360007">
              <w:t>Connections are checked and prepared for termination using correct and appropriate tools and procedures.</w:t>
            </w:r>
          </w:p>
          <w:p w:rsidR="00000000" w:rsidRPr="00360007" w:rsidP="00360007">
            <w:pPr>
              <w:pStyle w:val="List2"/>
            </w:pPr>
            <w:r w:rsidRPr="00360007">
              <w:t>2.4.</w:t>
            </w:r>
            <w:r w:rsidRPr="00360007">
              <w:tab/>
              <w:t>Conductors are connected to equipment to specifications using correct and appropriate techniques, tools and equipment.</w:t>
            </w:r>
          </w:p>
          <w:p w:rsidR="00000000" w:rsidRPr="00360007" w:rsidP="00360007">
            <w:pPr>
              <w:pStyle w:val="List2"/>
            </w:pPr>
            <w:r w:rsidRPr="00360007">
              <w:t>2.5.</w:t>
            </w:r>
            <w:r w:rsidRPr="00360007">
              <w:tab/>
              <w:t>All cables/wires/condu</w:t>
            </w:r>
            <w:r w:rsidRPr="00360007">
              <w:t>it are fastened/sealed to specifications, using correct and appropriate techniques, tools and equipment.</w:t>
            </w:r>
          </w:p>
          <w:p w:rsidR="00000000" w:rsidRPr="00360007" w:rsidP="00360007">
            <w:pPr>
              <w:pStyle w:val="List2"/>
            </w:pPr>
            <w:r w:rsidRPr="00360007">
              <w:t>2.6.</w:t>
            </w:r>
            <w:r w:rsidRPr="00360007">
              <w:tab/>
              <w:t>All lock-off equipment and signage is removed using standard operating procedures.</w:t>
            </w:r>
          </w:p>
          <w:p w:rsidR="00000000" w:rsidP="00360007">
            <w:pPr>
              <w:pStyle w:val="List2"/>
              <w:rPr>
                <w:lang w:val="en-NZ"/>
              </w:rPr>
            </w:pPr>
            <w:r w:rsidRPr="00360007">
              <w:t>2.7.</w:t>
            </w:r>
            <w:r w:rsidRPr="00360007">
              <w:tab/>
              <w:t>Equipment and circuit is checked and tested for compliance</w:t>
            </w:r>
            <w:r w:rsidRPr="00360007">
              <w:t xml:space="preserve"> to specifications using correct and appropriate techniques, procedures, tools and equipment.</w:t>
            </w:r>
          </w:p>
        </w:tc>
      </w:tr>
      <w:tr w:rsidTr="008A413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List"/>
              <w:rPr>
                <w:lang w:val="en-NZ"/>
              </w:rPr>
            </w:pPr>
            <w:r w:rsidRPr="00360007">
              <w:t>3.</w:t>
            </w:r>
            <w:r w:rsidRPr="00360007">
              <w:tab/>
              <w:t>Perform emergency first aid</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007" w:rsidP="00360007">
            <w:pPr>
              <w:pStyle w:val="List2"/>
            </w:pPr>
            <w:r w:rsidRPr="00360007">
              <w:t>3.1.</w:t>
            </w:r>
            <w:r w:rsidRPr="00360007">
              <w:tab/>
              <w:t>Situation is assessed to identify points of danger to the injured person and potential rescuer.</w:t>
            </w:r>
          </w:p>
          <w:p w:rsidR="00000000" w:rsidRPr="00360007" w:rsidP="00360007">
            <w:pPr>
              <w:pStyle w:val="List2"/>
            </w:pPr>
            <w:r w:rsidRPr="00360007">
              <w:t>3.2.</w:t>
            </w:r>
            <w:r w:rsidRPr="00360007">
              <w:tab/>
              <w:t>Rescue/recovery of injur</w:t>
            </w:r>
            <w:r w:rsidRPr="00360007">
              <w:t>ed person or assistance to injured person is undertaken in accordance with recognised standards/procedures and contact is made with appropriate medical and rescue authorities.</w:t>
            </w:r>
          </w:p>
          <w:p w:rsidR="00000000" w:rsidRPr="00360007" w:rsidP="00360007">
            <w:pPr>
              <w:pStyle w:val="List2"/>
            </w:pPr>
            <w:r w:rsidRPr="00360007">
              <w:t>3.3.</w:t>
            </w:r>
            <w:r w:rsidRPr="00360007">
              <w:tab/>
              <w:t>Details of first aid given are recorded.</w:t>
            </w:r>
          </w:p>
        </w:tc>
      </w:tr>
    </w:tbl>
    <w:p w:rsidR="008A4132" w:rsidP="00360007">
      <w:pPr>
        <w:pStyle w:val="BodyText"/>
      </w:pPr>
    </w:p>
    <w:p w:rsidR="008A4132" w:rsidP="00360007">
      <w:pPr>
        <w:pStyle w:val="BodyText"/>
      </w:pPr>
    </w:p>
    <w:p w:rsidR="00000000" w:rsidRPr="00360007" w:rsidP="00360007">
      <w:pPr>
        <w:pStyle w:val="Heading1"/>
      </w:pPr>
      <w:bookmarkStart w:id="9" w:name="O_461394"/>
      <w:bookmarkEnd w:id="9"/>
      <w:r w:rsidRPr="00360007">
        <w:t>Required Skills and Knowledge</w:t>
      </w:r>
    </w:p>
    <w:tbl>
      <w:tblPr>
        <w:tblW w:w="0" w:type="auto"/>
        <w:tblLayout w:type="fixed"/>
        <w:tblCellMar>
          <w:left w:w="62" w:type="dxa"/>
          <w:right w:w="62" w:type="dxa"/>
        </w:tblCellMar>
        <w:tblLook w:val="0000"/>
      </w:tblPr>
      <w:tblGrid>
        <w:gridCol w:w="8522"/>
      </w:tblGrid>
      <w:tr w:rsidTr="008A41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0007">
            <w:pPr>
              <w:pStyle w:val="BodyText"/>
              <w:rPr>
                <w:lang w:val="en-NZ"/>
              </w:rPr>
            </w:pPr>
            <w:r w:rsidRPr="00360007">
              <w:rPr>
                <w:rStyle w:val="SpecialBold"/>
              </w:rPr>
              <w:t>REQUIRED SKILLS AND KNOWLEDGE</w:t>
            </w:r>
          </w:p>
        </w:tc>
      </w:tr>
      <w:tr w:rsidTr="008A41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t>This section describes the skills and knowledge required for this unit.</w:t>
            </w:r>
          </w:p>
        </w:tc>
      </w:tr>
      <w:tr w:rsidTr="008A41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rPr>
                <w:rStyle w:val="SpecialBold"/>
              </w:rPr>
              <w:t>Required skills</w:t>
            </w:r>
          </w:p>
        </w:tc>
      </w:tr>
      <w:tr w:rsidTr="008A41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007" w:rsidP="00360007">
            <w:pPr>
              <w:pStyle w:val="BodyText"/>
            </w:pPr>
            <w:r w:rsidRPr="00360007">
              <w:t>Look for evidence that confirms skills in:</w:t>
            </w:r>
          </w:p>
          <w:p w:rsidR="00000000" w:rsidRPr="00360007" w:rsidP="00360007">
            <w:pPr>
              <w:pStyle w:val="ListBullet"/>
            </w:pPr>
            <w:r w:rsidRPr="00360007">
              <w:t xml:space="preserve">determining and recording equipment characteristics from relevant circuit diagrams, specifications, schematics </w:t>
            </w:r>
          </w:p>
          <w:p w:rsidR="00000000" w:rsidRPr="00360007" w:rsidP="00360007">
            <w:pPr>
              <w:pStyle w:val="ListBullet"/>
            </w:pPr>
            <w:r w:rsidRPr="00360007">
              <w:t>correctly identifying the point(s) of isolation of fixed wired equipment</w:t>
            </w:r>
          </w:p>
          <w:p w:rsidR="00000000" w:rsidRPr="00360007" w:rsidP="00360007">
            <w:pPr>
              <w:pStyle w:val="ListBullet"/>
            </w:pPr>
            <w:r w:rsidRPr="00360007">
              <w:t>proving electrical isolation</w:t>
            </w:r>
          </w:p>
          <w:p w:rsidR="00000000" w:rsidRPr="00360007" w:rsidP="00360007">
            <w:pPr>
              <w:pStyle w:val="ListBullet"/>
            </w:pPr>
            <w:r w:rsidRPr="00360007">
              <w:t>isolating fixed wired equipment</w:t>
            </w:r>
          </w:p>
          <w:p w:rsidR="00000000" w:rsidRPr="00360007" w:rsidP="00360007">
            <w:pPr>
              <w:pStyle w:val="ListBullet"/>
            </w:pPr>
            <w:r w:rsidRPr="00360007">
              <w:t>applying e</w:t>
            </w:r>
            <w:r w:rsidRPr="00360007">
              <w:t>arths and lock-off equipment and signs</w:t>
            </w:r>
          </w:p>
          <w:p w:rsidR="00000000" w:rsidRPr="00360007" w:rsidP="00360007">
            <w:pPr>
              <w:pStyle w:val="ListBullet"/>
            </w:pPr>
            <w:r w:rsidRPr="00360007">
              <w:t>labelling conductors and recording their layout</w:t>
            </w:r>
          </w:p>
          <w:p w:rsidR="00000000" w:rsidRPr="00360007" w:rsidP="00360007">
            <w:pPr>
              <w:pStyle w:val="ListBullet"/>
            </w:pPr>
            <w:r w:rsidRPr="00360007">
              <w:t>disconnecting conductors</w:t>
            </w:r>
          </w:p>
          <w:p w:rsidR="00000000" w:rsidRPr="00360007" w:rsidP="00360007">
            <w:pPr>
              <w:pStyle w:val="ListBullet"/>
            </w:pPr>
            <w:r w:rsidRPr="00360007">
              <w:t>terminating disconnected cables/connections</w:t>
            </w:r>
          </w:p>
          <w:p w:rsidR="00000000" w:rsidRPr="00360007" w:rsidP="00360007">
            <w:pPr>
              <w:pStyle w:val="ListBullet"/>
            </w:pPr>
            <w:r w:rsidRPr="00360007">
              <w:t>checking circuits for safe isolation</w:t>
            </w:r>
          </w:p>
          <w:p w:rsidR="00000000" w:rsidRPr="00360007" w:rsidP="00360007">
            <w:pPr>
              <w:pStyle w:val="ListBullet"/>
            </w:pPr>
            <w:r w:rsidRPr="00360007">
              <w:t>checking connections and preparing conductors for termination</w:t>
            </w:r>
          </w:p>
          <w:p w:rsidR="00000000" w:rsidRPr="00360007" w:rsidP="00360007">
            <w:pPr>
              <w:pStyle w:val="ListBullet"/>
            </w:pPr>
            <w:r w:rsidRPr="00360007">
              <w:t>c</w:t>
            </w:r>
            <w:r w:rsidRPr="00360007">
              <w:t>hecking continuity of the protective earth conductor to determine whether it is sufficiently low</w:t>
            </w:r>
          </w:p>
          <w:p w:rsidR="00000000" w:rsidRPr="00360007" w:rsidP="00360007">
            <w:pPr>
              <w:pStyle w:val="ListBullet"/>
            </w:pPr>
            <w:r w:rsidRPr="00360007">
              <w:t>testing the resistance between the protective earth conductor and the neutral conductor to determine whether it is sufficiently low - not greater than 2 Ohms</w:t>
            </w:r>
          </w:p>
          <w:p w:rsidR="00000000" w:rsidRPr="00360007" w:rsidP="00360007">
            <w:pPr>
              <w:pStyle w:val="ListBullet"/>
            </w:pPr>
            <w:r w:rsidRPr="00360007">
              <w:t>testing the insulation resistance of active conductors to confirm that it is greater than 1 Megohm</w:t>
            </w:r>
          </w:p>
          <w:p w:rsidR="00000000" w:rsidRPr="00360007" w:rsidP="00360007">
            <w:pPr>
              <w:pStyle w:val="ListBullet"/>
            </w:pPr>
            <w:r w:rsidRPr="00360007">
              <w:t>connecting conductors to equipment</w:t>
            </w:r>
          </w:p>
          <w:p w:rsidR="00000000" w:rsidRPr="00360007" w:rsidP="00360007">
            <w:pPr>
              <w:pStyle w:val="ListBullet"/>
            </w:pPr>
            <w:r w:rsidRPr="00360007">
              <w:t>fastening/sealing cables/wires/conduits to specifications</w:t>
            </w:r>
          </w:p>
          <w:p w:rsidR="00000000" w:rsidRPr="00360007" w:rsidP="00360007">
            <w:pPr>
              <w:pStyle w:val="ListBullet"/>
            </w:pPr>
            <w:r w:rsidRPr="00360007">
              <w:t>removing earths and lock-off equipment and signage</w:t>
            </w:r>
          </w:p>
          <w:p w:rsidR="00000000" w:rsidRPr="00360007" w:rsidP="00360007">
            <w:pPr>
              <w:pStyle w:val="ListBullet"/>
            </w:pPr>
            <w:r w:rsidRPr="00360007">
              <w:t xml:space="preserve">checking and </w:t>
            </w:r>
            <w:r w:rsidRPr="00360007">
              <w:t>testing equipment and circuits for conformance to specifications</w:t>
            </w:r>
          </w:p>
          <w:p w:rsidR="00000000" w:rsidRPr="00360007" w:rsidP="00360007">
            <w:pPr>
              <w:pStyle w:val="ListBullet"/>
            </w:pPr>
            <w:r w:rsidRPr="00360007">
              <w:t>applying procedures for movement/treatment of injured, including:</w:t>
            </w:r>
          </w:p>
          <w:p w:rsidR="00000000" w:rsidRPr="00360007" w:rsidP="00360007">
            <w:pPr>
              <w:pStyle w:val="ListBullet2"/>
            </w:pPr>
            <w:r w:rsidRPr="00360007">
              <w:t>HV (high voltage) rescue</w:t>
            </w:r>
          </w:p>
          <w:p w:rsidR="00000000" w:rsidRPr="00360007" w:rsidP="00360007">
            <w:pPr>
              <w:pStyle w:val="ListBullet2"/>
            </w:pPr>
            <w:r w:rsidRPr="00360007">
              <w:t>clearing of airways</w:t>
            </w:r>
          </w:p>
          <w:p w:rsidR="00000000" w:rsidRPr="00360007" w:rsidP="00360007">
            <w:pPr>
              <w:pStyle w:val="ListBullet2"/>
            </w:pPr>
            <w:r w:rsidRPr="00360007">
              <w:t>CPR (cardio-pulmonary resuscitation)</w:t>
            </w:r>
          </w:p>
          <w:p w:rsidR="00000000" w:rsidRPr="00360007" w:rsidP="00360007">
            <w:pPr>
              <w:pStyle w:val="ListBullet2"/>
            </w:pPr>
            <w:r w:rsidRPr="00360007">
              <w:t>care of spinal injuries</w:t>
            </w:r>
          </w:p>
          <w:p w:rsidR="00000000" w:rsidRPr="00360007" w:rsidP="00360007">
            <w:pPr>
              <w:pStyle w:val="ListBullet2"/>
            </w:pPr>
            <w:r w:rsidRPr="00360007">
              <w:t>treatment of cuts/</w:t>
            </w:r>
            <w:r w:rsidRPr="00360007">
              <w:t>lesions etc.</w:t>
            </w:r>
          </w:p>
          <w:p w:rsidR="00000000" w:rsidRPr="00360007" w:rsidP="00360007">
            <w:pPr>
              <w:pStyle w:val="ListBullet2"/>
            </w:pPr>
            <w:r w:rsidRPr="00360007">
              <w:t>treatment of burns/scalds</w:t>
            </w:r>
          </w:p>
          <w:p w:rsidR="00000000" w:rsidRPr="00360007" w:rsidP="00360007">
            <w:pPr>
              <w:pStyle w:val="ListBullet2"/>
            </w:pPr>
            <w:r w:rsidRPr="00360007">
              <w:t>treatment of shock</w:t>
            </w:r>
          </w:p>
          <w:p w:rsidR="00000000" w:rsidRPr="00360007" w:rsidP="00360007">
            <w:pPr>
              <w:pStyle w:val="ListBullet"/>
            </w:pPr>
            <w:r w:rsidRPr="00360007">
              <w:t>identifying possible risks associated with this work</w:t>
            </w:r>
          </w:p>
          <w:p w:rsidR="00000000" w:rsidRPr="00360007" w:rsidP="00360007">
            <w:pPr>
              <w:pStyle w:val="ListBullet"/>
            </w:pPr>
            <w:r w:rsidRPr="00360007">
              <w:t>reading and interpreting routine information on written job instructions, specifications and standard operating procedures</w:t>
            </w:r>
          </w:p>
          <w:p w:rsidR="00000000" w:rsidP="00360007">
            <w:pPr>
              <w:pStyle w:val="ListBullet"/>
              <w:rPr>
                <w:lang w:val="en-NZ"/>
              </w:rPr>
            </w:pPr>
            <w:r w:rsidRPr="00360007">
              <w:t>following oral instruc</w:t>
            </w:r>
            <w:r w:rsidRPr="00360007">
              <w:t>tions</w:t>
            </w:r>
          </w:p>
        </w:tc>
      </w:tr>
      <w:tr w:rsidTr="008A41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rPr>
                <w:rStyle w:val="SpecialBold"/>
              </w:rPr>
              <w:t>Required knowledge</w:t>
            </w:r>
          </w:p>
        </w:tc>
      </w:tr>
      <w:tr w:rsidTr="008A41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007" w:rsidP="00360007">
            <w:pPr>
              <w:pStyle w:val="BodyText"/>
            </w:pPr>
            <w:r w:rsidRPr="00360007">
              <w:t>Look for evidence that confirms knowledge of:</w:t>
            </w:r>
          </w:p>
          <w:p w:rsidR="00000000" w:rsidRPr="00360007" w:rsidP="00360007">
            <w:pPr>
              <w:pStyle w:val="ListBullet"/>
            </w:pPr>
            <w:r w:rsidRPr="00360007">
              <w:t>any applicable industry standards, national/Australian standards, NOHSC guides, State/Territory regulatory codes of practice/standards</w:t>
            </w:r>
          </w:p>
          <w:p w:rsidR="00000000" w:rsidRPr="00360007" w:rsidP="00360007">
            <w:pPr>
              <w:pStyle w:val="ListBullet"/>
            </w:pPr>
            <w:r w:rsidRPr="00360007">
              <w:t>use and application of personal protective equipment for disconnecting/reconnecting fixed wired equipment over 1000 volts a.c.1500 volts d.c.</w:t>
            </w:r>
          </w:p>
          <w:p w:rsidR="00000000" w:rsidRPr="00360007" w:rsidP="00360007">
            <w:pPr>
              <w:pStyle w:val="ListBullet"/>
            </w:pPr>
            <w:r w:rsidRPr="00360007">
              <w:t>safe work practices and procedures</w:t>
            </w:r>
          </w:p>
          <w:p w:rsidR="00000000" w:rsidRPr="00360007" w:rsidP="00360007">
            <w:pPr>
              <w:pStyle w:val="ListBullet"/>
            </w:pPr>
            <w:r w:rsidRPr="00360007">
              <w:t>characteristics of the circuit and the equipment</w:t>
            </w:r>
          </w:p>
          <w:p w:rsidR="00000000" w:rsidRPr="00360007" w:rsidP="00360007">
            <w:pPr>
              <w:pStyle w:val="ListBullet"/>
            </w:pPr>
            <w:r w:rsidRPr="00360007">
              <w:t>hazards associated with the ci</w:t>
            </w:r>
            <w:r w:rsidRPr="00360007">
              <w:t xml:space="preserve">rcuits and the equipment </w:t>
            </w:r>
          </w:p>
          <w:p w:rsidR="00000000" w:rsidRPr="00360007" w:rsidP="00360007">
            <w:pPr>
              <w:pStyle w:val="ListBullet"/>
            </w:pPr>
            <w:r w:rsidRPr="00360007">
              <w:t>relevant regulatory requirements</w:t>
            </w:r>
          </w:p>
          <w:p w:rsidR="00000000" w:rsidRPr="00360007" w:rsidP="00360007">
            <w:pPr>
              <w:pStyle w:val="ListBullet"/>
            </w:pPr>
            <w:r w:rsidRPr="00360007">
              <w:t>point(s) of isolation for the fixed wired equipment and reasons for selecting the particular isolation point(s)</w:t>
            </w:r>
          </w:p>
          <w:p w:rsidR="00000000" w:rsidRPr="00360007" w:rsidP="00360007">
            <w:pPr>
              <w:pStyle w:val="ListBullet"/>
            </w:pPr>
            <w:r w:rsidRPr="00360007">
              <w:t>reasons for using earthing, lock-off equipment and signs</w:t>
            </w:r>
          </w:p>
          <w:p w:rsidR="00000000" w:rsidRPr="00360007" w:rsidP="00360007">
            <w:pPr>
              <w:pStyle w:val="ListBullet"/>
            </w:pPr>
            <w:r w:rsidRPr="00360007">
              <w:t>clearances from live parts</w:t>
            </w:r>
          </w:p>
          <w:p w:rsidR="00000000" w:rsidRPr="00360007" w:rsidP="00360007">
            <w:pPr>
              <w:pStyle w:val="ListBullet"/>
            </w:pPr>
            <w:r w:rsidRPr="00360007">
              <w:t>s</w:t>
            </w:r>
            <w:r w:rsidRPr="00360007">
              <w:t>afe isolation</w:t>
            </w:r>
          </w:p>
          <w:p w:rsidR="00000000" w:rsidRPr="00360007" w:rsidP="00360007">
            <w:pPr>
              <w:pStyle w:val="ListBullet"/>
            </w:pPr>
            <w:r w:rsidRPr="00360007">
              <w:t>specifications for the connections to be made</w:t>
            </w:r>
          </w:p>
          <w:p w:rsidR="00000000" w:rsidRPr="00360007" w:rsidP="00360007">
            <w:pPr>
              <w:pStyle w:val="ListBullet"/>
            </w:pPr>
            <w:r w:rsidRPr="00360007">
              <w:t xml:space="preserve">operational specifications of the fixed wired equipment </w:t>
            </w:r>
          </w:p>
          <w:p w:rsidR="00000000" w:rsidRPr="00360007" w:rsidP="00360007">
            <w:pPr>
              <w:pStyle w:val="ListBullet"/>
            </w:pPr>
            <w:r w:rsidRPr="00360007">
              <w:t>potential dangers of the work covered in this unit</w:t>
            </w:r>
          </w:p>
          <w:p w:rsidR="00000000" w:rsidRPr="00360007" w:rsidP="00360007">
            <w:pPr>
              <w:pStyle w:val="ListBullet"/>
            </w:pPr>
            <w:r w:rsidRPr="00360007">
              <w:t>recognised procedures for the movement and treatment of the injured person</w:t>
            </w:r>
          </w:p>
          <w:p w:rsidR="00000000" w:rsidRPr="00360007" w:rsidP="00360007">
            <w:pPr>
              <w:pStyle w:val="ListBullet"/>
            </w:pPr>
            <w:r w:rsidRPr="00360007">
              <w:t>appropriate l</w:t>
            </w:r>
            <w:r w:rsidRPr="00360007">
              <w:t>ocal medical and rescue services</w:t>
            </w:r>
          </w:p>
          <w:p w:rsidR="00000000" w:rsidRPr="00360007" w:rsidP="00360007">
            <w:pPr>
              <w:pStyle w:val="ListBullet"/>
            </w:pPr>
            <w:r w:rsidRPr="00360007">
              <w:t xml:space="preserve">procedures for incident reporting </w:t>
            </w:r>
          </w:p>
          <w:p w:rsidR="00000000" w:rsidRPr="00360007" w:rsidP="00360007">
            <w:pPr>
              <w:pStyle w:val="ListBullet"/>
            </w:pPr>
            <w:r w:rsidRPr="00360007">
              <w:t>procedures, techniques, tools and equipment to be used for:</w:t>
            </w:r>
          </w:p>
          <w:p w:rsidR="00000000" w:rsidRPr="00360007" w:rsidP="00360007">
            <w:pPr>
              <w:pStyle w:val="ListBullet2"/>
            </w:pPr>
            <w:r w:rsidRPr="00360007">
              <w:t>determining and recording equipment characteristics</w:t>
            </w:r>
          </w:p>
          <w:p w:rsidR="00000000" w:rsidRPr="00360007" w:rsidP="00360007">
            <w:pPr>
              <w:pStyle w:val="ListBullet2"/>
            </w:pPr>
            <w:r w:rsidRPr="00360007">
              <w:t>isolating the fixed wired equipment</w:t>
            </w:r>
          </w:p>
          <w:p w:rsidR="00000000" w:rsidRPr="00360007" w:rsidP="00360007">
            <w:pPr>
              <w:pStyle w:val="ListBullet2"/>
            </w:pPr>
            <w:r w:rsidRPr="00360007">
              <w:t>proving electrical isolation</w:t>
            </w:r>
          </w:p>
          <w:p w:rsidR="00000000" w:rsidRPr="00360007" w:rsidP="00360007">
            <w:pPr>
              <w:pStyle w:val="ListBullet2"/>
            </w:pPr>
            <w:r w:rsidRPr="00360007">
              <w:t>labelling conductors and recording conductor layout</w:t>
            </w:r>
          </w:p>
          <w:p w:rsidR="00000000" w:rsidRPr="00360007" w:rsidP="00360007">
            <w:pPr>
              <w:pStyle w:val="ListBullet2"/>
            </w:pPr>
            <w:r w:rsidRPr="00360007">
              <w:t>disconnecting conductors</w:t>
            </w:r>
          </w:p>
          <w:p w:rsidR="00000000" w:rsidRPr="00360007" w:rsidP="00360007">
            <w:pPr>
              <w:pStyle w:val="ListBullet2"/>
            </w:pPr>
            <w:r w:rsidRPr="00360007">
              <w:t>terminating disconnected cables/connections</w:t>
            </w:r>
          </w:p>
          <w:p w:rsidR="00000000" w:rsidRPr="00360007" w:rsidP="00360007">
            <w:pPr>
              <w:pStyle w:val="ListBullet2"/>
            </w:pPr>
            <w:r w:rsidRPr="00360007">
              <w:t>checking circuits for safe isolation</w:t>
            </w:r>
          </w:p>
          <w:p w:rsidR="00000000" w:rsidRPr="00360007" w:rsidP="00360007">
            <w:pPr>
              <w:pStyle w:val="ListBullet2"/>
            </w:pPr>
            <w:r w:rsidRPr="00360007">
              <w:t>terminating conductors and checking connections</w:t>
            </w:r>
          </w:p>
          <w:p w:rsidR="00000000" w:rsidRPr="00360007" w:rsidP="00360007">
            <w:pPr>
              <w:pStyle w:val="ListBullet2"/>
            </w:pPr>
            <w:r w:rsidRPr="00360007">
              <w:t>connecting the conductors to the equipment</w:t>
            </w:r>
          </w:p>
          <w:p w:rsidR="00000000" w:rsidRPr="00360007" w:rsidP="00360007">
            <w:pPr>
              <w:pStyle w:val="ListBullet2"/>
            </w:pPr>
            <w:r w:rsidRPr="00360007">
              <w:t>fasteni</w:t>
            </w:r>
            <w:r w:rsidRPr="00360007">
              <w:t>ng and seal the cables, wires and conduits</w:t>
            </w:r>
          </w:p>
          <w:p w:rsidR="00000000" w:rsidRPr="00360007" w:rsidP="00360007">
            <w:pPr>
              <w:pStyle w:val="ListBullet2"/>
            </w:pPr>
            <w:r w:rsidRPr="00360007">
              <w:t>removing lock-off equipment and signage</w:t>
            </w:r>
          </w:p>
          <w:p w:rsidR="00000000" w:rsidRPr="00360007" w:rsidP="00360007">
            <w:pPr>
              <w:pStyle w:val="ListBullet2"/>
            </w:pPr>
            <w:r w:rsidRPr="00360007">
              <w:t>checking the operation of the equipment and circuits</w:t>
            </w:r>
          </w:p>
          <w:p w:rsidR="00000000" w:rsidRPr="00360007" w:rsidP="00360007">
            <w:pPr>
              <w:pStyle w:val="ListBullet2"/>
            </w:pPr>
            <w:r w:rsidRPr="00360007">
              <w:t>checking and testing the compliance of the equipment with specifications</w:t>
            </w:r>
          </w:p>
        </w:tc>
      </w:tr>
    </w:tbl>
    <w:p w:rsidR="008A4132" w:rsidP="00360007">
      <w:pPr>
        <w:pStyle w:val="BodyText"/>
      </w:pPr>
    </w:p>
    <w:p w:rsidR="008A4132" w:rsidP="00360007">
      <w:pPr>
        <w:pStyle w:val="BodyText"/>
      </w:pPr>
    </w:p>
    <w:p w:rsidR="00000000" w:rsidRPr="00360007" w:rsidP="00360007">
      <w:pPr>
        <w:pStyle w:val="AllowPageBreak"/>
      </w:pPr>
    </w:p>
    <w:p w:rsidR="00000000" w:rsidRPr="00360007" w:rsidP="00360007">
      <w:pPr>
        <w:pStyle w:val="Heading1"/>
      </w:pPr>
      <w:bookmarkStart w:id="10" w:name="O_461411"/>
      <w:bookmarkEnd w:id="10"/>
      <w:r w:rsidRPr="00360007">
        <w:t>Evidence Guide</w:t>
      </w:r>
    </w:p>
    <w:tbl>
      <w:tblPr>
        <w:tblW w:w="9570" w:type="dxa"/>
        <w:tblLayout w:type="fixed"/>
        <w:tblCellMar>
          <w:left w:w="62" w:type="dxa"/>
          <w:right w:w="62" w:type="dxa"/>
        </w:tblCellMar>
        <w:tblLook w:val="0000"/>
      </w:tblPr>
      <w:tblGrid>
        <w:gridCol w:w="3908"/>
        <w:gridCol w:w="5662"/>
      </w:tblGrid>
      <w:tr w:rsidTr="008A41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rPr>
                <w:rStyle w:val="SpecialBold"/>
              </w:rPr>
              <w:t>EVIDENCE GUIDE</w:t>
            </w:r>
          </w:p>
        </w:tc>
      </w:tr>
      <w:tr w:rsidTr="008A41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t>The evidence guide provides advice on assessment and must be read in conjunction with the performance criteria, required skills and knowledge, range statement and the Assessment Guidelines for the Training Package.</w:t>
            </w:r>
          </w:p>
        </w:tc>
      </w:tr>
      <w:tr w:rsidTr="008A41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t>A person who demonstrates competency in this unit must be able to disconnect/reconnect fixed wired equipment over 1000 volts a.c./1500 volts d.c. Competency in this unit cannot be claimed until all prerequisites have been satisfied.</w:t>
            </w:r>
          </w:p>
        </w:tc>
      </w:tr>
      <w:tr w:rsidTr="008A41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t xml:space="preserve">Assessors must be satisfied that the candidate can competently and consistently perform all elements of the unit as specified by the criteria, including required </w:t>
            </w:r>
            <w:r w:rsidRPr="00360007">
              <w:t>knowledge, and be capable of applying the competency in new and different situations and contexts.</w:t>
            </w:r>
          </w:p>
        </w:tc>
      </w:tr>
      <w:tr w:rsidTr="008A41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007" w:rsidP="00360007">
            <w:pPr>
              <w:pStyle w:val="BodyText"/>
            </w:pPr>
            <w:r w:rsidRPr="00360007">
              <w:t>This unit may be assessed on the job, off the job or a combination of both on and off the job. Where assessment occurs off the job, that is the candidate is not in productive work, then an appropriate simulation must be used where the range of conditions r</w:t>
            </w:r>
            <w:r w:rsidRPr="00360007">
              <w:t xml:space="preserve">eflects realistic workplace situations. The competencies covered by this unit would be demonstrated by an individual working alone or as part of a team. The assessment environment should not disadvantage the candidate. </w:t>
            </w:r>
          </w:p>
          <w:p w:rsidR="00000000" w:rsidP="00360007">
            <w:pPr>
              <w:pStyle w:val="BodyText"/>
              <w:rPr>
                <w:lang w:val="en-NZ"/>
              </w:rPr>
            </w:pPr>
            <w:r w:rsidRPr="00360007">
              <w:t>This unit could be assessed in conju</w:t>
            </w:r>
            <w:r w:rsidRPr="00360007">
              <w:t>nction with any other units addressing the safety, quality, communication, materials handling, recording and reporting associated with disconnecting/reconnecting fixed wired equipment over 1000 volts a.c./1500 volts d.c., or other units requiring the exerc</w:t>
            </w:r>
            <w:r w:rsidRPr="00360007">
              <w:t>ise of the skills and knowledge covered by this unit.</w:t>
            </w:r>
          </w:p>
        </w:tc>
      </w:tr>
      <w:tr w:rsidTr="008A41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t>Assessors should gather a range of evidence that is valid, sufficient, current and authentic. Evidence can be gathered through a variety of ways including direct observation, super</w:t>
            </w:r>
            <w:r w:rsidRPr="00360007">
              <w:t>visor's reports, project work, samples and questioning. Questioning techniques should not require language, literacy and numeracy skills beyond those required in this unit of competency. The candidate must have access to all tools, equipment, materials and</w:t>
            </w:r>
            <w:r w:rsidRPr="00360007">
              <w:t xml:space="preserve"> documentation required. The candidate must be permitted to refer to any relevant workplace procedures, product and manufacturing specifications, codes, standards, manuals and reference materials.</w:t>
            </w:r>
          </w:p>
        </w:tc>
      </w:tr>
      <w:tr w:rsidTr="008A41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007" w:rsidP="00360007">
            <w:pPr>
              <w:pStyle w:val="BodyText"/>
            </w:pPr>
          </w:p>
        </w:tc>
      </w:tr>
    </w:tbl>
    <w:p w:rsidR="008A4132" w:rsidP="00360007">
      <w:pPr>
        <w:pStyle w:val="BodyText"/>
      </w:pPr>
    </w:p>
    <w:p w:rsidR="008A4132" w:rsidP="00360007">
      <w:pPr>
        <w:pStyle w:val="BodyText"/>
      </w:pPr>
    </w:p>
    <w:p w:rsidR="00000000" w:rsidRPr="00360007" w:rsidP="00360007">
      <w:pPr>
        <w:pStyle w:val="Heading1"/>
      </w:pPr>
      <w:bookmarkStart w:id="11" w:name="O_461395"/>
      <w:bookmarkEnd w:id="11"/>
      <w:r w:rsidRPr="00360007">
        <w:t>Range Statement</w:t>
      </w:r>
    </w:p>
    <w:tbl>
      <w:tblPr>
        <w:tblW w:w="0" w:type="auto"/>
        <w:tblLayout w:type="fixed"/>
        <w:tblCellMar>
          <w:left w:w="62" w:type="dxa"/>
          <w:right w:w="62" w:type="dxa"/>
        </w:tblCellMar>
        <w:tblLook w:val="0000"/>
      </w:tblPr>
      <w:tblGrid>
        <w:gridCol w:w="3414"/>
        <w:gridCol w:w="5108"/>
      </w:tblGrid>
      <w:tr w:rsidTr="008A41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rPr>
                <w:rStyle w:val="SpecialBold"/>
              </w:rPr>
              <w:t>RANGE STATEMENT</w:t>
            </w:r>
          </w:p>
        </w:tc>
      </w:tr>
      <w:tr w:rsidTr="008A41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t xml:space="preserve">The range statement relates to the unit of competency as a whole. It allows for different work environments and situations that may affect </w:t>
            </w:r>
            <w:r w:rsidRPr="00360007">
              <w:t>performance. Bold italicised wording, if used in the performance criteria, is detailed below. Essential operating conditions that may be present with training and assessment (depending on the work situation, needs of the candidate, accessibility of the ite</w:t>
            </w:r>
            <w:r w:rsidRPr="00360007">
              <w:t>m, and local industry and regional contexts) may also be included.</w:t>
            </w:r>
          </w:p>
        </w:tc>
      </w:tr>
      <w:tr w:rsidTr="008A4132">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rPr>
                <w:rStyle w:val="SpecialBold"/>
              </w:rPr>
              <w:t>Appropriate techniques and procedures</w:t>
            </w:r>
            <w:r w:rsidRPr="00360007">
              <w:t xml:space="preserve"> </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t>Includes clearances for safe approach as mandated by statutory authorities</w:t>
            </w:r>
          </w:p>
        </w:tc>
      </w:tr>
      <w:tr w:rsidTr="008A4132">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rPr>
                <w:rStyle w:val="SpecialBold"/>
              </w:rPr>
              <w:t>Isolation</w:t>
            </w:r>
            <w:r w:rsidRPr="00360007">
              <w:t xml:space="preserve"> </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t>Isolating supply for safe disconnection of all electrical pow</w:t>
            </w:r>
            <w:r w:rsidRPr="00360007">
              <w:t>er to equipment supply circuit with switch circuit breaker or fuses etc.</w:t>
            </w:r>
          </w:p>
        </w:tc>
      </w:tr>
      <w:tr w:rsidTr="008A4132">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rPr>
                <w:rStyle w:val="SpecialBold"/>
              </w:rPr>
              <w:t>Connection</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t xml:space="preserve">Disconnection/reconnection and making safe for maintenance of equipment </w:t>
            </w:r>
          </w:p>
        </w:tc>
      </w:tr>
      <w:tr w:rsidTr="008A4132">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rPr>
                <w:rStyle w:val="SpecialBold"/>
              </w:rPr>
              <w:t>Circuit</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t>Applies to voltage levels above 1000 volts a.c. and 1500 volts d.c.</w:t>
            </w:r>
          </w:p>
        </w:tc>
      </w:tr>
      <w:tr w:rsidTr="008A4132">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rPr>
                <w:rStyle w:val="SpecialBold"/>
              </w:rPr>
              <w:t>Tools and equipment</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t xml:space="preserve">In accordance with voltage and fault limiting requirements appropriate proving dead meters, high potential testers, voltmeters and a range of hand held tools such as pliers, screwdrivers, sockets, spanners, keys, earthing links, operating sticks etc. </w:t>
            </w:r>
          </w:p>
        </w:tc>
      </w:tr>
      <w:tr w:rsidTr="008A4132">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rPr>
                <w:rStyle w:val="SpecialBold"/>
              </w:rPr>
              <w:t>Sig</w:t>
            </w:r>
            <w:r w:rsidRPr="00360007">
              <w:rPr>
                <w:rStyle w:val="SpecialBold"/>
              </w:rPr>
              <w:t>nage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007" w:rsidP="00360007">
            <w:pPr>
              <w:pStyle w:val="BodyText"/>
            </w:pPr>
            <w:r w:rsidRPr="00360007">
              <w:t>Tags, access permit holders, restricted access signs</w:t>
            </w:r>
          </w:p>
        </w:tc>
      </w:tr>
    </w:tbl>
    <w:p w:rsidR="008A4132" w:rsidP="00360007">
      <w:pPr>
        <w:pStyle w:val="BodyText"/>
      </w:pPr>
    </w:p>
    <w:p w:rsidR="008A4132" w:rsidP="00360007">
      <w:pPr>
        <w:pStyle w:val="BodyText"/>
      </w:pPr>
    </w:p>
    <w:p w:rsidR="00000000" w:rsidRPr="00360007" w:rsidP="00360007">
      <w:pPr>
        <w:pStyle w:val="Heading1"/>
      </w:pPr>
      <w:bookmarkStart w:id="12" w:name="O_461392"/>
      <w:bookmarkEnd w:id="12"/>
      <w:r w:rsidRPr="00360007">
        <w:t>Unit Sector(s)</w:t>
      </w:r>
    </w:p>
    <w:tbl>
      <w:tblPr>
        <w:tblW w:w="0" w:type="auto"/>
        <w:tblLayout w:type="fixed"/>
        <w:tblCellMar>
          <w:left w:w="62" w:type="dxa"/>
          <w:right w:w="62" w:type="dxa"/>
        </w:tblCellMar>
        <w:tblLook w:val="0000"/>
      </w:tblPr>
      <w:tblGrid>
        <w:gridCol w:w="2654"/>
        <w:gridCol w:w="5868"/>
      </w:tblGrid>
      <w:tr w:rsidTr="008A413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007" w:rsidP="00360007">
            <w:pPr>
              <w:pStyle w:val="BodyText"/>
            </w:pPr>
          </w:p>
        </w:tc>
      </w:tr>
    </w:tbl>
    <w:p w:rsidR="008A4132" w:rsidP="00360007">
      <w:pPr>
        <w:pStyle w:val="BodyText"/>
      </w:pPr>
    </w:p>
    <w:p w:rsidR="008A4132" w:rsidP="00360007">
      <w:pPr>
        <w:pStyle w:val="BodyText"/>
      </w:pPr>
    </w:p>
    <w:p w:rsidR="00000000" w:rsidRPr="00360007" w:rsidP="00360007">
      <w:pPr>
        <w:pStyle w:val="Heading1"/>
      </w:pPr>
      <w:bookmarkStart w:id="13" w:name="O_461415"/>
      <w:bookmarkEnd w:id="13"/>
      <w:r w:rsidRPr="00360007">
        <w:t>Co-requisite units</w:t>
      </w:r>
    </w:p>
    <w:tbl>
      <w:tblPr>
        <w:tblW w:w="0" w:type="auto"/>
        <w:tblLayout w:type="fixed"/>
        <w:tblCellMar>
          <w:left w:w="62" w:type="dxa"/>
          <w:right w:w="62" w:type="dxa"/>
        </w:tblCellMar>
        <w:tblLook w:val="0000"/>
      </w:tblPr>
      <w:tblGrid>
        <w:gridCol w:w="2641"/>
        <w:gridCol w:w="1322"/>
        <w:gridCol w:w="4559"/>
      </w:tblGrid>
      <w:tr w:rsidTr="008A41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p>
        </w:tc>
      </w:tr>
      <w:tr w:rsidTr="008A41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p>
        </w:tc>
      </w:tr>
      <w:tr w:rsidTr="008A41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007" w:rsidP="00360007">
            <w:pPr>
              <w:pStyle w:val="BodyText"/>
            </w:pPr>
          </w:p>
        </w:tc>
      </w:tr>
    </w:tbl>
    <w:p w:rsidR="008A4132" w:rsidP="00360007">
      <w:pPr>
        <w:pStyle w:val="BodyText"/>
      </w:pPr>
    </w:p>
    <w:p w:rsidR="008A4132" w:rsidP="00360007">
      <w:pPr>
        <w:pStyle w:val="BodyText"/>
      </w:pPr>
    </w:p>
    <w:p w:rsidR="00000000" w:rsidRPr="00360007" w:rsidP="00360007">
      <w:pPr>
        <w:pStyle w:val="Heading1"/>
      </w:pPr>
      <w:bookmarkStart w:id="14" w:name="O_461416"/>
      <w:bookmarkEnd w:id="14"/>
      <w:r w:rsidRPr="00360007">
        <w:t>Competency field</w:t>
      </w:r>
    </w:p>
    <w:tbl>
      <w:tblPr>
        <w:tblW w:w="0" w:type="auto"/>
        <w:tblLayout w:type="fixed"/>
        <w:tblCellMar>
          <w:left w:w="62" w:type="dxa"/>
          <w:right w:w="62" w:type="dxa"/>
        </w:tblCellMar>
        <w:tblLook w:val="0000"/>
      </w:tblPr>
      <w:tblGrid>
        <w:gridCol w:w="2775"/>
        <w:gridCol w:w="5747"/>
      </w:tblGrid>
      <w:tr w:rsidTr="008A413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007">
            <w:pPr>
              <w:pStyle w:val="BodyText"/>
              <w:rPr>
                <w:lang w:val="en-NZ"/>
              </w:rPr>
            </w:pPr>
            <w:r w:rsidRPr="00360007">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007" w:rsidP="00360007">
            <w:pPr>
              <w:pStyle w:val="BodyText"/>
            </w:pPr>
            <w:r w:rsidRPr="00360007">
              <w:t>Maintenance and diagnostics</w:t>
            </w:r>
          </w:p>
        </w:tc>
      </w:tr>
    </w:tbl>
    <w:p w:rsidR="008A4132" w:rsidP="00360007">
      <w:pPr>
        <w:pStyle w:val="BodyText"/>
      </w:pPr>
    </w:p>
    <w:p w:rsidR="008A4132" w:rsidP="00360007">
      <w:pPr>
        <w:pStyle w:val="BodyText"/>
      </w:pPr>
    </w:p>
    <w:p w:rsidR="00000000" w:rsidRPr="00360007" w:rsidP="00360007"/>
    <w:sectPr w:rsidSect="003600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0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4132" w:rsidP="008A413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0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132" w:rsidP="0036000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A4132" w:rsidP="003600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A4132" w:rsidP="003600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0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007" w:rsidRPr="008A4132" w:rsidP="008A41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0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132" w:rsidRPr="002D2AF8" w:rsidP="00360007">
    <w:pPr>
      <w:pStyle w:val="Header"/>
      <w:framePr w:wrap="around"/>
    </w:pPr>
    <w:r>
      <w:fldChar w:fldCharType="begin"/>
    </w:r>
    <w:r>
      <w:instrText xml:space="preserve"> TITLE   \* MERGEFORMAT </w:instrText>
    </w:r>
    <w:r>
      <w:fldChar w:fldCharType="separate"/>
    </w:r>
    <w:r>
      <w:t>MEM18050C Disconnect/reconnect fixed wired equipment over 1000 volts a.c./1500 volts d.c.</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A4132" w:rsidP="003600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C8F8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ECFE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F4AB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0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0007"/>
    <w:pPr>
      <w:spacing w:before="360" w:after="60"/>
      <w:outlineLvl w:val="0"/>
    </w:pPr>
    <w:rPr>
      <w:sz w:val="32"/>
    </w:rPr>
  </w:style>
  <w:style w:type="paragraph" w:styleId="Heading2">
    <w:name w:val="heading 2"/>
    <w:basedOn w:val="HeadingBase"/>
    <w:next w:val="BodyText"/>
    <w:link w:val="Heading2Char"/>
    <w:qFormat/>
    <w:rsid w:val="00360007"/>
    <w:pPr>
      <w:keepLines/>
      <w:spacing w:before="240" w:after="120"/>
      <w:outlineLvl w:val="1"/>
    </w:pPr>
    <w:rPr>
      <w:sz w:val="28"/>
      <w:szCs w:val="40"/>
    </w:rPr>
  </w:style>
  <w:style w:type="paragraph" w:styleId="Heading3">
    <w:name w:val="heading 3"/>
    <w:basedOn w:val="HeadingBase"/>
    <w:next w:val="BodyText"/>
    <w:link w:val="Heading3Char"/>
    <w:qFormat/>
    <w:rsid w:val="00360007"/>
    <w:pPr>
      <w:spacing w:before="180" w:after="120"/>
      <w:outlineLvl w:val="2"/>
    </w:pPr>
    <w:rPr>
      <w:spacing w:val="-10"/>
      <w:kern w:val="32"/>
    </w:rPr>
  </w:style>
  <w:style w:type="paragraph" w:styleId="Heading4">
    <w:name w:val="heading 4"/>
    <w:basedOn w:val="HeadingBase"/>
    <w:next w:val="BodyText"/>
    <w:link w:val="Heading4Char"/>
    <w:qFormat/>
    <w:rsid w:val="00360007"/>
    <w:pPr>
      <w:spacing w:before="160" w:after="120"/>
      <w:outlineLvl w:val="3"/>
    </w:pPr>
    <w:rPr>
      <w:sz w:val="22"/>
    </w:rPr>
  </w:style>
  <w:style w:type="paragraph" w:styleId="Heading5">
    <w:name w:val="heading 5"/>
    <w:basedOn w:val="HeadingBase"/>
    <w:next w:val="Normal"/>
    <w:link w:val="Heading5Char"/>
    <w:qFormat/>
    <w:rsid w:val="00360007"/>
    <w:pPr>
      <w:spacing w:before="80"/>
      <w:outlineLvl w:val="4"/>
    </w:pPr>
    <w:rPr>
      <w:color w:val="918585"/>
      <w:sz w:val="20"/>
    </w:rPr>
  </w:style>
  <w:style w:type="paragraph" w:styleId="Heading6">
    <w:name w:val="heading 6"/>
    <w:basedOn w:val="HeadingBase"/>
    <w:next w:val="Normal"/>
    <w:link w:val="Heading6Char"/>
    <w:qFormat/>
    <w:rsid w:val="00360007"/>
    <w:pPr>
      <w:spacing w:before="60"/>
      <w:outlineLvl w:val="5"/>
    </w:pPr>
    <w:rPr>
      <w:color w:val="918585"/>
      <w:sz w:val="20"/>
    </w:rPr>
  </w:style>
  <w:style w:type="paragraph" w:styleId="Heading7">
    <w:name w:val="heading 7"/>
    <w:basedOn w:val="Normal"/>
    <w:next w:val="Normal"/>
    <w:link w:val="Heading7Char"/>
    <w:qFormat/>
    <w:rsid w:val="00360007"/>
    <w:pPr>
      <w:ind w:left="720"/>
      <w:outlineLvl w:val="6"/>
    </w:pPr>
    <w:rPr>
      <w:i/>
    </w:rPr>
  </w:style>
  <w:style w:type="paragraph" w:styleId="Heading8">
    <w:name w:val="heading 8"/>
    <w:basedOn w:val="Normal"/>
    <w:next w:val="Normal"/>
    <w:link w:val="Heading8Char"/>
    <w:qFormat/>
    <w:rsid w:val="00360007"/>
    <w:pPr>
      <w:ind w:left="720"/>
      <w:outlineLvl w:val="7"/>
    </w:pPr>
    <w:rPr>
      <w:i/>
    </w:rPr>
  </w:style>
  <w:style w:type="paragraph" w:styleId="Heading9">
    <w:name w:val="heading 9"/>
    <w:basedOn w:val="Normal"/>
    <w:next w:val="Normal"/>
    <w:link w:val="Heading9Char"/>
    <w:qFormat/>
    <w:rsid w:val="00360007"/>
    <w:pPr>
      <w:ind w:left="720"/>
      <w:outlineLvl w:val="8"/>
    </w:pPr>
    <w:rPr>
      <w:i/>
    </w:rPr>
  </w:style>
  <w:style w:type="character" w:default="1" w:styleId="DefaultParagraphFont">
    <w:name w:val="Default Paragraph Font"/>
    <w:uiPriority w:val="1"/>
    <w:unhideWhenUsed/>
    <w:rsid w:val="003600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007"/>
  </w:style>
  <w:style w:type="character" w:customStyle="1" w:styleId="Heading1Char">
    <w:name w:val="Heading 1 Char"/>
    <w:basedOn w:val="DefaultParagraphFont"/>
    <w:link w:val="Heading1"/>
    <w:rsid w:val="00360007"/>
    <w:rPr>
      <w:rFonts w:ascii="Times New Roman" w:eastAsia="Times New Roman" w:hAnsi="Times New Roman" w:cs="Times New Roman"/>
      <w:b/>
      <w:sz w:val="32"/>
      <w:szCs w:val="20"/>
      <w:lang w:eastAsia="en-US"/>
    </w:rPr>
  </w:style>
  <w:style w:type="paragraph" w:styleId="BodyText">
    <w:name w:val="Body Text"/>
    <w:basedOn w:val="Normal"/>
    <w:link w:val="BodyTextChar"/>
    <w:rsid w:val="003600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0007"/>
    <w:rPr>
      <w:rFonts w:ascii="Times New Roman" w:eastAsia="Times New Roman" w:hAnsi="Times New Roman" w:cs="Times New Roman"/>
      <w:sz w:val="24"/>
      <w:lang w:eastAsia="en-US"/>
    </w:rPr>
  </w:style>
  <w:style w:type="paragraph" w:styleId="Footer">
    <w:name w:val="footer"/>
    <w:basedOn w:val="Normal"/>
    <w:link w:val="FooterChar"/>
    <w:rsid w:val="003600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007"/>
    <w:rPr>
      <w:rFonts w:ascii="Times New Roman" w:eastAsia="Times New Roman" w:hAnsi="Times New Roman" w:cs="Times New Roman"/>
      <w:sz w:val="16"/>
      <w:lang w:eastAsia="en-US"/>
    </w:rPr>
  </w:style>
  <w:style w:type="paragraph" w:styleId="List">
    <w:name w:val="List"/>
    <w:basedOn w:val="BodyText"/>
    <w:next w:val="BodyText"/>
    <w:rsid w:val="00360007"/>
    <w:pPr>
      <w:tabs>
        <w:tab w:val="left" w:pos="340"/>
      </w:tabs>
      <w:spacing w:before="60" w:after="60"/>
      <w:ind w:left="340" w:hanging="340"/>
    </w:pPr>
  </w:style>
  <w:style w:type="paragraph" w:styleId="ListBullet">
    <w:name w:val="List Bullet"/>
    <w:basedOn w:val="List"/>
    <w:rsid w:val="00360007"/>
    <w:pPr>
      <w:numPr>
        <w:numId w:val="13"/>
      </w:numPr>
      <w:tabs>
        <w:tab w:val="clear" w:pos="340"/>
      </w:tabs>
      <w:spacing w:before="40" w:after="40"/>
    </w:pPr>
  </w:style>
  <w:style w:type="character" w:customStyle="1" w:styleId="SpecialBold">
    <w:name w:val="Special Bold"/>
    <w:basedOn w:val="DefaultParagraphFont"/>
    <w:rsid w:val="00360007"/>
    <w:rPr>
      <w:b/>
      <w:spacing w:val="0"/>
    </w:rPr>
  </w:style>
  <w:style w:type="paragraph" w:styleId="ListBullet2">
    <w:name w:val="List Bullet 2"/>
    <w:basedOn w:val="List2"/>
    <w:rsid w:val="00360007"/>
    <w:pPr>
      <w:numPr>
        <w:numId w:val="14"/>
      </w:numPr>
      <w:tabs>
        <w:tab w:val="clear" w:pos="680"/>
      </w:tabs>
    </w:pPr>
  </w:style>
  <w:style w:type="paragraph" w:customStyle="1" w:styleId="SuperHeading">
    <w:name w:val="SuperHeading"/>
    <w:basedOn w:val="Normal"/>
    <w:rsid w:val="00360007"/>
    <w:pPr>
      <w:spacing w:before="240" w:after="120"/>
      <w:outlineLvl w:val="0"/>
    </w:pPr>
    <w:rPr>
      <w:rFonts w:ascii="Times New Roman" w:hAnsi="Times New Roman"/>
      <w:b/>
      <w:sz w:val="28"/>
    </w:rPr>
  </w:style>
  <w:style w:type="paragraph" w:customStyle="1" w:styleId="AllowPageBreak">
    <w:name w:val="AllowPageBreak"/>
    <w:rsid w:val="003600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0007"/>
    <w:pPr>
      <w:tabs>
        <w:tab w:val="left" w:pos="680"/>
      </w:tabs>
      <w:spacing w:before="60" w:after="60"/>
      <w:ind w:left="680" w:hanging="340"/>
    </w:pPr>
  </w:style>
  <w:style w:type="character" w:customStyle="1" w:styleId="Heading2Char">
    <w:name w:val="Heading 2 Char"/>
    <w:basedOn w:val="DefaultParagraphFont"/>
    <w:link w:val="Heading2"/>
    <w:rsid w:val="003600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0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0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0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0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0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00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0007"/>
    <w:rPr>
      <w:rFonts w:ascii="Courier New" w:eastAsia="Times New Roman" w:hAnsi="Courier New" w:cs="Times New Roman"/>
      <w:i/>
      <w:szCs w:val="20"/>
      <w:lang w:eastAsia="en-US"/>
    </w:rPr>
  </w:style>
  <w:style w:type="paragraph" w:customStyle="1" w:styleId="HeadingBase">
    <w:name w:val="Heading Base"/>
    <w:rsid w:val="003600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007"/>
    <w:pPr>
      <w:tabs>
        <w:tab w:val="right" w:leader="dot" w:pos="9072"/>
      </w:tabs>
      <w:ind w:left="567"/>
    </w:pPr>
    <w:rPr>
      <w:szCs w:val="22"/>
    </w:rPr>
  </w:style>
  <w:style w:type="paragraph" w:customStyle="1" w:styleId="TOCBase">
    <w:name w:val="TOC Base"/>
    <w:rsid w:val="003600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007"/>
    <w:pPr>
      <w:tabs>
        <w:tab w:val="right" w:leader="dot" w:pos="9072"/>
      </w:tabs>
      <w:spacing w:before="40" w:after="40"/>
      <w:ind w:left="284"/>
    </w:pPr>
    <w:rPr>
      <w:rFonts w:ascii="Times New Roman" w:hAnsi="Times New Roman"/>
    </w:rPr>
  </w:style>
  <w:style w:type="paragraph" w:styleId="TOC1">
    <w:name w:val="toc 1"/>
    <w:basedOn w:val="TOCBase"/>
    <w:next w:val="Normal"/>
    <w:rsid w:val="003600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0007"/>
    <w:pPr>
      <w:spacing w:before="5040"/>
      <w:jc w:val="center"/>
    </w:pPr>
    <w:rPr>
      <w:sz w:val="48"/>
      <w:szCs w:val="72"/>
      <w:lang w:val="en-US"/>
    </w:rPr>
  </w:style>
  <w:style w:type="character" w:customStyle="1" w:styleId="TitleChar">
    <w:name w:val="Title Char"/>
    <w:basedOn w:val="DefaultParagraphFont"/>
    <w:link w:val="Title"/>
    <w:rsid w:val="003600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007"/>
    <w:pPr>
      <w:tabs>
        <w:tab w:val="left" w:pos="3600"/>
        <w:tab w:val="left" w:pos="3958"/>
      </w:tabs>
    </w:pPr>
  </w:style>
  <w:style w:type="paragraph" w:customStyle="1" w:styleId="Note">
    <w:name w:val="Note"/>
    <w:basedOn w:val="BodyText"/>
    <w:rsid w:val="003600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0007"/>
    <w:pPr>
      <w:framePr w:wrap="auto" w:hAnchor="text" w:y="6049"/>
    </w:pPr>
    <w:rPr>
      <w:color w:val="000000"/>
      <w:sz w:val="40"/>
    </w:rPr>
  </w:style>
  <w:style w:type="paragraph" w:customStyle="1" w:styleId="TOCTitle">
    <w:name w:val="TOCTitle"/>
    <w:basedOn w:val="Heading1"/>
    <w:rsid w:val="00360007"/>
    <w:pPr>
      <w:spacing w:after="240"/>
      <w:jc w:val="center"/>
      <w:outlineLvl w:val="9"/>
    </w:pPr>
    <w:rPr>
      <w:caps/>
    </w:rPr>
  </w:style>
  <w:style w:type="paragraph" w:customStyle="1" w:styleId="Version">
    <w:name w:val="Version"/>
    <w:rsid w:val="003600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0007"/>
    <w:pPr>
      <w:keepNext w:val="0"/>
      <w:tabs>
        <w:tab w:val="right" w:pos="4176"/>
      </w:tabs>
      <w:ind w:left="198" w:hanging="198"/>
    </w:pPr>
    <w:rPr>
      <w:rFonts w:ascii="Garamond" w:hAnsi="Garamond"/>
    </w:rPr>
  </w:style>
  <w:style w:type="paragraph" w:styleId="IndexHeading">
    <w:name w:val="index heading"/>
    <w:basedOn w:val="Normal"/>
    <w:next w:val="Index1"/>
    <w:semiHidden/>
    <w:rsid w:val="00360007"/>
    <w:pPr>
      <w:spacing w:before="120" w:after="120"/>
    </w:pPr>
    <w:rPr>
      <w:rFonts w:ascii="Arial" w:hAnsi="Arial"/>
      <w:b/>
      <w:color w:val="918585"/>
      <w:sz w:val="24"/>
    </w:rPr>
  </w:style>
  <w:style w:type="paragraph" w:styleId="Header">
    <w:name w:val="header"/>
    <w:basedOn w:val="Normal"/>
    <w:link w:val="HeaderChar"/>
    <w:rsid w:val="003600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007"/>
    <w:rPr>
      <w:rFonts w:ascii="Times New Roman" w:eastAsia="Times New Roman" w:hAnsi="Times New Roman" w:cs="Times New Roman"/>
      <w:sz w:val="16"/>
      <w:szCs w:val="20"/>
      <w:lang w:val="en-GB" w:eastAsia="en-US"/>
    </w:rPr>
  </w:style>
  <w:style w:type="paragraph" w:customStyle="1" w:styleId="Chapter">
    <w:name w:val="Chapter"/>
    <w:basedOn w:val="Normal"/>
    <w:rsid w:val="00360007"/>
    <w:pPr>
      <w:spacing w:before="240"/>
    </w:pPr>
    <w:rPr>
      <w:rFonts w:ascii="Times New Roman" w:hAnsi="Times New Roman"/>
      <w:smallCaps/>
      <w:spacing w:val="80"/>
      <w:sz w:val="28"/>
    </w:rPr>
  </w:style>
  <w:style w:type="paragraph" w:customStyle="1" w:styleId="InChapter">
    <w:name w:val="InChapter"/>
    <w:basedOn w:val="Heading3"/>
    <w:rsid w:val="00360007"/>
    <w:pPr>
      <w:spacing w:after="240"/>
      <w:outlineLvl w:val="9"/>
    </w:pPr>
    <w:rPr>
      <w:noProof/>
    </w:rPr>
  </w:style>
  <w:style w:type="paragraph" w:styleId="Index2">
    <w:name w:val="index 2"/>
    <w:basedOn w:val="Normal"/>
    <w:next w:val="Normal"/>
    <w:semiHidden/>
    <w:rsid w:val="00360007"/>
    <w:pPr>
      <w:tabs>
        <w:tab w:val="right" w:pos="4176"/>
      </w:tabs>
      <w:ind w:left="568" w:hanging="284"/>
    </w:pPr>
    <w:rPr>
      <w:rFonts w:ascii="Garamond" w:hAnsi="Garamond"/>
    </w:rPr>
  </w:style>
  <w:style w:type="paragraph" w:customStyle="1" w:styleId="Byline">
    <w:name w:val="Byline"/>
    <w:rsid w:val="003600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007"/>
    <w:pPr>
      <w:tabs>
        <w:tab w:val="clear" w:pos="3600"/>
        <w:tab w:val="clear" w:pos="3958"/>
      </w:tabs>
      <w:jc w:val="right"/>
    </w:pPr>
  </w:style>
  <w:style w:type="character" w:styleId="Emphasis">
    <w:name w:val="Emphasis"/>
    <w:basedOn w:val="DefaultParagraphFont"/>
    <w:qFormat/>
    <w:rsid w:val="00360007"/>
    <w:rPr>
      <w:i/>
    </w:rPr>
  </w:style>
  <w:style w:type="paragraph" w:styleId="Caption">
    <w:name w:val="caption"/>
    <w:basedOn w:val="BodyText"/>
    <w:next w:val="Normal"/>
    <w:qFormat/>
    <w:rsid w:val="00360007"/>
    <w:pPr>
      <w:framePr w:w="2268" w:hSpace="181" w:vSpace="181" w:wrap="around" w:vAnchor="text" w:hAnchor="page" w:x="1135" w:y="285" w:anchorLock="1"/>
    </w:pPr>
    <w:rPr>
      <w:i/>
    </w:rPr>
  </w:style>
  <w:style w:type="paragraph" w:customStyle="1" w:styleId="MiniTOCTitle">
    <w:name w:val="MiniTOCTitle"/>
    <w:basedOn w:val="Heading4"/>
    <w:rsid w:val="00360007"/>
    <w:pPr>
      <w:spacing w:before="240"/>
      <w:outlineLvl w:val="9"/>
    </w:pPr>
    <w:rPr>
      <w:noProof/>
      <w:sz w:val="24"/>
    </w:rPr>
  </w:style>
  <w:style w:type="paragraph" w:customStyle="1" w:styleId="MiniTOCItem">
    <w:name w:val="MiniTOCItem"/>
    <w:basedOn w:val="ListBullet"/>
    <w:rsid w:val="00360007"/>
    <w:pPr>
      <w:numPr>
        <w:numId w:val="0"/>
      </w:numPr>
      <w:tabs>
        <w:tab w:val="right" w:leader="dot" w:pos="6521"/>
      </w:tabs>
      <w:spacing w:before="0" w:after="0"/>
    </w:pPr>
  </w:style>
  <w:style w:type="paragraph" w:customStyle="1" w:styleId="TOFTitle">
    <w:name w:val="TOFTitle"/>
    <w:basedOn w:val="TOCTitle"/>
    <w:rsid w:val="00360007"/>
  </w:style>
  <w:style w:type="paragraph" w:styleId="TableofFigures">
    <w:name w:val="table of figures"/>
    <w:basedOn w:val="Normal"/>
    <w:next w:val="Normal"/>
    <w:semiHidden/>
    <w:rsid w:val="00360007"/>
    <w:pPr>
      <w:tabs>
        <w:tab w:val="right" w:leader="dot" w:pos="9072"/>
      </w:tabs>
      <w:ind w:left="970" w:hanging="403"/>
    </w:pPr>
    <w:rPr>
      <w:rFonts w:ascii="Times New Roman" w:hAnsi="Times New Roman"/>
      <w:b/>
    </w:rPr>
  </w:style>
  <w:style w:type="paragraph" w:styleId="ListNumber">
    <w:name w:val="List Number"/>
    <w:basedOn w:val="List"/>
    <w:rsid w:val="00360007"/>
    <w:pPr>
      <w:numPr>
        <w:numId w:val="11"/>
      </w:numPr>
    </w:pPr>
  </w:style>
  <w:style w:type="character" w:customStyle="1" w:styleId="WingdingSymbols">
    <w:name w:val="Wingding Symbols"/>
    <w:rsid w:val="00360007"/>
    <w:rPr>
      <w:rFonts w:ascii="Wingdings" w:hAnsi="Wingdings"/>
    </w:rPr>
  </w:style>
  <w:style w:type="paragraph" w:customStyle="1" w:styleId="TableHeading">
    <w:name w:val="Table Heading"/>
    <w:basedOn w:val="HeadingBase"/>
    <w:rsid w:val="00360007"/>
    <w:pPr>
      <w:keepLines/>
      <w:pBdr>
        <w:bottom w:val="single" w:sz="6" w:space="1" w:color="918585"/>
      </w:pBdr>
      <w:spacing w:before="240"/>
    </w:pPr>
  </w:style>
  <w:style w:type="character" w:customStyle="1" w:styleId="HotSpot">
    <w:name w:val="HotSpot"/>
    <w:rsid w:val="00360007"/>
    <w:rPr>
      <w:color w:val="0033CC"/>
      <w:u w:val="none"/>
    </w:rPr>
  </w:style>
  <w:style w:type="paragraph" w:customStyle="1" w:styleId="BodyTextRight">
    <w:name w:val="Body Text Right"/>
    <w:basedOn w:val="BodyText"/>
    <w:rsid w:val="00360007"/>
    <w:pPr>
      <w:spacing w:before="0" w:after="0"/>
      <w:jc w:val="right"/>
    </w:pPr>
  </w:style>
  <w:style w:type="paragraph" w:styleId="Index3">
    <w:name w:val="index 3"/>
    <w:basedOn w:val="ListNumber2"/>
    <w:next w:val="Normal"/>
    <w:semiHidden/>
    <w:rsid w:val="00360007"/>
    <w:pPr>
      <w:numPr>
        <w:numId w:val="0"/>
      </w:numPr>
      <w:tabs>
        <w:tab w:val="right" w:leader="dot" w:pos="4176"/>
      </w:tabs>
    </w:pPr>
  </w:style>
  <w:style w:type="paragraph" w:styleId="ListNumber2">
    <w:name w:val="List Number 2"/>
    <w:basedOn w:val="List2"/>
    <w:rsid w:val="00360007"/>
    <w:pPr>
      <w:numPr>
        <w:numId w:val="10"/>
      </w:numPr>
      <w:tabs>
        <w:tab w:val="clear" w:pos="1060"/>
      </w:tabs>
    </w:pPr>
  </w:style>
  <w:style w:type="paragraph" w:customStyle="1" w:styleId="MarginNote">
    <w:name w:val="Margin Note"/>
    <w:basedOn w:val="BodyText"/>
    <w:rsid w:val="003600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0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0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0007"/>
    <w:rPr>
      <w:sz w:val="32"/>
    </w:rPr>
  </w:style>
  <w:style w:type="paragraph" w:customStyle="1" w:styleId="HeadingProcedure">
    <w:name w:val="Heading Procedure"/>
    <w:basedOn w:val="HeadingBase"/>
    <w:next w:val="Normal"/>
    <w:rsid w:val="00360007"/>
    <w:pPr>
      <w:tabs>
        <w:tab w:val="left" w:pos="0"/>
      </w:tabs>
      <w:spacing w:before="120" w:after="60"/>
    </w:pPr>
    <w:rPr>
      <w:i/>
      <w:color w:val="918585"/>
      <w:sz w:val="22"/>
    </w:rPr>
  </w:style>
  <w:style w:type="paragraph" w:customStyle="1" w:styleId="TableBodyText">
    <w:name w:val="Table Body Text"/>
    <w:basedOn w:val="BodyText"/>
    <w:rsid w:val="00360007"/>
    <w:pPr>
      <w:spacing w:before="60" w:after="60"/>
    </w:pPr>
  </w:style>
  <w:style w:type="paragraph" w:styleId="ListContinue">
    <w:name w:val="List Continue"/>
    <w:basedOn w:val="List"/>
    <w:rsid w:val="00360007"/>
    <w:pPr>
      <w:ind w:firstLine="0"/>
    </w:pPr>
  </w:style>
  <w:style w:type="paragraph" w:customStyle="1" w:styleId="ListNote">
    <w:name w:val="List Note"/>
    <w:basedOn w:val="List"/>
    <w:rsid w:val="00360007"/>
    <w:pPr>
      <w:pBdr>
        <w:top w:val="single" w:sz="6" w:space="2" w:color="918585"/>
        <w:bottom w:val="single" w:sz="6" w:space="2" w:color="918585"/>
      </w:pBdr>
      <w:tabs>
        <w:tab w:val="left" w:pos="1021"/>
      </w:tabs>
      <w:ind w:firstLine="0"/>
    </w:pPr>
  </w:style>
  <w:style w:type="paragraph" w:customStyle="1" w:styleId="Warning">
    <w:name w:val="Warning"/>
    <w:basedOn w:val="BodyText"/>
    <w:rsid w:val="00360007"/>
    <w:pPr>
      <w:shd w:val="clear" w:color="auto" w:fill="D9D9D9"/>
      <w:tabs>
        <w:tab w:val="left" w:pos="992"/>
      </w:tabs>
      <w:ind w:left="119" w:right="119"/>
    </w:pPr>
    <w:rPr>
      <w:sz w:val="20"/>
    </w:rPr>
  </w:style>
  <w:style w:type="paragraph" w:customStyle="1" w:styleId="MarginIcons">
    <w:name w:val="Margin Icons"/>
    <w:basedOn w:val="BodyText"/>
    <w:rsid w:val="003600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007"/>
    <w:rPr>
      <w:rFonts w:ascii="Courier New" w:hAnsi="Courier New"/>
    </w:rPr>
  </w:style>
  <w:style w:type="paragraph" w:customStyle="1" w:styleId="NoteBullet">
    <w:name w:val="Note Bullet"/>
    <w:basedOn w:val="Note"/>
    <w:rsid w:val="00360007"/>
    <w:pPr>
      <w:tabs>
        <w:tab w:val="clear" w:pos="680"/>
      </w:tabs>
      <w:spacing w:before="60" w:after="60"/>
    </w:pPr>
  </w:style>
  <w:style w:type="paragraph" w:customStyle="1" w:styleId="SubHeading2">
    <w:name w:val="SubHeading2"/>
    <w:basedOn w:val="HeadingBase"/>
    <w:rsid w:val="00360007"/>
    <w:pPr>
      <w:spacing w:before="240" w:after="60"/>
    </w:pPr>
    <w:rPr>
      <w:sz w:val="20"/>
    </w:rPr>
  </w:style>
  <w:style w:type="paragraph" w:customStyle="1" w:styleId="SubHeading1">
    <w:name w:val="SubHeading1"/>
    <w:basedOn w:val="HeadingBase"/>
    <w:rsid w:val="00360007"/>
    <w:pPr>
      <w:spacing w:before="240" w:after="60"/>
    </w:pPr>
    <w:rPr>
      <w:color w:val="918585"/>
      <w:sz w:val="22"/>
    </w:rPr>
  </w:style>
  <w:style w:type="paragraph" w:customStyle="1" w:styleId="SideHeading">
    <w:name w:val="Side Heading"/>
    <w:basedOn w:val="HeadingBase"/>
    <w:rsid w:val="003600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007"/>
    <w:pPr>
      <w:numPr>
        <w:numId w:val="12"/>
      </w:numPr>
    </w:pPr>
  </w:style>
  <w:style w:type="paragraph" w:styleId="PlainText">
    <w:name w:val="Plain Text"/>
    <w:basedOn w:val="Normal"/>
    <w:link w:val="PlainTextChar"/>
    <w:rsid w:val="00360007"/>
    <w:rPr>
      <w:sz w:val="20"/>
    </w:rPr>
  </w:style>
  <w:style w:type="character" w:customStyle="1" w:styleId="PlainTextChar">
    <w:name w:val="Plain Text Char"/>
    <w:basedOn w:val="DefaultParagraphFont"/>
    <w:link w:val="PlainText"/>
    <w:rsid w:val="00360007"/>
    <w:rPr>
      <w:rFonts w:ascii="Courier New" w:eastAsia="Times New Roman" w:hAnsi="Courier New" w:cs="Times New Roman"/>
      <w:sz w:val="20"/>
      <w:szCs w:val="20"/>
      <w:lang w:eastAsia="en-US"/>
    </w:rPr>
  </w:style>
  <w:style w:type="character" w:customStyle="1" w:styleId="MenuOption">
    <w:name w:val="Menu Option"/>
    <w:basedOn w:val="DefaultParagraphFont"/>
    <w:rsid w:val="00360007"/>
    <w:rPr>
      <w:b/>
      <w:smallCaps/>
    </w:rPr>
  </w:style>
  <w:style w:type="paragraph" w:customStyle="1" w:styleId="TableListNumber">
    <w:name w:val="Table List Number"/>
    <w:basedOn w:val="ListNumber"/>
    <w:rsid w:val="00360007"/>
    <w:pPr>
      <w:numPr>
        <w:numId w:val="0"/>
      </w:numPr>
    </w:pPr>
  </w:style>
  <w:style w:type="paragraph" w:styleId="TOC4">
    <w:name w:val="toc 4"/>
    <w:basedOn w:val="TOCBase"/>
    <w:next w:val="Normal"/>
    <w:semiHidden/>
    <w:rsid w:val="00360007"/>
    <w:pPr>
      <w:tabs>
        <w:tab w:val="right" w:leader="dot" w:pos="9071"/>
      </w:tabs>
      <w:ind w:left="1701"/>
    </w:pPr>
  </w:style>
  <w:style w:type="paragraph" w:customStyle="1" w:styleId="ListAlpha">
    <w:name w:val="List Alpha"/>
    <w:basedOn w:val="List"/>
    <w:rsid w:val="00360007"/>
    <w:pPr>
      <w:numPr>
        <w:numId w:val="9"/>
      </w:numPr>
    </w:pPr>
  </w:style>
  <w:style w:type="paragraph" w:customStyle="1" w:styleId="ListAlpha2">
    <w:name w:val="List Alpha 2"/>
    <w:basedOn w:val="List2"/>
    <w:rsid w:val="00360007"/>
    <w:pPr>
      <w:numPr>
        <w:numId w:val="8"/>
      </w:numPr>
    </w:pPr>
  </w:style>
  <w:style w:type="paragraph" w:styleId="List3">
    <w:name w:val="List 3"/>
    <w:basedOn w:val="BodyText"/>
    <w:rsid w:val="00360007"/>
    <w:pPr>
      <w:tabs>
        <w:tab w:val="left" w:pos="1021"/>
      </w:tabs>
      <w:spacing w:before="60" w:after="60"/>
      <w:ind w:left="1020" w:hanging="340"/>
    </w:pPr>
  </w:style>
  <w:style w:type="paragraph" w:styleId="List4">
    <w:name w:val="List 4"/>
    <w:basedOn w:val="BodyText"/>
    <w:rsid w:val="00360007"/>
    <w:pPr>
      <w:tabs>
        <w:tab w:val="left" w:pos="1361"/>
      </w:tabs>
      <w:spacing w:before="60" w:after="60"/>
      <w:ind w:left="1361" w:hanging="340"/>
    </w:pPr>
  </w:style>
  <w:style w:type="paragraph" w:styleId="List5">
    <w:name w:val="List 5"/>
    <w:basedOn w:val="BodyText"/>
    <w:rsid w:val="00360007"/>
    <w:pPr>
      <w:tabs>
        <w:tab w:val="left" w:pos="1701"/>
      </w:tabs>
      <w:spacing w:before="60" w:after="60"/>
      <w:ind w:left="1701" w:hanging="340"/>
    </w:pPr>
  </w:style>
  <w:style w:type="paragraph" w:styleId="ListBullet3">
    <w:name w:val="List Bullet 3"/>
    <w:basedOn w:val="List3"/>
    <w:rsid w:val="00360007"/>
    <w:pPr>
      <w:numPr>
        <w:numId w:val="15"/>
      </w:numPr>
      <w:tabs>
        <w:tab w:val="clear" w:pos="1021"/>
      </w:tabs>
      <w:ind w:left="1037" w:hanging="357"/>
    </w:pPr>
  </w:style>
  <w:style w:type="paragraph" w:styleId="ListBullet4">
    <w:name w:val="List Bullet 4"/>
    <w:basedOn w:val="List4"/>
    <w:rsid w:val="00360007"/>
    <w:pPr>
      <w:numPr>
        <w:numId w:val="3"/>
      </w:numPr>
    </w:pPr>
  </w:style>
  <w:style w:type="paragraph" w:styleId="ListBullet5">
    <w:name w:val="List Bullet 5"/>
    <w:basedOn w:val="List5"/>
    <w:rsid w:val="00360007"/>
    <w:pPr>
      <w:numPr>
        <w:numId w:val="4"/>
      </w:numPr>
    </w:pPr>
  </w:style>
  <w:style w:type="paragraph" w:styleId="ListContinue2">
    <w:name w:val="List Continue 2"/>
    <w:basedOn w:val="List2"/>
    <w:rsid w:val="00360007"/>
    <w:pPr>
      <w:ind w:firstLine="0"/>
    </w:pPr>
  </w:style>
  <w:style w:type="paragraph" w:styleId="ListContinue3">
    <w:name w:val="List Continue 3"/>
    <w:basedOn w:val="List3"/>
    <w:rsid w:val="00360007"/>
    <w:pPr>
      <w:ind w:left="1021" w:firstLine="0"/>
    </w:pPr>
  </w:style>
  <w:style w:type="paragraph" w:styleId="ListContinue4">
    <w:name w:val="List Continue 4"/>
    <w:basedOn w:val="List4"/>
    <w:rsid w:val="00360007"/>
    <w:pPr>
      <w:ind w:firstLine="0"/>
    </w:pPr>
  </w:style>
  <w:style w:type="paragraph" w:styleId="ListContinue5">
    <w:name w:val="List Continue 5"/>
    <w:basedOn w:val="List5"/>
    <w:rsid w:val="00360007"/>
    <w:pPr>
      <w:ind w:firstLine="0"/>
    </w:pPr>
  </w:style>
  <w:style w:type="paragraph" w:styleId="ListNumber3">
    <w:name w:val="List Number 3"/>
    <w:basedOn w:val="List3"/>
    <w:rsid w:val="00360007"/>
    <w:pPr>
      <w:numPr>
        <w:numId w:val="5"/>
      </w:numPr>
    </w:pPr>
  </w:style>
  <w:style w:type="paragraph" w:styleId="ListNumber4">
    <w:name w:val="List Number 4"/>
    <w:basedOn w:val="List4"/>
    <w:rsid w:val="00360007"/>
    <w:pPr>
      <w:numPr>
        <w:numId w:val="6"/>
      </w:numPr>
    </w:pPr>
  </w:style>
  <w:style w:type="paragraph" w:styleId="ListNumber5">
    <w:name w:val="List Number 5"/>
    <w:basedOn w:val="List5"/>
    <w:rsid w:val="00360007"/>
    <w:pPr>
      <w:numPr>
        <w:numId w:val="7"/>
      </w:numPr>
    </w:pPr>
  </w:style>
  <w:style w:type="paragraph" w:styleId="BlockText">
    <w:name w:val="Block Text"/>
    <w:basedOn w:val="Normal"/>
    <w:rsid w:val="00360007"/>
    <w:pPr>
      <w:spacing w:after="120"/>
      <w:ind w:left="1440" w:right="1440"/>
    </w:pPr>
  </w:style>
  <w:style w:type="character" w:customStyle="1" w:styleId="Subscript">
    <w:name w:val="Subscript"/>
    <w:basedOn w:val="DefaultParagraphFont"/>
    <w:rsid w:val="00360007"/>
    <w:rPr>
      <w:sz w:val="16"/>
      <w:vertAlign w:val="subscript"/>
    </w:rPr>
  </w:style>
  <w:style w:type="character" w:customStyle="1" w:styleId="Superscript">
    <w:name w:val="Superscript"/>
    <w:basedOn w:val="DefaultParagraphFont"/>
    <w:rsid w:val="00360007"/>
    <w:rPr>
      <w:sz w:val="16"/>
      <w:vertAlign w:val="superscript"/>
    </w:rPr>
  </w:style>
  <w:style w:type="character" w:customStyle="1" w:styleId="Symbols">
    <w:name w:val="Symbols"/>
    <w:basedOn w:val="DefaultParagraphFont"/>
    <w:rsid w:val="00360007"/>
    <w:rPr>
      <w:rFonts w:ascii="Symbol" w:hAnsi="Symbol"/>
    </w:rPr>
  </w:style>
  <w:style w:type="character" w:customStyle="1" w:styleId="MenuOptions">
    <w:name w:val="Menu Options"/>
    <w:basedOn w:val="DefaultParagraphFont"/>
    <w:rsid w:val="00360007"/>
    <w:rPr>
      <w:rFonts w:ascii="Arial Narrow" w:hAnsi="Arial Narrow"/>
      <w:smallCaps/>
    </w:rPr>
  </w:style>
  <w:style w:type="character" w:customStyle="1" w:styleId="Buttons">
    <w:name w:val="Buttons"/>
    <w:basedOn w:val="DefaultParagraphFont"/>
    <w:rsid w:val="00360007"/>
    <w:rPr>
      <w:b/>
    </w:rPr>
  </w:style>
  <w:style w:type="character" w:customStyle="1" w:styleId="Underlined">
    <w:name w:val="Underlined"/>
    <w:basedOn w:val="DefaultParagraphFont"/>
    <w:rsid w:val="00360007"/>
    <w:rPr>
      <w:u w:val="single"/>
    </w:rPr>
  </w:style>
  <w:style w:type="paragraph" w:customStyle="1" w:styleId="TableBodyTextRight">
    <w:name w:val="Table Body Text Right"/>
    <w:basedOn w:val="TableBodyText"/>
    <w:rsid w:val="00360007"/>
    <w:pPr>
      <w:widowControl w:val="0"/>
      <w:autoSpaceDE w:val="0"/>
      <w:autoSpaceDN w:val="0"/>
      <w:adjustRightInd w:val="0"/>
      <w:jc w:val="right"/>
    </w:pPr>
    <w:rPr>
      <w:rFonts w:cs="Arial"/>
      <w:szCs w:val="18"/>
    </w:rPr>
  </w:style>
  <w:style w:type="paragraph" w:customStyle="1" w:styleId="CopyrightText">
    <w:name w:val="Copyright Text"/>
    <w:basedOn w:val="BodyText"/>
    <w:rsid w:val="00360007"/>
    <w:rPr>
      <w:sz w:val="18"/>
    </w:rPr>
  </w:style>
  <w:style w:type="paragraph" w:customStyle="1" w:styleId="BodySmallRight">
    <w:name w:val="Body Small Right"/>
    <w:basedOn w:val="BodyTextRight"/>
    <w:rsid w:val="00360007"/>
    <w:rPr>
      <w:sz w:val="18"/>
      <w:szCs w:val="18"/>
    </w:rPr>
  </w:style>
  <w:style w:type="paragraph" w:customStyle="1" w:styleId="MarginEdition">
    <w:name w:val="Margin Edition"/>
    <w:basedOn w:val="MarginNote"/>
    <w:rsid w:val="00360007"/>
    <w:pPr>
      <w:spacing w:before="0" w:after="0"/>
    </w:pPr>
    <w:rPr>
      <w:rFonts w:ascii="Times New Roman" w:hAnsi="Times New Roman"/>
      <w:color w:val="999999"/>
    </w:rPr>
  </w:style>
  <w:style w:type="paragraph" w:customStyle="1" w:styleId="Spacer">
    <w:name w:val="Spacer"/>
    <w:basedOn w:val="Normal"/>
    <w:rsid w:val="00360007"/>
    <w:rPr>
      <w:sz w:val="2"/>
      <w:szCs w:val="2"/>
    </w:rPr>
  </w:style>
  <w:style w:type="character" w:customStyle="1" w:styleId="Small">
    <w:name w:val="Small"/>
    <w:basedOn w:val="DefaultParagraphFont"/>
    <w:rsid w:val="00360007"/>
    <w:rPr>
      <w:sz w:val="16"/>
    </w:rPr>
  </w:style>
  <w:style w:type="paragraph" w:customStyle="1" w:styleId="WideTable">
    <w:name w:val="Wide Table"/>
    <w:basedOn w:val="Normal"/>
    <w:rsid w:val="00360007"/>
    <w:pPr>
      <w:ind w:left="-1418"/>
    </w:pPr>
    <w:rPr>
      <w:sz w:val="2"/>
      <w:szCs w:val="2"/>
    </w:rPr>
  </w:style>
  <w:style w:type="character" w:styleId="PageNumber">
    <w:name w:val="page number"/>
    <w:basedOn w:val="DefaultParagraphFont"/>
    <w:rsid w:val="00360007"/>
  </w:style>
  <w:style w:type="paragraph" w:styleId="Quote">
    <w:name w:val="Quote"/>
    <w:basedOn w:val="Heading1"/>
    <w:link w:val="QuoteChar"/>
    <w:qFormat/>
    <w:rsid w:val="00360007"/>
    <w:rPr>
      <w:b w:val="0"/>
      <w:sz w:val="72"/>
      <w:szCs w:val="72"/>
      <w:lang w:val="en-NZ"/>
    </w:rPr>
  </w:style>
  <w:style w:type="character" w:customStyle="1" w:styleId="QuoteChar">
    <w:name w:val="Quote Char"/>
    <w:basedOn w:val="DefaultParagraphFont"/>
    <w:link w:val="Quote"/>
    <w:rsid w:val="003600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007"/>
    <w:pPr>
      <w:pageBreakBefore/>
    </w:pPr>
  </w:style>
  <w:style w:type="paragraph" w:customStyle="1" w:styleId="Border">
    <w:name w:val="Border"/>
    <w:basedOn w:val="Normal"/>
    <w:qFormat/>
    <w:rsid w:val="003600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007"/>
    <w:rPr>
      <w:b/>
      <w:bCs/>
      <w:i/>
      <w:iCs/>
      <w:color w:val="auto"/>
    </w:rPr>
  </w:style>
  <w:style w:type="paragraph" w:styleId="IntenseQuote">
    <w:name w:val="Intense Quote"/>
    <w:basedOn w:val="Normal"/>
    <w:next w:val="Normal"/>
    <w:link w:val="IntenseQuoteChar"/>
    <w:uiPriority w:val="30"/>
    <w:qFormat/>
    <w:rsid w:val="003600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0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0007"/>
    <w:rPr>
      <w:smallCaps/>
      <w:color w:val="auto"/>
      <w:u w:val="single"/>
    </w:rPr>
  </w:style>
  <w:style w:type="character" w:styleId="IntenseReference">
    <w:name w:val="Intense Reference"/>
    <w:basedOn w:val="DefaultParagraphFont"/>
    <w:uiPriority w:val="32"/>
    <w:qFormat/>
    <w:rsid w:val="00360007"/>
    <w:rPr>
      <w:b/>
      <w:bCs/>
      <w:smallCaps/>
      <w:color w:val="auto"/>
      <w:spacing w:val="5"/>
      <w:u w:val="single"/>
    </w:rPr>
  </w:style>
  <w:style w:type="paragraph" w:customStyle="1" w:styleId="2ColumnHeading">
    <w:name w:val="2Column Heading"/>
    <w:basedOn w:val="BodyText"/>
    <w:qFormat/>
    <w:rsid w:val="00360007"/>
    <w:pPr>
      <w:spacing w:after="60"/>
      <w:ind w:left="-2268"/>
    </w:pPr>
    <w:rPr>
      <w:b/>
    </w:rPr>
  </w:style>
  <w:style w:type="paragraph" w:customStyle="1" w:styleId="Heading1TOC">
    <w:name w:val="Heading1 TOC"/>
    <w:basedOn w:val="Normal"/>
    <w:qFormat/>
    <w:rsid w:val="00360007"/>
    <w:pPr>
      <w:spacing w:before="240" w:after="120"/>
    </w:pPr>
    <w:rPr>
      <w:rFonts w:ascii="Times New Roman" w:hAnsi="Times New Roman"/>
      <w:b/>
      <w:sz w:val="32"/>
    </w:rPr>
  </w:style>
  <w:style w:type="paragraph" w:customStyle="1" w:styleId="Heading2TOC">
    <w:name w:val="Heading2 TOC"/>
    <w:basedOn w:val="Normal"/>
    <w:qFormat/>
    <w:rsid w:val="00360007"/>
    <w:pPr>
      <w:spacing w:before="240" w:after="60"/>
    </w:pPr>
    <w:rPr>
      <w:rFonts w:ascii="Times New Roman" w:hAnsi="Times New Roman"/>
      <w:b/>
      <w:sz w:val="28"/>
    </w:rPr>
  </w:style>
  <w:style w:type="character" w:customStyle="1" w:styleId="Underline">
    <w:name w:val="Underline"/>
    <w:basedOn w:val="DefaultParagraphFont"/>
    <w:qFormat/>
    <w:rsid w:val="00360007"/>
    <w:rPr>
      <w:u w:val="single"/>
    </w:rPr>
  </w:style>
  <w:style w:type="character" w:customStyle="1" w:styleId="BoldandItalics">
    <w:name w:val="Bold and Italics"/>
    <w:qFormat/>
    <w:rsid w:val="00360007"/>
    <w:rPr>
      <w:b/>
      <w:i/>
      <w:u w:val="none"/>
    </w:rPr>
  </w:style>
  <w:style w:type="paragraph" w:styleId="BalloonText">
    <w:name w:val="Balloon Text"/>
    <w:basedOn w:val="Normal"/>
    <w:link w:val="BalloonTextChar"/>
    <w:rsid w:val="00360007"/>
    <w:rPr>
      <w:rFonts w:ascii="Tahoma" w:hAnsi="Tahoma" w:cs="Tahoma"/>
      <w:sz w:val="16"/>
      <w:szCs w:val="16"/>
    </w:rPr>
  </w:style>
  <w:style w:type="character" w:customStyle="1" w:styleId="BalloonTextChar">
    <w:name w:val="Balloon Text Char"/>
    <w:basedOn w:val="DefaultParagraphFont"/>
    <w:link w:val="BalloonText"/>
    <w:rsid w:val="003600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00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00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0007"/>
    <w:rPr>
      <w:b/>
      <w:color w:val="660033"/>
      <w:spacing w:val="0"/>
    </w:rPr>
  </w:style>
  <w:style w:type="paragraph" w:customStyle="1" w:styleId="Nameditemlist">
    <w:name w:val="Named item list"/>
    <w:basedOn w:val="BodyText"/>
    <w:qFormat/>
    <w:rsid w:val="003600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1548</Words>
  <Characters>9941</Characters>
  <Application>Microsoft Office Word</Application>
  <DocSecurity>0</DocSecurity>
  <Lines>324</Lines>
  <Paragraphs>160</Paragraphs>
  <ScaleCrop>false</ScaleCrop>
  <Company>Author-it Software Corporation Ltd.</Company>
  <LinksUpToDate>false</LinksUpToDate>
  <CharactersWithSpaces>11399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MEM18050C Disconnect/reconnect fixed wired equipment over 1000 volts a.c./1500 volts d.c.</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2012-10-05T09:48:00Z</dcterms:created>
  <dcterms:modified xsi:type="dcterms:W3CDTF">2012-10-05T09:48:00Z</dcterms:modified>
</cp:coreProperties>
</file>