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05C" w:rsidP="00B3605C">
      <w:pPr>
        <w:pStyle w:val="Title"/>
      </w:pPr>
      <w:r>
        <w:fldChar w:fldCharType="begin"/>
      </w:r>
      <w:r>
        <w:instrText xml:space="preserve"> TITLE   \* MERGEFORMAT </w:instrText>
      </w:r>
      <w:r>
        <w:fldChar w:fldCharType="separate"/>
      </w:r>
      <w:r>
        <w:t>MEM18048B Fault find and repair/rectify basic electrical circuits</w:t>
      </w:r>
      <w:r>
        <w:fldChar w:fldCharType="end"/>
      </w:r>
    </w:p>
    <w:p w:rsidR="00B3605C" w:rsidP="00B3605C">
      <w:pPr>
        <w:pStyle w:val="Version"/>
        <w:sectPr w:rsidSect="00A933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3F9" w:rsidP="00A933F9">
      <w:pPr>
        <w:pStyle w:val="SuperHeading"/>
      </w:pPr>
      <w:r w:rsidRPr="00A933F9">
        <w:t>MEM18048B Fault find and repair/rectify basic electrical circuits</w:t>
      </w:r>
    </w:p>
    <w:p w:rsidR="00000000" w:rsidRPr="00A933F9" w:rsidP="00A933F9">
      <w:pPr>
        <w:pStyle w:val="Heading1"/>
      </w:pPr>
      <w:bookmarkStart w:id="1" w:name="O_272269"/>
      <w:bookmarkEnd w:id="1"/>
      <w:r w:rsidRPr="00A933F9">
        <w:t>Modification History</w:t>
      </w:r>
    </w:p>
    <w:p w:rsidR="00000000" w:rsidRPr="00A933F9" w:rsidP="00A933F9">
      <w:pPr>
        <w:pStyle w:val="BodyText"/>
      </w:pPr>
      <w:r w:rsidRPr="00A933F9">
        <w:t>Not Applicable</w:t>
      </w:r>
    </w:p>
    <w:p w:rsidR="00000000" w:rsidRPr="00A933F9" w:rsidP="00A933F9">
      <w:pPr>
        <w:pStyle w:val="AllowPageBreak"/>
      </w:pPr>
    </w:p>
    <w:p w:rsidR="00000000" w:rsidRPr="00A933F9" w:rsidP="00A933F9">
      <w:pPr>
        <w:pStyle w:val="Heading1"/>
      </w:pPr>
      <w:bookmarkStart w:id="2" w:name="O_212321"/>
      <w:bookmarkEnd w:id="2"/>
      <w:r w:rsidRPr="00A933F9">
        <w:t>Unit Descriptor</w:t>
      </w:r>
    </w:p>
    <w:tbl>
      <w:tblPr>
        <w:tblW w:w="0" w:type="auto"/>
        <w:tblLayout w:type="fixed"/>
        <w:tblCellMar>
          <w:left w:w="62" w:type="dxa"/>
          <w:right w:w="62" w:type="dxa"/>
        </w:tblCellMar>
        <w:tblLook w:val="0000"/>
      </w:tblPr>
      <w:tblGrid>
        <w:gridCol w:w="2665"/>
        <w:gridCol w:w="5857"/>
      </w:tblGrid>
      <w:tr w:rsidTr="00B3605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This unit covers locating and repairing and rectifying faults in non-interconnected e</w:t>
            </w:r>
            <w:r w:rsidRPr="00A933F9">
              <w:t>lectrical circuits.</w:t>
            </w:r>
          </w:p>
        </w:tc>
      </w:tr>
    </w:tbl>
    <w:p w:rsidR="00B3605C" w:rsidP="00A933F9">
      <w:pPr>
        <w:pStyle w:val="BodyText"/>
      </w:pPr>
    </w:p>
    <w:p w:rsidR="00B3605C" w:rsidP="00A933F9">
      <w:pPr>
        <w:pStyle w:val="BodyText"/>
      </w:pPr>
    </w:p>
    <w:p w:rsidR="00000000" w:rsidRPr="00A933F9" w:rsidP="00A933F9">
      <w:pPr>
        <w:pStyle w:val="Heading1"/>
      </w:pPr>
      <w:bookmarkStart w:id="3" w:name="O_212325"/>
      <w:bookmarkEnd w:id="3"/>
      <w:r w:rsidRPr="00A933F9">
        <w:t>Application of the Unit</w:t>
      </w:r>
    </w:p>
    <w:tbl>
      <w:tblPr>
        <w:tblW w:w="0" w:type="auto"/>
        <w:tblLayout w:type="fixed"/>
        <w:tblCellMar>
          <w:left w:w="62" w:type="dxa"/>
          <w:right w:w="62" w:type="dxa"/>
        </w:tblCellMar>
        <w:tblLook w:val="0000"/>
      </w:tblPr>
      <w:tblGrid>
        <w:gridCol w:w="2745"/>
        <w:gridCol w:w="5777"/>
      </w:tblGrid>
      <w:tr w:rsidTr="00B360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 xml:space="preserve">This unit applies to working on basic circuit which is defined as a single circuit with a single output. A single circuit may be controlled </w:t>
            </w:r>
            <w:r w:rsidRPr="00A933F9">
              <w:t>by one or more devices and the output may control one or more devices.</w:t>
            </w:r>
          </w:p>
          <w:p w:rsidR="00000000" w:rsidRPr="00A933F9" w:rsidP="00A933F9">
            <w:pPr>
              <w:pStyle w:val="BodyText"/>
            </w:pPr>
          </w:p>
          <w:p w:rsidR="00000000" w:rsidRPr="00A933F9" w:rsidP="00A933F9">
            <w:pPr>
              <w:pStyle w:val="BodyText"/>
            </w:pPr>
            <w:r w:rsidRPr="00A933F9">
              <w:rPr>
                <w:rStyle w:val="SpecialBold"/>
              </w:rPr>
              <w:t>Band</w:t>
            </w:r>
            <w:r w:rsidRPr="00A933F9">
              <w:t>:</w:t>
            </w:r>
            <w:r w:rsidRPr="00A933F9">
              <w:tab/>
            </w:r>
            <w:r w:rsidRPr="00A933F9">
              <w:rPr>
                <w:rStyle w:val="SpecialBold"/>
              </w:rPr>
              <w:t>A</w:t>
            </w:r>
          </w:p>
          <w:p w:rsidR="00000000" w:rsidRPr="00A933F9" w:rsidP="00A933F9">
            <w:pPr>
              <w:pStyle w:val="BodyText"/>
            </w:pPr>
            <w:r w:rsidRPr="00A933F9">
              <w:rPr>
                <w:rStyle w:val="SpecialBold"/>
              </w:rPr>
              <w:t>Unit Weight</w:t>
            </w:r>
            <w:r w:rsidRPr="00A933F9">
              <w:t>:</w:t>
            </w:r>
            <w:r w:rsidRPr="00A933F9">
              <w:tab/>
            </w:r>
            <w:r w:rsidRPr="00A933F9">
              <w:rPr>
                <w:rStyle w:val="SpecialBold"/>
              </w:rPr>
              <w:t>12</w:t>
            </w:r>
          </w:p>
        </w:tc>
      </w:tr>
    </w:tbl>
    <w:p w:rsidR="00B3605C" w:rsidP="00A933F9">
      <w:pPr>
        <w:pStyle w:val="BodyText"/>
      </w:pPr>
    </w:p>
    <w:p w:rsidR="00B3605C" w:rsidP="00A933F9">
      <w:pPr>
        <w:pStyle w:val="BodyText"/>
      </w:pPr>
    </w:p>
    <w:p w:rsidR="00000000" w:rsidRPr="00A933F9" w:rsidP="00A933F9">
      <w:pPr>
        <w:pStyle w:val="Heading1"/>
      </w:pPr>
      <w:bookmarkStart w:id="4" w:name="O_280529"/>
      <w:bookmarkEnd w:id="4"/>
      <w:r w:rsidRPr="00A933F9">
        <w:t>Licensing/Regulatory Information</w:t>
      </w:r>
    </w:p>
    <w:p w:rsidR="00000000" w:rsidRPr="00A933F9" w:rsidP="00A933F9">
      <w:pPr>
        <w:pStyle w:val="BodyText"/>
      </w:pPr>
      <w:r w:rsidRPr="00A933F9">
        <w:t>Not Applicable</w:t>
      </w:r>
    </w:p>
    <w:p w:rsidR="00000000" w:rsidRPr="00A933F9" w:rsidP="00A933F9">
      <w:pPr>
        <w:pStyle w:val="AllowPageBreak"/>
      </w:pPr>
    </w:p>
    <w:p w:rsidR="00000000" w:rsidRPr="00A933F9" w:rsidP="00A933F9">
      <w:pPr>
        <w:pStyle w:val="Heading1"/>
      </w:pPr>
      <w:bookmarkStart w:id="5" w:name="O_212323"/>
      <w:bookmarkEnd w:id="5"/>
      <w:r w:rsidRPr="00A933F9">
        <w:t>Pre-Requisites</w:t>
      </w:r>
    </w:p>
    <w:tbl>
      <w:tblPr>
        <w:tblW w:w="0" w:type="auto"/>
        <w:tblLayout w:type="fixed"/>
        <w:tblCellMar>
          <w:left w:w="62" w:type="dxa"/>
          <w:right w:w="62" w:type="dxa"/>
        </w:tblCellMar>
        <w:tblLook w:val="0000"/>
      </w:tblPr>
      <w:tblGrid>
        <w:gridCol w:w="2660"/>
        <w:gridCol w:w="2207"/>
        <w:gridCol w:w="3655"/>
      </w:tblGrid>
      <w:tr w:rsidTr="00B3605C">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Path 1</w:t>
            </w:r>
            <w:r w:rsidRPr="00A933F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Interpret technical drawing</w:t>
            </w: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Terminate and connect electrical wiring</w:t>
            </w: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MEM10003B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Install and test electrical wiring and circuits (up to 1000 volts a.c./1500 volts a.c.)</w:t>
            </w: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Perform electrical/electronic measurement</w:t>
            </w: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Perform engineering measurements</w:t>
            </w: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Use hand tools</w:t>
            </w: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Use power tools/hand held operations</w:t>
            </w:r>
          </w:p>
        </w:tc>
      </w:tr>
      <w:tr w:rsidTr="00B3605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Disconnect/reconnect fixed wired equipment up to 1000 volts a.c./1500 volts d.c.</w:t>
            </w:r>
          </w:p>
        </w:tc>
      </w:tr>
    </w:tbl>
    <w:p w:rsidR="00B3605C" w:rsidP="00A933F9">
      <w:pPr>
        <w:pStyle w:val="BodyText"/>
      </w:pPr>
    </w:p>
    <w:p w:rsidR="00B3605C" w:rsidP="00A933F9">
      <w:pPr>
        <w:pStyle w:val="BodyText"/>
      </w:pPr>
    </w:p>
    <w:p w:rsidR="00000000" w:rsidRPr="00A933F9" w:rsidP="00A933F9">
      <w:pPr>
        <w:pStyle w:val="Heading1"/>
      </w:pPr>
      <w:bookmarkStart w:id="6" w:name="O_212322"/>
      <w:bookmarkEnd w:id="6"/>
      <w:r w:rsidRPr="00A933F9">
        <w:t>Employability Skills Information</w:t>
      </w:r>
    </w:p>
    <w:tbl>
      <w:tblPr>
        <w:tblW w:w="0" w:type="auto"/>
        <w:tblLayout w:type="fixed"/>
        <w:tblCellMar>
          <w:left w:w="62" w:type="dxa"/>
          <w:right w:w="62" w:type="dxa"/>
        </w:tblCellMar>
        <w:tblLook w:val="0000"/>
      </w:tblPr>
      <w:tblGrid>
        <w:gridCol w:w="2802"/>
        <w:gridCol w:w="5720"/>
      </w:tblGrid>
      <w:tr w:rsidTr="00B360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This unit contains employability skills.</w:t>
            </w:r>
          </w:p>
        </w:tc>
      </w:tr>
    </w:tbl>
    <w:p w:rsidR="00B3605C" w:rsidP="00A933F9">
      <w:pPr>
        <w:pStyle w:val="BodyText"/>
      </w:pPr>
    </w:p>
    <w:p w:rsidR="00B3605C" w:rsidP="00A933F9">
      <w:pPr>
        <w:pStyle w:val="BodyText"/>
      </w:pPr>
    </w:p>
    <w:p w:rsidR="00000000" w:rsidRPr="00A933F9" w:rsidP="00A933F9">
      <w:pPr>
        <w:pStyle w:val="Heading1"/>
      </w:pPr>
      <w:bookmarkStart w:id="7" w:name="O_290315"/>
      <w:bookmarkEnd w:id="7"/>
      <w:r w:rsidRPr="00A933F9">
        <w:t>Elements and Performance Criteria Pre-Content</w:t>
      </w:r>
    </w:p>
    <w:tbl>
      <w:tblPr>
        <w:tblW w:w="0" w:type="auto"/>
        <w:tblLayout w:type="fixed"/>
        <w:tblCellMar>
          <w:left w:w="62" w:type="dxa"/>
          <w:right w:w="62" w:type="dxa"/>
        </w:tblCellMar>
        <w:tblLook w:val="0000"/>
      </w:tblPr>
      <w:tblGrid>
        <w:gridCol w:w="2625"/>
        <w:gridCol w:w="5897"/>
      </w:tblGrid>
      <w:tr w:rsidTr="00B36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Performance criteria describe the performance needed to demons</w:t>
            </w:r>
            <w:r w:rsidRPr="00A933F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933F9" w:rsidP="00A933F9">
      <w:pPr>
        <w:pStyle w:val="BodyText"/>
      </w:pPr>
    </w:p>
    <w:p w:rsidR="00000000" w:rsidRPr="00A933F9" w:rsidP="00A933F9">
      <w:pPr>
        <w:pStyle w:val="AllowPageBreak"/>
      </w:pPr>
    </w:p>
    <w:p w:rsidR="00000000" w:rsidRPr="00A933F9" w:rsidP="00A933F9">
      <w:pPr>
        <w:pStyle w:val="Heading1"/>
      </w:pPr>
      <w:bookmarkStart w:id="8" w:name="O_236982"/>
      <w:bookmarkEnd w:id="8"/>
      <w:r w:rsidRPr="00A933F9">
        <w:t>Elements and Performance Criteria</w:t>
      </w:r>
    </w:p>
    <w:tbl>
      <w:tblPr>
        <w:tblW w:w="0" w:type="auto"/>
        <w:tblLayout w:type="fixed"/>
        <w:tblCellMar>
          <w:left w:w="62" w:type="dxa"/>
          <w:right w:w="62" w:type="dxa"/>
        </w:tblCellMar>
        <w:tblLook w:val="0000"/>
      </w:tblPr>
      <w:tblGrid>
        <w:gridCol w:w="2625"/>
        <w:gridCol w:w="5897"/>
      </w:tblGrid>
      <w:tr w:rsidTr="00B3605C">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PERFORMANCE CRITERIA</w:t>
            </w:r>
          </w:p>
        </w:tc>
      </w:tr>
      <w:tr w:rsidTr="00B36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List"/>
              <w:rPr>
                <w:lang w:val="en-NZ"/>
              </w:rPr>
            </w:pPr>
            <w:r w:rsidRPr="00A933F9">
              <w:t>1.</w:t>
            </w:r>
            <w:r w:rsidRPr="00A933F9">
              <w:tab/>
              <w:t xml:space="preserve">Locate fault </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List2"/>
            </w:pPr>
            <w:r w:rsidRPr="00A933F9">
              <w:t>1.1.</w:t>
            </w:r>
            <w:r w:rsidRPr="00A933F9">
              <w:tab/>
              <w:t>Circuit function and characteristics are determined and understood by reference to circuit diagrams, specifications, schematics and/or consultation with technical</w:t>
            </w:r>
            <w:r w:rsidRPr="00A933F9">
              <w:t xml:space="preserve"> adviser.</w:t>
            </w:r>
          </w:p>
          <w:p w:rsidR="00000000" w:rsidRPr="00A933F9" w:rsidP="00A933F9">
            <w:pPr>
              <w:pStyle w:val="List2"/>
            </w:pPr>
            <w:r w:rsidRPr="00A933F9">
              <w:t>1.2.</w:t>
            </w:r>
            <w:r w:rsidRPr="00A933F9">
              <w:tab/>
              <w:t>Where appropriate, built-in fault indicators and error codes are examined and correctly interpreted, and results are recorded to standard operational procedures.</w:t>
            </w:r>
          </w:p>
          <w:p w:rsidR="00000000" w:rsidRPr="00A933F9" w:rsidP="00A933F9">
            <w:pPr>
              <w:pStyle w:val="List2"/>
            </w:pPr>
            <w:r w:rsidRPr="00A933F9">
              <w:t>1.3.</w:t>
            </w:r>
            <w:r w:rsidRPr="00A933F9">
              <w:tab/>
              <w:t>Where appropriate, circuit is correctly isolated from power supply.</w:t>
            </w:r>
          </w:p>
          <w:p w:rsidR="00000000" w:rsidRPr="00A933F9" w:rsidP="00A933F9">
            <w:pPr>
              <w:pStyle w:val="List2"/>
            </w:pPr>
            <w:r w:rsidRPr="00A933F9">
              <w:t>1.4.</w:t>
            </w:r>
            <w:r w:rsidRPr="00A933F9">
              <w:tab/>
            </w:r>
            <w:r w:rsidRPr="00A933F9">
              <w:t>Faults are verified or localised using correct and appropriate techniques, procedures, tools and test equipment.</w:t>
            </w:r>
          </w:p>
          <w:p w:rsidR="00000000" w:rsidP="00A933F9">
            <w:pPr>
              <w:pStyle w:val="List2"/>
              <w:rPr>
                <w:lang w:val="en-NZ"/>
              </w:rPr>
            </w:pPr>
            <w:r w:rsidRPr="00A933F9">
              <w:t>1.5.</w:t>
            </w:r>
            <w:r w:rsidRPr="00A933F9">
              <w:tab/>
              <w:t>Faults are recorded to standard operating procedures.</w:t>
            </w:r>
          </w:p>
        </w:tc>
      </w:tr>
      <w:tr w:rsidTr="00B36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List"/>
              <w:rPr>
                <w:lang w:val="en-NZ"/>
              </w:rPr>
            </w:pPr>
            <w:r w:rsidRPr="00A933F9">
              <w:t>2.</w:t>
            </w:r>
            <w:r w:rsidRPr="00A933F9">
              <w:tab/>
              <w:t>Repair/rectify fault(s)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List2"/>
            </w:pPr>
            <w:r w:rsidRPr="00A933F9">
              <w:t>2.1.</w:t>
            </w:r>
            <w:r w:rsidRPr="00A933F9">
              <w:tab/>
              <w:t>Using correct and appropriate techniques, procedure</w:t>
            </w:r>
            <w:r w:rsidRPr="00A933F9">
              <w:t>s, tools and equipment, circuit/s is repaired, replaced or adjusted to specifications or manufacturers' requirements.</w:t>
            </w:r>
          </w:p>
          <w:p w:rsidR="00000000" w:rsidRPr="00A933F9" w:rsidP="00A933F9">
            <w:pPr>
              <w:pStyle w:val="List2"/>
            </w:pPr>
            <w:r w:rsidRPr="00A933F9">
              <w:t>2.2.</w:t>
            </w:r>
            <w:r w:rsidRPr="00A933F9">
              <w:tab/>
              <w:t>Circuit/s is checked and tested using correct and appropriate techniques, procedures, tools and equipment for compliance with site or</w:t>
            </w:r>
            <w:r w:rsidRPr="00A933F9">
              <w:t xml:space="preserve"> manufacturers' specifications.</w:t>
            </w:r>
          </w:p>
          <w:p w:rsidR="00000000" w:rsidRPr="00A933F9" w:rsidP="00A933F9">
            <w:pPr>
              <w:pStyle w:val="List2"/>
            </w:pPr>
            <w:r w:rsidRPr="00A933F9">
              <w:t>2.3.</w:t>
            </w:r>
            <w:r w:rsidRPr="00A933F9">
              <w:tab/>
              <w:t>Where appropriate, repair/rectification report is recorded to standard operating procedures.</w:t>
            </w:r>
          </w:p>
        </w:tc>
      </w:tr>
    </w:tbl>
    <w:p w:rsidR="00B3605C" w:rsidP="00A933F9">
      <w:pPr>
        <w:pStyle w:val="BodyText"/>
      </w:pPr>
    </w:p>
    <w:p w:rsidR="00B3605C" w:rsidP="00A933F9">
      <w:pPr>
        <w:pStyle w:val="BodyText"/>
      </w:pPr>
    </w:p>
    <w:p w:rsidR="00000000" w:rsidRPr="00A933F9" w:rsidP="00A933F9">
      <w:pPr>
        <w:pStyle w:val="Heading1"/>
      </w:pPr>
      <w:bookmarkStart w:id="9" w:name="O_260932"/>
      <w:bookmarkEnd w:id="9"/>
      <w:r w:rsidRPr="00A933F9">
        <w:t>Required Skills and Knowledge</w:t>
      </w:r>
    </w:p>
    <w:tbl>
      <w:tblPr>
        <w:tblW w:w="0" w:type="auto"/>
        <w:tblLayout w:type="fixed"/>
        <w:tblCellMar>
          <w:left w:w="62" w:type="dxa"/>
          <w:right w:w="62" w:type="dxa"/>
        </w:tblCellMar>
        <w:tblLook w:val="0000"/>
      </w:tblPr>
      <w:tblGrid>
        <w:gridCol w:w="8522"/>
      </w:tblGrid>
      <w:tr w:rsidTr="00B360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REQUIRED SKILLS AND KNOWLEDGE</w:t>
            </w:r>
          </w:p>
        </w:tc>
      </w:tr>
      <w:tr w:rsidTr="00B360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This section describes the skills and knowledge required for this unit.</w:t>
            </w:r>
          </w:p>
        </w:tc>
      </w:tr>
      <w:tr w:rsidTr="00B360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Required skills</w:t>
            </w:r>
          </w:p>
        </w:tc>
      </w:tr>
      <w:tr w:rsidTr="00B360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Look for evidence that confirms skills in:</w:t>
            </w:r>
          </w:p>
          <w:p w:rsidR="00000000" w:rsidRPr="00A933F9" w:rsidP="00A933F9">
            <w:pPr>
              <w:pStyle w:val="ListBullet"/>
            </w:pPr>
            <w:r w:rsidRPr="00A933F9">
              <w:t xml:space="preserve">using diagnostic skills to identify correct and faulty operation </w:t>
            </w:r>
          </w:p>
          <w:p w:rsidR="00000000" w:rsidRPr="00A933F9" w:rsidP="00A933F9">
            <w:pPr>
              <w:pStyle w:val="ListBullet"/>
            </w:pPr>
            <w:r w:rsidRPr="00A933F9">
              <w:t xml:space="preserve">interpreting and using circuit diagrams, specifications </w:t>
            </w:r>
          </w:p>
          <w:p w:rsidR="00000000" w:rsidRPr="00A933F9" w:rsidP="00A933F9">
            <w:pPr>
              <w:pStyle w:val="ListBullet"/>
            </w:pPr>
            <w:r w:rsidRPr="00A933F9">
              <w:t>locating reading/recording built-in fault indicators</w:t>
            </w:r>
          </w:p>
          <w:p w:rsidR="00000000" w:rsidRPr="00A933F9" w:rsidP="00A933F9">
            <w:pPr>
              <w:pStyle w:val="ListBullet"/>
            </w:pPr>
            <w:r w:rsidRPr="00A933F9">
              <w:t>obtaining error code interpretation documents</w:t>
            </w:r>
          </w:p>
          <w:p w:rsidR="00000000" w:rsidRPr="00A933F9" w:rsidP="00A933F9">
            <w:pPr>
              <w:pStyle w:val="ListBullet"/>
            </w:pPr>
            <w:r w:rsidRPr="00A933F9">
              <w:t>isolating electrical circuits from the power supply</w:t>
            </w:r>
          </w:p>
          <w:p w:rsidR="00000000" w:rsidRPr="00A933F9" w:rsidP="00A933F9">
            <w:pPr>
              <w:pStyle w:val="ListBullet"/>
            </w:pPr>
            <w:r w:rsidRPr="00A933F9">
              <w:t xml:space="preserve">tagging isolated circuits </w:t>
            </w:r>
          </w:p>
          <w:p w:rsidR="00000000" w:rsidRPr="00A933F9" w:rsidP="00A933F9">
            <w:pPr>
              <w:pStyle w:val="ListBullet"/>
            </w:pPr>
            <w:r w:rsidRPr="00A933F9">
              <w:t>verifying circuit isolation</w:t>
            </w:r>
          </w:p>
          <w:p w:rsidR="00000000" w:rsidRPr="00A933F9" w:rsidP="00A933F9">
            <w:pPr>
              <w:pStyle w:val="ListBullet"/>
            </w:pPr>
            <w:r w:rsidRPr="00A933F9">
              <w:t>confirming/localising circuit faults using approp</w:t>
            </w:r>
            <w:r w:rsidRPr="00A933F9">
              <w:t>riate test equipment, work techniques and tools</w:t>
            </w:r>
          </w:p>
          <w:p w:rsidR="00000000" w:rsidRPr="00A933F9" w:rsidP="00A933F9">
            <w:pPr>
              <w:pStyle w:val="ListBullet"/>
            </w:pPr>
            <w:r w:rsidRPr="00A933F9">
              <w:t>recording/reporting faults in electrical circuits</w:t>
            </w:r>
          </w:p>
          <w:p w:rsidR="00000000" w:rsidRPr="00A933F9" w:rsidP="00A933F9">
            <w:pPr>
              <w:pStyle w:val="ListBullet"/>
            </w:pPr>
            <w:r w:rsidRPr="00A933F9">
              <w:t>repairing/adjusting electric circuits</w:t>
            </w:r>
          </w:p>
          <w:p w:rsidR="00000000" w:rsidRPr="00A933F9" w:rsidP="00A933F9">
            <w:pPr>
              <w:pStyle w:val="ListBullet"/>
            </w:pPr>
            <w:r w:rsidRPr="00A933F9">
              <w:t>confirming circuit/s against specification</w:t>
            </w:r>
          </w:p>
          <w:p w:rsidR="00000000" w:rsidP="00A933F9">
            <w:pPr>
              <w:pStyle w:val="ListBullet"/>
              <w:rPr>
                <w:lang w:val="en-NZ"/>
              </w:rPr>
            </w:pPr>
            <w:r w:rsidRPr="00A933F9">
              <w:t>recording rectification of the circuit(s)</w:t>
            </w:r>
          </w:p>
        </w:tc>
      </w:tr>
      <w:tr w:rsidTr="00B360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Required knowledge</w:t>
            </w:r>
          </w:p>
        </w:tc>
      </w:tr>
      <w:tr w:rsidTr="00B360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Look for evidence that confirms knowledge of:</w:t>
            </w:r>
          </w:p>
          <w:p w:rsidR="00000000" w:rsidRPr="00A933F9" w:rsidP="00A933F9">
            <w:pPr>
              <w:pStyle w:val="ListBullet"/>
            </w:pPr>
            <w:r w:rsidRPr="00A933F9">
              <w:t xml:space="preserve">circuit characteristics </w:t>
            </w:r>
          </w:p>
          <w:p w:rsidR="00000000" w:rsidRPr="00A933F9" w:rsidP="00A933F9">
            <w:pPr>
              <w:pStyle w:val="ListBullet"/>
            </w:pPr>
            <w:r w:rsidRPr="00A933F9">
              <w:t xml:space="preserve">hazards associated with the electrical circuit(s) </w:t>
            </w:r>
          </w:p>
          <w:p w:rsidR="00000000" w:rsidRPr="00A933F9" w:rsidP="00A933F9">
            <w:pPr>
              <w:pStyle w:val="ListBullet"/>
            </w:pPr>
            <w:r w:rsidRPr="00A933F9">
              <w:t>relevant regulatory requirements</w:t>
            </w:r>
          </w:p>
          <w:p w:rsidR="00000000" w:rsidRPr="00A933F9" w:rsidP="00A933F9">
            <w:pPr>
              <w:pStyle w:val="ListBullet"/>
            </w:pPr>
            <w:r w:rsidRPr="00A933F9">
              <w:t>errors indicated by built-in devices</w:t>
            </w:r>
          </w:p>
          <w:p w:rsidR="00000000" w:rsidRPr="00A933F9" w:rsidP="00A933F9">
            <w:pPr>
              <w:pStyle w:val="ListBullet"/>
            </w:pPr>
            <w:r w:rsidRPr="00A933F9">
              <w:t>circuit isolation procedures</w:t>
            </w:r>
          </w:p>
          <w:p w:rsidR="00000000" w:rsidRPr="00A933F9" w:rsidP="00A933F9">
            <w:pPr>
              <w:pStyle w:val="ListBullet"/>
            </w:pPr>
            <w:r w:rsidRPr="00A933F9">
              <w:t>common electrical test instruments</w:t>
            </w:r>
            <w:r w:rsidRPr="00A933F9">
              <w:t xml:space="preserve"> and their application </w:t>
            </w:r>
          </w:p>
          <w:p w:rsidR="00000000" w:rsidRPr="00A933F9" w:rsidP="00A933F9">
            <w:pPr>
              <w:pStyle w:val="ListBullet"/>
            </w:pPr>
            <w:r w:rsidRPr="00A933F9">
              <w:t>common techniques for testing electrical circuits</w:t>
            </w:r>
          </w:p>
          <w:p w:rsidR="00000000" w:rsidRPr="00A933F9" w:rsidP="00A933F9">
            <w:pPr>
              <w:pStyle w:val="ListBullet"/>
            </w:pPr>
            <w:r w:rsidRPr="00A933F9">
              <w:t>recording/reporting requirements for electrical circuit faults</w:t>
            </w:r>
          </w:p>
          <w:p w:rsidR="00000000" w:rsidRPr="00A933F9" w:rsidP="00A933F9">
            <w:pPr>
              <w:pStyle w:val="ListBullet"/>
            </w:pPr>
            <w:r w:rsidRPr="00A933F9">
              <w:t>appropriate techniques/procedures for returning the circuit/s to specification</w:t>
            </w:r>
          </w:p>
          <w:p w:rsidR="00000000" w:rsidRPr="00A933F9" w:rsidP="00A933F9">
            <w:pPr>
              <w:pStyle w:val="ListBullet"/>
            </w:pPr>
            <w:r w:rsidRPr="00A933F9">
              <w:t>site/manufacturers' circuit specificatio</w:t>
            </w:r>
            <w:r w:rsidRPr="00A933F9">
              <w:t>ns</w:t>
            </w:r>
          </w:p>
          <w:p w:rsidR="00000000" w:rsidRPr="00A933F9" w:rsidP="00A933F9">
            <w:pPr>
              <w:pStyle w:val="ListBullet"/>
            </w:pPr>
            <w:r w:rsidRPr="00A933F9">
              <w:t>requirements for recording circuit rectifications</w:t>
            </w:r>
          </w:p>
        </w:tc>
      </w:tr>
    </w:tbl>
    <w:p w:rsidR="00B3605C" w:rsidP="00A933F9">
      <w:pPr>
        <w:pStyle w:val="BodyText"/>
      </w:pPr>
    </w:p>
    <w:p w:rsidR="00B3605C" w:rsidP="00A933F9">
      <w:pPr>
        <w:pStyle w:val="BodyText"/>
      </w:pPr>
    </w:p>
    <w:p w:rsidR="00000000" w:rsidRPr="00A933F9" w:rsidP="00A933F9">
      <w:pPr>
        <w:pStyle w:val="AllowPageBreak"/>
      </w:pPr>
    </w:p>
    <w:p w:rsidR="00000000" w:rsidRPr="00A933F9" w:rsidP="00A933F9">
      <w:pPr>
        <w:pStyle w:val="Heading1"/>
      </w:pPr>
      <w:bookmarkStart w:id="10" w:name="O_244966"/>
      <w:bookmarkEnd w:id="10"/>
      <w:r w:rsidRPr="00A933F9">
        <w:t>Evidence Guide</w:t>
      </w:r>
    </w:p>
    <w:tbl>
      <w:tblPr>
        <w:tblW w:w="9570" w:type="dxa"/>
        <w:tblLayout w:type="fixed"/>
        <w:tblCellMar>
          <w:left w:w="62" w:type="dxa"/>
          <w:right w:w="62" w:type="dxa"/>
        </w:tblCellMar>
        <w:tblLook w:val="0000"/>
      </w:tblPr>
      <w:tblGrid>
        <w:gridCol w:w="3908"/>
        <w:gridCol w:w="5662"/>
      </w:tblGrid>
      <w:tr w:rsidTr="00B360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EVIDENCE GUIDE</w:t>
            </w:r>
          </w:p>
        </w:tc>
      </w:tr>
      <w:tr w:rsidTr="00B360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The evidence guide provides advice on assessment and must be read in conjunction with the performance criteria, required skills and knowledge, range statement and the Assessment Guidelines for the Training Package.</w:t>
            </w:r>
          </w:p>
        </w:tc>
      </w:tr>
      <w:tr w:rsidTr="00B360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A person who dem</w:t>
            </w:r>
            <w:r w:rsidRPr="00A933F9">
              <w:t>onstrates competency in this unit must be able to fault find and repair/rectify basic electrical circuits. Competency in this unit cannot be claimed until all prerequisites have been satisfied.</w:t>
            </w:r>
          </w:p>
        </w:tc>
      </w:tr>
      <w:tr w:rsidTr="00B360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Critical aspects for assessment and evidence required to demo</w:t>
            </w:r>
            <w:r w:rsidRPr="00A933F9">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Assessors must be satisfied that the candidate can competently and consistently perform all elements of the unit as specified by the criteria, including required knowledge, and be capable of applying the competency in new an</w:t>
            </w:r>
            <w:r w:rsidRPr="00A933F9">
              <w:t>d different situations and contexts.</w:t>
            </w:r>
          </w:p>
        </w:tc>
      </w:tr>
      <w:tr w:rsidTr="00B360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This unit may be assessed on the job, off the job or a combination of both on and off the job. Where assessment occurs off the job, that is the candidate is not in produ</w:t>
            </w:r>
            <w:r w:rsidRPr="00A933F9">
              <w:t>ctive work, then an appropriate simulation must be used where the range of conditions reflects realistic workplace situations. The competencies covered by this unit would be demonstrated by an individual working alone or as part of a team. The assessment e</w:t>
            </w:r>
            <w:r w:rsidRPr="00A933F9">
              <w:t xml:space="preserve">nvironment should not disadvantage the candidate. </w:t>
            </w:r>
          </w:p>
          <w:p w:rsidR="00000000" w:rsidP="00A933F9">
            <w:pPr>
              <w:pStyle w:val="BodyText"/>
              <w:rPr>
                <w:lang w:val="en-NZ"/>
              </w:rPr>
            </w:pPr>
            <w:r w:rsidRPr="00A933F9">
              <w:t>This unit could be assessed in conjunction with any other units addressing the safety, quality, communication, materials handling, recording and reporting associated with fault finding and repair/rectify of basic electrical circuits, or other units requiri</w:t>
            </w:r>
            <w:r w:rsidRPr="00A933F9">
              <w:t>ng the exercise of the skills and knowledge covered by this unit.</w:t>
            </w:r>
          </w:p>
        </w:tc>
      </w:tr>
      <w:tr w:rsidTr="00B360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Assessors should gather a range of evidence that is valid, sufficient, current and authentic. Evidence can be gathered through a variety of ways including direct observ</w:t>
            </w:r>
            <w:r w:rsidRPr="00A933F9">
              <w:t>ation, supervisor's reports, project work, samples and questioning. Questioning techniques should not require language, literacy and numeracy skills beyond those required in this unit of competency. The candidate must have access to all tools, equipment, m</w:t>
            </w:r>
            <w:r w:rsidRPr="00A933F9">
              <w:t>aterials and documentation required. The candidate must be permitted to refer to any relevant workplace procedures, product and manufacturing specifications, codes, standards, manuals and reference materials.</w:t>
            </w:r>
          </w:p>
        </w:tc>
      </w:tr>
      <w:tr w:rsidTr="00B360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p>
        </w:tc>
      </w:tr>
    </w:tbl>
    <w:p w:rsidR="00B3605C" w:rsidP="00A933F9">
      <w:pPr>
        <w:pStyle w:val="BodyText"/>
      </w:pPr>
    </w:p>
    <w:p w:rsidR="00B3605C" w:rsidP="00A933F9">
      <w:pPr>
        <w:pStyle w:val="BodyText"/>
      </w:pPr>
    </w:p>
    <w:p w:rsidR="00000000" w:rsidRPr="00A933F9" w:rsidP="00A933F9">
      <w:pPr>
        <w:pStyle w:val="Heading1"/>
      </w:pPr>
      <w:bookmarkStart w:id="11" w:name="O_252949"/>
      <w:bookmarkEnd w:id="11"/>
      <w:r w:rsidRPr="00A933F9">
        <w:t>Range Statement</w:t>
      </w:r>
    </w:p>
    <w:tbl>
      <w:tblPr>
        <w:tblW w:w="0" w:type="auto"/>
        <w:tblLayout w:type="fixed"/>
        <w:tblCellMar>
          <w:left w:w="62" w:type="dxa"/>
          <w:right w:w="62" w:type="dxa"/>
        </w:tblCellMar>
        <w:tblLook w:val="0000"/>
      </w:tblPr>
      <w:tblGrid>
        <w:gridCol w:w="3515"/>
        <w:gridCol w:w="5007"/>
      </w:tblGrid>
      <w:tr w:rsidTr="00B360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RANGE STATEMENT</w:t>
            </w:r>
          </w:p>
        </w:tc>
      </w:tr>
      <w:tr w:rsidTr="00B360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 xml:space="preserve">The range statement relates to the unit of competency as a whole. It allows for different work environments and situations that may affect </w:t>
            </w:r>
            <w:r w:rsidRPr="00A933F9">
              <w:t>performance. Bold italicised wording, if used in the performance criteria, is detailed below. Essential operating conditions that may be present with training and assessment (depending on the work situation, needs of the candidate, accessibility of the ite</w:t>
            </w:r>
            <w:r w:rsidRPr="00A933F9">
              <w:t>m, and local industry and regional contexts) may also be included.</w:t>
            </w:r>
          </w:p>
        </w:tc>
      </w:tr>
      <w:tr w:rsidTr="00B3605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Circuit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A basic circuit is defined as a single circuit with a single output. A single circuit may be controlled by one or more devices and the output may control one or more devices</w:t>
            </w:r>
          </w:p>
        </w:tc>
      </w:tr>
      <w:tr w:rsidTr="00B3605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Appr</w:t>
            </w:r>
            <w:r w:rsidRPr="00A933F9">
              <w:rPr>
                <w:rStyle w:val="SpecialBold"/>
              </w:rPr>
              <w:t>opriate techniques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t>Testing for voltage, current, frequency, polarity, phase, circuit continuity, insulation resistance, earth continuity etc.</w:t>
            </w:r>
          </w:p>
        </w:tc>
      </w:tr>
      <w:tr w:rsidTr="00B3605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Test equipment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Continuity testers, ammeters, voltmeters, multimeters, tong testers, wattmeters, cathode ray oscil</w:t>
            </w:r>
            <w:r w:rsidRPr="00A933F9">
              <w:t xml:space="preserve">loscopes, etc. </w:t>
            </w:r>
          </w:p>
        </w:tc>
      </w:tr>
    </w:tbl>
    <w:p w:rsidR="00B3605C" w:rsidP="00A933F9">
      <w:pPr>
        <w:pStyle w:val="BodyText"/>
      </w:pPr>
    </w:p>
    <w:p w:rsidR="00B3605C" w:rsidP="00A933F9">
      <w:pPr>
        <w:pStyle w:val="BodyText"/>
      </w:pPr>
    </w:p>
    <w:p w:rsidR="00000000" w:rsidRPr="00A933F9" w:rsidP="00A933F9">
      <w:pPr>
        <w:pStyle w:val="Heading1"/>
      </w:pPr>
      <w:bookmarkStart w:id="12" w:name="O_212327"/>
      <w:bookmarkEnd w:id="12"/>
      <w:r w:rsidRPr="00A933F9">
        <w:t>Unit Sector(s)</w:t>
      </w:r>
    </w:p>
    <w:tbl>
      <w:tblPr>
        <w:tblW w:w="0" w:type="auto"/>
        <w:tblLayout w:type="fixed"/>
        <w:tblCellMar>
          <w:left w:w="62" w:type="dxa"/>
          <w:right w:w="62" w:type="dxa"/>
        </w:tblCellMar>
        <w:tblLook w:val="0000"/>
      </w:tblPr>
      <w:tblGrid>
        <w:gridCol w:w="2654"/>
        <w:gridCol w:w="5868"/>
      </w:tblGrid>
      <w:tr w:rsidTr="00B3605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p>
        </w:tc>
      </w:tr>
    </w:tbl>
    <w:p w:rsidR="00B3605C" w:rsidP="00A933F9">
      <w:pPr>
        <w:pStyle w:val="BodyText"/>
      </w:pPr>
    </w:p>
    <w:p w:rsidR="00B3605C" w:rsidP="00A933F9">
      <w:pPr>
        <w:pStyle w:val="BodyText"/>
      </w:pPr>
    </w:p>
    <w:p w:rsidR="00000000" w:rsidRPr="00A933F9" w:rsidP="00A933F9">
      <w:pPr>
        <w:pStyle w:val="Heading1"/>
      </w:pPr>
      <w:bookmarkStart w:id="13" w:name="O_212324"/>
      <w:bookmarkEnd w:id="13"/>
      <w:r w:rsidRPr="00A933F9">
        <w:t>Co-requisite units</w:t>
      </w:r>
    </w:p>
    <w:tbl>
      <w:tblPr>
        <w:tblW w:w="0" w:type="auto"/>
        <w:tblLayout w:type="fixed"/>
        <w:tblCellMar>
          <w:left w:w="62" w:type="dxa"/>
          <w:right w:w="62" w:type="dxa"/>
        </w:tblCellMar>
        <w:tblLook w:val="0000"/>
      </w:tblPr>
      <w:tblGrid>
        <w:gridCol w:w="2641"/>
        <w:gridCol w:w="1322"/>
        <w:gridCol w:w="4559"/>
      </w:tblGrid>
      <w:tr w:rsidTr="00B360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360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p>
        </w:tc>
      </w:tr>
      <w:tr w:rsidTr="00B360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p>
        </w:tc>
      </w:tr>
    </w:tbl>
    <w:p w:rsidR="00B3605C" w:rsidP="00A933F9">
      <w:pPr>
        <w:pStyle w:val="BodyText"/>
      </w:pPr>
    </w:p>
    <w:p w:rsidR="00B3605C" w:rsidP="00A933F9">
      <w:pPr>
        <w:pStyle w:val="BodyText"/>
      </w:pPr>
    </w:p>
    <w:p w:rsidR="00000000" w:rsidRPr="00A933F9" w:rsidP="00A933F9">
      <w:pPr>
        <w:pStyle w:val="Heading1"/>
      </w:pPr>
      <w:bookmarkStart w:id="14" w:name="O_212326"/>
      <w:bookmarkEnd w:id="14"/>
      <w:r w:rsidRPr="00A933F9">
        <w:t>Competency field</w:t>
      </w:r>
    </w:p>
    <w:tbl>
      <w:tblPr>
        <w:tblW w:w="0" w:type="auto"/>
        <w:tblLayout w:type="fixed"/>
        <w:tblCellMar>
          <w:left w:w="62" w:type="dxa"/>
          <w:right w:w="62" w:type="dxa"/>
        </w:tblCellMar>
        <w:tblLook w:val="0000"/>
      </w:tblPr>
      <w:tblGrid>
        <w:gridCol w:w="2775"/>
        <w:gridCol w:w="5747"/>
      </w:tblGrid>
      <w:tr w:rsidTr="00B360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3F9">
            <w:pPr>
              <w:pStyle w:val="BodyText"/>
              <w:rPr>
                <w:lang w:val="en-NZ"/>
              </w:rPr>
            </w:pPr>
            <w:r w:rsidRPr="00A933F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3F9" w:rsidP="00A933F9">
            <w:pPr>
              <w:pStyle w:val="BodyText"/>
            </w:pPr>
            <w:r w:rsidRPr="00A933F9">
              <w:t>Maintenance and diagnostics</w:t>
            </w:r>
          </w:p>
        </w:tc>
      </w:tr>
    </w:tbl>
    <w:p w:rsidR="00B3605C" w:rsidP="00A933F9">
      <w:pPr>
        <w:pStyle w:val="BodyText"/>
      </w:pPr>
    </w:p>
    <w:p w:rsidR="00B3605C" w:rsidP="00A933F9">
      <w:pPr>
        <w:pStyle w:val="BodyText"/>
      </w:pPr>
    </w:p>
    <w:p w:rsidR="00000000" w:rsidRPr="00A933F9" w:rsidP="00A933F9"/>
    <w:sectPr w:rsidSect="00A933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605C" w:rsidP="00B36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5C" w:rsidP="00A93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605C" w:rsidP="00A933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605C" w:rsidP="00A933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605C" w:rsidP="00B360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5C" w:rsidP="00A933F9">
    <w:pPr>
      <w:pStyle w:val="Header"/>
      <w:framePr w:wrap="around"/>
    </w:pPr>
    <w:r>
      <w:fldChar w:fldCharType="begin"/>
    </w:r>
    <w:r>
      <w:instrText xml:space="preserve"> TITLE   \* MERGEFORMAT </w:instrText>
    </w:r>
    <w:r>
      <w:fldChar w:fldCharType="separate"/>
    </w:r>
    <w:r>
      <w:t>MEM18048B Fault find and repair/rectify basic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605C" w:rsidP="00A933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94C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805B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3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3F9"/>
    <w:pPr>
      <w:spacing w:before="360" w:after="60"/>
      <w:outlineLvl w:val="0"/>
    </w:pPr>
    <w:rPr>
      <w:sz w:val="32"/>
    </w:rPr>
  </w:style>
  <w:style w:type="paragraph" w:styleId="Heading2">
    <w:name w:val="heading 2"/>
    <w:basedOn w:val="HeadingBase"/>
    <w:next w:val="BodyText"/>
    <w:link w:val="Heading2Char"/>
    <w:qFormat/>
    <w:rsid w:val="00A933F9"/>
    <w:pPr>
      <w:keepLines/>
      <w:spacing w:before="240" w:after="120"/>
      <w:outlineLvl w:val="1"/>
    </w:pPr>
    <w:rPr>
      <w:sz w:val="28"/>
      <w:szCs w:val="40"/>
    </w:rPr>
  </w:style>
  <w:style w:type="paragraph" w:styleId="Heading3">
    <w:name w:val="heading 3"/>
    <w:basedOn w:val="HeadingBase"/>
    <w:next w:val="BodyText"/>
    <w:link w:val="Heading3Char"/>
    <w:qFormat/>
    <w:rsid w:val="00A933F9"/>
    <w:pPr>
      <w:spacing w:before="180" w:after="120"/>
      <w:outlineLvl w:val="2"/>
    </w:pPr>
    <w:rPr>
      <w:spacing w:val="-10"/>
      <w:kern w:val="32"/>
    </w:rPr>
  </w:style>
  <w:style w:type="paragraph" w:styleId="Heading4">
    <w:name w:val="heading 4"/>
    <w:basedOn w:val="HeadingBase"/>
    <w:next w:val="BodyText"/>
    <w:link w:val="Heading4Char"/>
    <w:qFormat/>
    <w:rsid w:val="00A933F9"/>
    <w:pPr>
      <w:spacing w:before="160" w:after="120"/>
      <w:outlineLvl w:val="3"/>
    </w:pPr>
    <w:rPr>
      <w:sz w:val="22"/>
    </w:rPr>
  </w:style>
  <w:style w:type="paragraph" w:styleId="Heading5">
    <w:name w:val="heading 5"/>
    <w:basedOn w:val="HeadingBase"/>
    <w:next w:val="Normal"/>
    <w:link w:val="Heading5Char"/>
    <w:qFormat/>
    <w:rsid w:val="00A933F9"/>
    <w:pPr>
      <w:spacing w:before="80"/>
      <w:outlineLvl w:val="4"/>
    </w:pPr>
    <w:rPr>
      <w:color w:val="918585"/>
      <w:sz w:val="20"/>
    </w:rPr>
  </w:style>
  <w:style w:type="paragraph" w:styleId="Heading6">
    <w:name w:val="heading 6"/>
    <w:basedOn w:val="HeadingBase"/>
    <w:next w:val="Normal"/>
    <w:link w:val="Heading6Char"/>
    <w:qFormat/>
    <w:rsid w:val="00A933F9"/>
    <w:pPr>
      <w:spacing w:before="60"/>
      <w:outlineLvl w:val="5"/>
    </w:pPr>
    <w:rPr>
      <w:color w:val="918585"/>
      <w:sz w:val="20"/>
    </w:rPr>
  </w:style>
  <w:style w:type="paragraph" w:styleId="Heading7">
    <w:name w:val="heading 7"/>
    <w:basedOn w:val="Normal"/>
    <w:next w:val="Normal"/>
    <w:link w:val="Heading7Char"/>
    <w:qFormat/>
    <w:rsid w:val="00A933F9"/>
    <w:pPr>
      <w:ind w:left="720"/>
      <w:outlineLvl w:val="6"/>
    </w:pPr>
    <w:rPr>
      <w:i/>
    </w:rPr>
  </w:style>
  <w:style w:type="paragraph" w:styleId="Heading8">
    <w:name w:val="heading 8"/>
    <w:basedOn w:val="Normal"/>
    <w:next w:val="Normal"/>
    <w:link w:val="Heading8Char"/>
    <w:qFormat/>
    <w:rsid w:val="00A933F9"/>
    <w:pPr>
      <w:ind w:left="720"/>
      <w:outlineLvl w:val="7"/>
    </w:pPr>
    <w:rPr>
      <w:i/>
    </w:rPr>
  </w:style>
  <w:style w:type="paragraph" w:styleId="Heading9">
    <w:name w:val="heading 9"/>
    <w:basedOn w:val="Normal"/>
    <w:next w:val="Normal"/>
    <w:link w:val="Heading9Char"/>
    <w:qFormat/>
    <w:rsid w:val="00A933F9"/>
    <w:pPr>
      <w:ind w:left="720"/>
      <w:outlineLvl w:val="8"/>
    </w:pPr>
    <w:rPr>
      <w:i/>
    </w:rPr>
  </w:style>
  <w:style w:type="character" w:default="1" w:styleId="DefaultParagraphFont">
    <w:name w:val="Default Paragraph Font"/>
    <w:uiPriority w:val="1"/>
    <w:unhideWhenUsed/>
    <w:rsid w:val="00A93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3F9"/>
  </w:style>
  <w:style w:type="character" w:customStyle="1" w:styleId="Heading1Char">
    <w:name w:val="Heading 1 Char"/>
    <w:basedOn w:val="DefaultParagraphFont"/>
    <w:link w:val="Heading1"/>
    <w:rsid w:val="00A933F9"/>
    <w:rPr>
      <w:rFonts w:ascii="Times New Roman" w:eastAsia="Times New Roman" w:hAnsi="Times New Roman" w:cs="Times New Roman"/>
      <w:b/>
      <w:sz w:val="32"/>
      <w:szCs w:val="20"/>
      <w:lang w:eastAsia="en-US"/>
    </w:rPr>
  </w:style>
  <w:style w:type="paragraph" w:styleId="BodyText">
    <w:name w:val="Body Text"/>
    <w:basedOn w:val="Normal"/>
    <w:link w:val="BodyTextChar"/>
    <w:rsid w:val="00A933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3F9"/>
    <w:rPr>
      <w:rFonts w:ascii="Times New Roman" w:eastAsia="Times New Roman" w:hAnsi="Times New Roman" w:cs="Times New Roman"/>
      <w:sz w:val="24"/>
      <w:lang w:val="en-US" w:eastAsia="en-US"/>
    </w:rPr>
  </w:style>
  <w:style w:type="paragraph" w:styleId="Footer">
    <w:name w:val="footer"/>
    <w:basedOn w:val="Normal"/>
    <w:link w:val="FooterChar"/>
    <w:rsid w:val="00A93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3F9"/>
    <w:rPr>
      <w:rFonts w:ascii="Times New Roman" w:eastAsia="Times New Roman" w:hAnsi="Times New Roman" w:cs="Times New Roman"/>
      <w:sz w:val="16"/>
      <w:lang w:val="en-US" w:eastAsia="en-US"/>
    </w:rPr>
  </w:style>
  <w:style w:type="paragraph" w:styleId="List">
    <w:name w:val="List"/>
    <w:basedOn w:val="BodyText"/>
    <w:next w:val="BodyText"/>
    <w:rsid w:val="00A933F9"/>
    <w:pPr>
      <w:tabs>
        <w:tab w:val="left" w:pos="340"/>
      </w:tabs>
      <w:spacing w:before="60" w:after="60"/>
      <w:ind w:left="340" w:hanging="340"/>
    </w:pPr>
  </w:style>
  <w:style w:type="paragraph" w:styleId="ListBullet">
    <w:name w:val="List Bullet"/>
    <w:basedOn w:val="List"/>
    <w:rsid w:val="00A933F9"/>
    <w:pPr>
      <w:numPr>
        <w:numId w:val="12"/>
      </w:numPr>
      <w:tabs>
        <w:tab w:val="clear" w:pos="340"/>
      </w:tabs>
      <w:spacing w:before="40" w:after="40"/>
    </w:pPr>
  </w:style>
  <w:style w:type="character" w:customStyle="1" w:styleId="SpecialBold">
    <w:name w:val="Special Bold"/>
    <w:basedOn w:val="DefaultParagraphFont"/>
    <w:rsid w:val="00A933F9"/>
    <w:rPr>
      <w:b/>
      <w:spacing w:val="0"/>
    </w:rPr>
  </w:style>
  <w:style w:type="paragraph" w:styleId="Header">
    <w:name w:val="header"/>
    <w:basedOn w:val="Normal"/>
    <w:link w:val="HeaderChar"/>
    <w:rsid w:val="00A93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3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33F9"/>
    <w:pPr>
      <w:spacing w:before="240" w:after="120"/>
      <w:outlineLvl w:val="0"/>
    </w:pPr>
    <w:rPr>
      <w:rFonts w:ascii="Times New Roman" w:hAnsi="Times New Roman"/>
      <w:b/>
      <w:sz w:val="28"/>
    </w:rPr>
  </w:style>
  <w:style w:type="paragraph" w:customStyle="1" w:styleId="AllowPageBreak">
    <w:name w:val="AllowPageBreak"/>
    <w:rsid w:val="00A933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3F9"/>
    <w:pPr>
      <w:tabs>
        <w:tab w:val="left" w:pos="680"/>
      </w:tabs>
      <w:spacing w:before="60" w:after="60"/>
      <w:ind w:left="680" w:hanging="340"/>
    </w:pPr>
  </w:style>
  <w:style w:type="character" w:customStyle="1" w:styleId="Heading2Char">
    <w:name w:val="Heading 2 Char"/>
    <w:basedOn w:val="DefaultParagraphFont"/>
    <w:link w:val="Heading2"/>
    <w:rsid w:val="00A93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3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3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3F9"/>
    <w:rPr>
      <w:rFonts w:ascii="Courier New" w:eastAsia="Times New Roman" w:hAnsi="Courier New" w:cs="Times New Roman"/>
      <w:i/>
      <w:szCs w:val="20"/>
      <w:lang w:val="en-US" w:eastAsia="en-US"/>
    </w:rPr>
  </w:style>
  <w:style w:type="paragraph" w:customStyle="1" w:styleId="HeadingBase">
    <w:name w:val="Heading Base"/>
    <w:rsid w:val="00A93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3F9"/>
    <w:pPr>
      <w:tabs>
        <w:tab w:val="right" w:leader="dot" w:pos="9072"/>
      </w:tabs>
      <w:ind w:left="567"/>
    </w:pPr>
    <w:rPr>
      <w:szCs w:val="22"/>
    </w:rPr>
  </w:style>
  <w:style w:type="paragraph" w:customStyle="1" w:styleId="TOCBase">
    <w:name w:val="TOC Base"/>
    <w:rsid w:val="00A93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3F9"/>
    <w:pPr>
      <w:tabs>
        <w:tab w:val="right" w:leader="dot" w:pos="9072"/>
      </w:tabs>
      <w:spacing w:before="40" w:after="40"/>
      <w:ind w:left="284"/>
    </w:pPr>
    <w:rPr>
      <w:rFonts w:ascii="Times New Roman" w:hAnsi="Times New Roman"/>
    </w:rPr>
  </w:style>
  <w:style w:type="paragraph" w:styleId="TOC1">
    <w:name w:val="toc 1"/>
    <w:basedOn w:val="TOCBase"/>
    <w:next w:val="Normal"/>
    <w:rsid w:val="00A933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3F9"/>
    <w:pPr>
      <w:spacing w:before="5040"/>
      <w:jc w:val="center"/>
    </w:pPr>
    <w:rPr>
      <w:sz w:val="48"/>
      <w:szCs w:val="72"/>
      <w:lang w:val="en-US"/>
    </w:rPr>
  </w:style>
  <w:style w:type="character" w:customStyle="1" w:styleId="TitleChar">
    <w:name w:val="Title Char"/>
    <w:basedOn w:val="DefaultParagraphFont"/>
    <w:link w:val="Title"/>
    <w:rsid w:val="00A93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3F9"/>
    <w:pPr>
      <w:tabs>
        <w:tab w:val="left" w:pos="3600"/>
        <w:tab w:val="left" w:pos="3958"/>
      </w:tabs>
    </w:pPr>
  </w:style>
  <w:style w:type="paragraph" w:customStyle="1" w:styleId="Note">
    <w:name w:val="Note"/>
    <w:basedOn w:val="BodyText"/>
    <w:rsid w:val="00A933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3F9"/>
    <w:pPr>
      <w:framePr w:wrap="auto" w:hAnchor="text" w:y="6049"/>
    </w:pPr>
    <w:rPr>
      <w:color w:val="000000"/>
      <w:sz w:val="40"/>
    </w:rPr>
  </w:style>
  <w:style w:type="paragraph" w:customStyle="1" w:styleId="TOCTitle">
    <w:name w:val="TOCTitle"/>
    <w:basedOn w:val="Heading1"/>
    <w:rsid w:val="00A933F9"/>
    <w:pPr>
      <w:spacing w:after="240"/>
      <w:jc w:val="center"/>
      <w:outlineLvl w:val="9"/>
    </w:pPr>
    <w:rPr>
      <w:caps/>
    </w:rPr>
  </w:style>
  <w:style w:type="paragraph" w:customStyle="1" w:styleId="Version">
    <w:name w:val="Version"/>
    <w:rsid w:val="00A933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3F9"/>
    <w:pPr>
      <w:numPr>
        <w:numId w:val="13"/>
      </w:numPr>
      <w:tabs>
        <w:tab w:val="clear" w:pos="680"/>
      </w:tabs>
    </w:pPr>
  </w:style>
  <w:style w:type="paragraph" w:styleId="Index1">
    <w:name w:val="index 1"/>
    <w:basedOn w:val="Normal"/>
    <w:next w:val="Normal"/>
    <w:semiHidden/>
    <w:rsid w:val="00A933F9"/>
    <w:pPr>
      <w:keepNext w:val="0"/>
      <w:tabs>
        <w:tab w:val="right" w:pos="4176"/>
      </w:tabs>
      <w:ind w:left="198" w:hanging="198"/>
    </w:pPr>
    <w:rPr>
      <w:rFonts w:ascii="Garamond" w:hAnsi="Garamond"/>
    </w:rPr>
  </w:style>
  <w:style w:type="paragraph" w:styleId="IndexHeading">
    <w:name w:val="index heading"/>
    <w:basedOn w:val="Normal"/>
    <w:next w:val="Index1"/>
    <w:semiHidden/>
    <w:rsid w:val="00A933F9"/>
    <w:pPr>
      <w:spacing w:before="120" w:after="120"/>
    </w:pPr>
    <w:rPr>
      <w:rFonts w:ascii="Arial" w:hAnsi="Arial"/>
      <w:b/>
      <w:color w:val="918585"/>
      <w:sz w:val="24"/>
    </w:rPr>
  </w:style>
  <w:style w:type="paragraph" w:customStyle="1" w:styleId="Chapter">
    <w:name w:val="Chapter"/>
    <w:basedOn w:val="Normal"/>
    <w:rsid w:val="00A933F9"/>
    <w:pPr>
      <w:spacing w:before="240"/>
    </w:pPr>
    <w:rPr>
      <w:rFonts w:ascii="Times New Roman" w:hAnsi="Times New Roman"/>
      <w:smallCaps/>
      <w:spacing w:val="80"/>
      <w:sz w:val="28"/>
    </w:rPr>
  </w:style>
  <w:style w:type="paragraph" w:customStyle="1" w:styleId="InChapter">
    <w:name w:val="InChapter"/>
    <w:basedOn w:val="Heading3"/>
    <w:rsid w:val="00A933F9"/>
    <w:pPr>
      <w:spacing w:after="240"/>
      <w:outlineLvl w:val="9"/>
    </w:pPr>
    <w:rPr>
      <w:noProof/>
    </w:rPr>
  </w:style>
  <w:style w:type="paragraph" w:styleId="Index2">
    <w:name w:val="index 2"/>
    <w:basedOn w:val="Normal"/>
    <w:next w:val="Normal"/>
    <w:semiHidden/>
    <w:rsid w:val="00A933F9"/>
    <w:pPr>
      <w:tabs>
        <w:tab w:val="right" w:pos="4176"/>
      </w:tabs>
      <w:ind w:left="568" w:hanging="284"/>
    </w:pPr>
    <w:rPr>
      <w:rFonts w:ascii="Garamond" w:hAnsi="Garamond"/>
    </w:rPr>
  </w:style>
  <w:style w:type="paragraph" w:customStyle="1" w:styleId="Byline">
    <w:name w:val="Byline"/>
    <w:rsid w:val="00A93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3F9"/>
    <w:pPr>
      <w:tabs>
        <w:tab w:val="clear" w:pos="3600"/>
        <w:tab w:val="clear" w:pos="3958"/>
      </w:tabs>
      <w:jc w:val="right"/>
    </w:pPr>
  </w:style>
  <w:style w:type="character" w:styleId="Emphasis">
    <w:name w:val="Emphasis"/>
    <w:basedOn w:val="DefaultParagraphFont"/>
    <w:qFormat/>
    <w:rsid w:val="00A933F9"/>
    <w:rPr>
      <w:i/>
    </w:rPr>
  </w:style>
  <w:style w:type="paragraph" w:styleId="Caption">
    <w:name w:val="caption"/>
    <w:basedOn w:val="BodyText"/>
    <w:next w:val="Normal"/>
    <w:qFormat/>
    <w:rsid w:val="00A933F9"/>
    <w:pPr>
      <w:framePr w:w="2268" w:hSpace="181" w:vSpace="181" w:wrap="around" w:vAnchor="text" w:hAnchor="page" w:x="1135" w:y="285" w:anchorLock="1"/>
    </w:pPr>
    <w:rPr>
      <w:i/>
    </w:rPr>
  </w:style>
  <w:style w:type="paragraph" w:customStyle="1" w:styleId="MiniTOCTitle">
    <w:name w:val="MiniTOCTitle"/>
    <w:basedOn w:val="Heading4"/>
    <w:rsid w:val="00A933F9"/>
    <w:pPr>
      <w:spacing w:before="240"/>
      <w:outlineLvl w:val="9"/>
    </w:pPr>
    <w:rPr>
      <w:noProof/>
      <w:sz w:val="24"/>
    </w:rPr>
  </w:style>
  <w:style w:type="paragraph" w:customStyle="1" w:styleId="MiniTOCItem">
    <w:name w:val="MiniTOCItem"/>
    <w:basedOn w:val="ListBullet"/>
    <w:rsid w:val="00A933F9"/>
    <w:pPr>
      <w:numPr>
        <w:numId w:val="0"/>
      </w:numPr>
      <w:tabs>
        <w:tab w:val="right" w:leader="dot" w:pos="6521"/>
      </w:tabs>
      <w:spacing w:before="0" w:after="0"/>
    </w:pPr>
  </w:style>
  <w:style w:type="paragraph" w:customStyle="1" w:styleId="TOFTitle">
    <w:name w:val="TOFTitle"/>
    <w:basedOn w:val="TOCTitle"/>
    <w:rsid w:val="00A933F9"/>
  </w:style>
  <w:style w:type="paragraph" w:styleId="TableofFigures">
    <w:name w:val="table of figures"/>
    <w:basedOn w:val="Normal"/>
    <w:next w:val="Normal"/>
    <w:semiHidden/>
    <w:rsid w:val="00A933F9"/>
    <w:pPr>
      <w:tabs>
        <w:tab w:val="right" w:leader="dot" w:pos="9072"/>
      </w:tabs>
      <w:ind w:left="970" w:hanging="403"/>
    </w:pPr>
    <w:rPr>
      <w:rFonts w:ascii="Times New Roman" w:hAnsi="Times New Roman"/>
      <w:b/>
    </w:rPr>
  </w:style>
  <w:style w:type="paragraph" w:styleId="ListNumber">
    <w:name w:val="List Number"/>
    <w:basedOn w:val="List"/>
    <w:rsid w:val="00A933F9"/>
    <w:pPr>
      <w:numPr>
        <w:numId w:val="10"/>
      </w:numPr>
    </w:pPr>
  </w:style>
  <w:style w:type="character" w:customStyle="1" w:styleId="WingdingSymbols">
    <w:name w:val="Wingding Symbols"/>
    <w:rsid w:val="00A933F9"/>
    <w:rPr>
      <w:rFonts w:ascii="Wingdings" w:hAnsi="Wingdings"/>
    </w:rPr>
  </w:style>
  <w:style w:type="paragraph" w:customStyle="1" w:styleId="TableHeading">
    <w:name w:val="Table Heading"/>
    <w:basedOn w:val="HeadingBase"/>
    <w:rsid w:val="00A933F9"/>
    <w:pPr>
      <w:keepLines/>
      <w:pBdr>
        <w:bottom w:val="single" w:sz="6" w:space="1" w:color="918585"/>
      </w:pBdr>
      <w:spacing w:before="240"/>
    </w:pPr>
  </w:style>
  <w:style w:type="character" w:customStyle="1" w:styleId="HotSpot">
    <w:name w:val="HotSpot"/>
    <w:rsid w:val="00A933F9"/>
    <w:rPr>
      <w:color w:val="0033CC"/>
      <w:u w:val="none"/>
    </w:rPr>
  </w:style>
  <w:style w:type="paragraph" w:customStyle="1" w:styleId="BodyTextRight">
    <w:name w:val="Body Text Right"/>
    <w:basedOn w:val="BodyText"/>
    <w:rsid w:val="00A933F9"/>
    <w:pPr>
      <w:spacing w:before="0" w:after="0"/>
      <w:jc w:val="right"/>
    </w:pPr>
  </w:style>
  <w:style w:type="paragraph" w:styleId="Index3">
    <w:name w:val="index 3"/>
    <w:basedOn w:val="ListNumber2"/>
    <w:next w:val="Normal"/>
    <w:semiHidden/>
    <w:rsid w:val="00A933F9"/>
    <w:pPr>
      <w:numPr>
        <w:numId w:val="0"/>
      </w:numPr>
      <w:tabs>
        <w:tab w:val="right" w:leader="dot" w:pos="4176"/>
      </w:tabs>
    </w:pPr>
  </w:style>
  <w:style w:type="paragraph" w:styleId="ListNumber2">
    <w:name w:val="List Number 2"/>
    <w:basedOn w:val="List2"/>
    <w:rsid w:val="00A933F9"/>
    <w:pPr>
      <w:numPr>
        <w:numId w:val="9"/>
      </w:numPr>
      <w:tabs>
        <w:tab w:val="clear" w:pos="1060"/>
      </w:tabs>
    </w:pPr>
  </w:style>
  <w:style w:type="paragraph" w:customStyle="1" w:styleId="MarginNote">
    <w:name w:val="Margin Note"/>
    <w:basedOn w:val="BodyText"/>
    <w:rsid w:val="00A93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3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3F9"/>
    <w:rPr>
      <w:sz w:val="32"/>
    </w:rPr>
  </w:style>
  <w:style w:type="paragraph" w:customStyle="1" w:styleId="HeadingProcedure">
    <w:name w:val="Heading Procedure"/>
    <w:basedOn w:val="HeadingBase"/>
    <w:next w:val="Normal"/>
    <w:rsid w:val="00A933F9"/>
    <w:pPr>
      <w:tabs>
        <w:tab w:val="left" w:pos="0"/>
      </w:tabs>
      <w:spacing w:before="120" w:after="60"/>
    </w:pPr>
    <w:rPr>
      <w:i/>
      <w:color w:val="918585"/>
      <w:sz w:val="22"/>
    </w:rPr>
  </w:style>
  <w:style w:type="paragraph" w:customStyle="1" w:styleId="TableBodyText">
    <w:name w:val="Table Body Text"/>
    <w:basedOn w:val="BodyText"/>
    <w:rsid w:val="00A933F9"/>
    <w:pPr>
      <w:spacing w:before="60" w:after="60"/>
    </w:pPr>
  </w:style>
  <w:style w:type="paragraph" w:styleId="ListContinue">
    <w:name w:val="List Continue"/>
    <w:basedOn w:val="List"/>
    <w:rsid w:val="00A933F9"/>
    <w:pPr>
      <w:ind w:firstLine="0"/>
    </w:pPr>
  </w:style>
  <w:style w:type="paragraph" w:customStyle="1" w:styleId="ListNote">
    <w:name w:val="List Note"/>
    <w:basedOn w:val="List"/>
    <w:rsid w:val="00A933F9"/>
    <w:pPr>
      <w:pBdr>
        <w:top w:val="single" w:sz="6" w:space="2" w:color="918585"/>
        <w:bottom w:val="single" w:sz="6" w:space="2" w:color="918585"/>
      </w:pBdr>
      <w:tabs>
        <w:tab w:val="left" w:pos="1021"/>
      </w:tabs>
      <w:ind w:firstLine="0"/>
    </w:pPr>
  </w:style>
  <w:style w:type="paragraph" w:customStyle="1" w:styleId="Warning">
    <w:name w:val="Warning"/>
    <w:basedOn w:val="BodyText"/>
    <w:rsid w:val="00A933F9"/>
    <w:pPr>
      <w:shd w:val="clear" w:color="auto" w:fill="D9D9D9"/>
      <w:tabs>
        <w:tab w:val="left" w:pos="992"/>
      </w:tabs>
      <w:ind w:left="119" w:right="119"/>
    </w:pPr>
    <w:rPr>
      <w:sz w:val="20"/>
    </w:rPr>
  </w:style>
  <w:style w:type="paragraph" w:customStyle="1" w:styleId="MarginIcons">
    <w:name w:val="Margin Icons"/>
    <w:basedOn w:val="BodyText"/>
    <w:rsid w:val="00A93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3F9"/>
    <w:rPr>
      <w:rFonts w:ascii="Courier New" w:hAnsi="Courier New"/>
    </w:rPr>
  </w:style>
  <w:style w:type="paragraph" w:customStyle="1" w:styleId="NoteBullet">
    <w:name w:val="Note Bullet"/>
    <w:basedOn w:val="Note"/>
    <w:rsid w:val="00A933F9"/>
    <w:pPr>
      <w:tabs>
        <w:tab w:val="clear" w:pos="680"/>
      </w:tabs>
      <w:spacing w:before="60" w:after="60"/>
    </w:pPr>
  </w:style>
  <w:style w:type="paragraph" w:customStyle="1" w:styleId="SubHeading2">
    <w:name w:val="SubHeading2"/>
    <w:basedOn w:val="HeadingBase"/>
    <w:rsid w:val="00A933F9"/>
    <w:pPr>
      <w:spacing w:before="240" w:after="60"/>
    </w:pPr>
    <w:rPr>
      <w:sz w:val="20"/>
    </w:rPr>
  </w:style>
  <w:style w:type="paragraph" w:customStyle="1" w:styleId="SubHeading1">
    <w:name w:val="SubHeading1"/>
    <w:basedOn w:val="HeadingBase"/>
    <w:rsid w:val="00A933F9"/>
    <w:pPr>
      <w:spacing w:before="240" w:after="60"/>
    </w:pPr>
    <w:rPr>
      <w:color w:val="918585"/>
      <w:sz w:val="22"/>
    </w:rPr>
  </w:style>
  <w:style w:type="paragraph" w:customStyle="1" w:styleId="SideHeading">
    <w:name w:val="Side Heading"/>
    <w:basedOn w:val="HeadingBase"/>
    <w:rsid w:val="00A93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3F9"/>
    <w:pPr>
      <w:tabs>
        <w:tab w:val="num" w:pos="360"/>
      </w:tabs>
    </w:pPr>
  </w:style>
  <w:style w:type="paragraph" w:styleId="PlainText">
    <w:name w:val="Plain Text"/>
    <w:basedOn w:val="Normal"/>
    <w:link w:val="PlainTextChar"/>
    <w:rsid w:val="00A933F9"/>
    <w:rPr>
      <w:sz w:val="20"/>
    </w:rPr>
  </w:style>
  <w:style w:type="character" w:customStyle="1" w:styleId="PlainTextChar">
    <w:name w:val="Plain Text Char"/>
    <w:basedOn w:val="DefaultParagraphFont"/>
    <w:link w:val="PlainText"/>
    <w:rsid w:val="00A933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3F9"/>
    <w:rPr>
      <w:b/>
      <w:smallCaps/>
    </w:rPr>
  </w:style>
  <w:style w:type="paragraph" w:customStyle="1" w:styleId="TableListNumber">
    <w:name w:val="Table List Number"/>
    <w:basedOn w:val="ListNumber"/>
    <w:rsid w:val="00A933F9"/>
    <w:pPr>
      <w:numPr>
        <w:numId w:val="0"/>
      </w:numPr>
    </w:pPr>
  </w:style>
  <w:style w:type="paragraph" w:styleId="TOC4">
    <w:name w:val="toc 4"/>
    <w:basedOn w:val="TOCBase"/>
    <w:next w:val="Normal"/>
    <w:semiHidden/>
    <w:rsid w:val="00A933F9"/>
    <w:pPr>
      <w:tabs>
        <w:tab w:val="right" w:leader="dot" w:pos="9071"/>
      </w:tabs>
      <w:ind w:left="1701"/>
    </w:pPr>
  </w:style>
  <w:style w:type="paragraph" w:customStyle="1" w:styleId="ListAlpha">
    <w:name w:val="List Alpha"/>
    <w:basedOn w:val="List"/>
    <w:rsid w:val="00A933F9"/>
    <w:pPr>
      <w:numPr>
        <w:numId w:val="8"/>
      </w:numPr>
    </w:pPr>
  </w:style>
  <w:style w:type="paragraph" w:customStyle="1" w:styleId="ListAlpha2">
    <w:name w:val="List Alpha 2"/>
    <w:basedOn w:val="List2"/>
    <w:rsid w:val="00A933F9"/>
    <w:pPr>
      <w:numPr>
        <w:numId w:val="7"/>
      </w:numPr>
    </w:pPr>
  </w:style>
  <w:style w:type="paragraph" w:styleId="List3">
    <w:name w:val="List 3"/>
    <w:basedOn w:val="BodyText"/>
    <w:rsid w:val="00A933F9"/>
    <w:pPr>
      <w:tabs>
        <w:tab w:val="left" w:pos="1021"/>
      </w:tabs>
      <w:spacing w:before="60" w:after="60"/>
      <w:ind w:left="1020" w:hanging="340"/>
    </w:pPr>
  </w:style>
  <w:style w:type="paragraph" w:styleId="List4">
    <w:name w:val="List 4"/>
    <w:basedOn w:val="BodyText"/>
    <w:rsid w:val="00A933F9"/>
    <w:pPr>
      <w:tabs>
        <w:tab w:val="left" w:pos="1361"/>
      </w:tabs>
      <w:spacing w:before="60" w:after="60"/>
      <w:ind w:left="1361" w:hanging="340"/>
    </w:pPr>
  </w:style>
  <w:style w:type="paragraph" w:styleId="List5">
    <w:name w:val="List 5"/>
    <w:basedOn w:val="BodyText"/>
    <w:rsid w:val="00A933F9"/>
    <w:pPr>
      <w:tabs>
        <w:tab w:val="left" w:pos="1701"/>
      </w:tabs>
      <w:spacing w:before="60" w:after="60"/>
      <w:ind w:left="1701" w:hanging="340"/>
    </w:pPr>
  </w:style>
  <w:style w:type="paragraph" w:styleId="ListBullet3">
    <w:name w:val="List Bullet 3"/>
    <w:basedOn w:val="List3"/>
    <w:rsid w:val="00A933F9"/>
    <w:pPr>
      <w:numPr>
        <w:numId w:val="14"/>
      </w:numPr>
      <w:tabs>
        <w:tab w:val="clear" w:pos="1021"/>
      </w:tabs>
      <w:ind w:left="1037" w:hanging="357"/>
    </w:pPr>
  </w:style>
  <w:style w:type="paragraph" w:styleId="ListBullet4">
    <w:name w:val="List Bullet 4"/>
    <w:basedOn w:val="List4"/>
    <w:rsid w:val="00A933F9"/>
    <w:pPr>
      <w:numPr>
        <w:numId w:val="2"/>
      </w:numPr>
    </w:pPr>
  </w:style>
  <w:style w:type="paragraph" w:styleId="ListBullet5">
    <w:name w:val="List Bullet 5"/>
    <w:basedOn w:val="List5"/>
    <w:rsid w:val="00A933F9"/>
    <w:pPr>
      <w:numPr>
        <w:numId w:val="3"/>
      </w:numPr>
    </w:pPr>
  </w:style>
  <w:style w:type="paragraph" w:styleId="ListContinue2">
    <w:name w:val="List Continue 2"/>
    <w:basedOn w:val="List2"/>
    <w:rsid w:val="00A933F9"/>
    <w:pPr>
      <w:ind w:firstLine="0"/>
    </w:pPr>
  </w:style>
  <w:style w:type="paragraph" w:styleId="ListContinue3">
    <w:name w:val="List Continue 3"/>
    <w:basedOn w:val="List3"/>
    <w:rsid w:val="00A933F9"/>
    <w:pPr>
      <w:ind w:left="1021" w:firstLine="0"/>
    </w:pPr>
  </w:style>
  <w:style w:type="paragraph" w:styleId="ListContinue4">
    <w:name w:val="List Continue 4"/>
    <w:basedOn w:val="List4"/>
    <w:rsid w:val="00A933F9"/>
    <w:pPr>
      <w:ind w:firstLine="0"/>
    </w:pPr>
  </w:style>
  <w:style w:type="paragraph" w:styleId="ListContinue5">
    <w:name w:val="List Continue 5"/>
    <w:basedOn w:val="List5"/>
    <w:rsid w:val="00A933F9"/>
    <w:pPr>
      <w:ind w:firstLine="0"/>
    </w:pPr>
  </w:style>
  <w:style w:type="paragraph" w:styleId="ListNumber3">
    <w:name w:val="List Number 3"/>
    <w:basedOn w:val="List3"/>
    <w:rsid w:val="00A933F9"/>
    <w:pPr>
      <w:numPr>
        <w:numId w:val="4"/>
      </w:numPr>
    </w:pPr>
  </w:style>
  <w:style w:type="paragraph" w:styleId="ListNumber4">
    <w:name w:val="List Number 4"/>
    <w:basedOn w:val="List4"/>
    <w:rsid w:val="00A933F9"/>
    <w:pPr>
      <w:numPr>
        <w:numId w:val="5"/>
      </w:numPr>
    </w:pPr>
  </w:style>
  <w:style w:type="paragraph" w:styleId="ListNumber5">
    <w:name w:val="List Number 5"/>
    <w:basedOn w:val="List5"/>
    <w:rsid w:val="00A933F9"/>
    <w:pPr>
      <w:numPr>
        <w:numId w:val="6"/>
      </w:numPr>
    </w:pPr>
  </w:style>
  <w:style w:type="paragraph" w:styleId="BlockText">
    <w:name w:val="Block Text"/>
    <w:basedOn w:val="Normal"/>
    <w:rsid w:val="00A933F9"/>
    <w:pPr>
      <w:spacing w:after="120"/>
      <w:ind w:left="1440" w:right="1440"/>
    </w:pPr>
  </w:style>
  <w:style w:type="character" w:customStyle="1" w:styleId="Subscript">
    <w:name w:val="Subscript"/>
    <w:basedOn w:val="DefaultParagraphFont"/>
    <w:rsid w:val="00A933F9"/>
    <w:rPr>
      <w:sz w:val="16"/>
      <w:vertAlign w:val="subscript"/>
    </w:rPr>
  </w:style>
  <w:style w:type="character" w:customStyle="1" w:styleId="Superscript">
    <w:name w:val="Superscript"/>
    <w:basedOn w:val="DefaultParagraphFont"/>
    <w:rsid w:val="00A933F9"/>
    <w:rPr>
      <w:sz w:val="16"/>
      <w:vertAlign w:val="superscript"/>
    </w:rPr>
  </w:style>
  <w:style w:type="character" w:customStyle="1" w:styleId="Symbols">
    <w:name w:val="Symbols"/>
    <w:basedOn w:val="DefaultParagraphFont"/>
    <w:rsid w:val="00A933F9"/>
    <w:rPr>
      <w:rFonts w:ascii="Symbol" w:hAnsi="Symbol"/>
    </w:rPr>
  </w:style>
  <w:style w:type="character" w:customStyle="1" w:styleId="MenuOptions">
    <w:name w:val="Menu Options"/>
    <w:basedOn w:val="DefaultParagraphFont"/>
    <w:rsid w:val="00A933F9"/>
    <w:rPr>
      <w:rFonts w:ascii="Arial Narrow" w:hAnsi="Arial Narrow"/>
      <w:smallCaps/>
    </w:rPr>
  </w:style>
  <w:style w:type="character" w:customStyle="1" w:styleId="Buttons">
    <w:name w:val="Buttons"/>
    <w:basedOn w:val="DefaultParagraphFont"/>
    <w:rsid w:val="00A933F9"/>
    <w:rPr>
      <w:b/>
    </w:rPr>
  </w:style>
  <w:style w:type="character" w:customStyle="1" w:styleId="Underlined">
    <w:name w:val="Underlined"/>
    <w:basedOn w:val="DefaultParagraphFont"/>
    <w:rsid w:val="00A933F9"/>
    <w:rPr>
      <w:u w:val="single"/>
    </w:rPr>
  </w:style>
  <w:style w:type="paragraph" w:customStyle="1" w:styleId="TableBodyTextRight">
    <w:name w:val="Table Body Text Right"/>
    <w:basedOn w:val="TableBodyText"/>
    <w:rsid w:val="00A933F9"/>
    <w:pPr>
      <w:widowControl w:val="0"/>
      <w:autoSpaceDE w:val="0"/>
      <w:autoSpaceDN w:val="0"/>
      <w:adjustRightInd w:val="0"/>
      <w:jc w:val="right"/>
    </w:pPr>
    <w:rPr>
      <w:rFonts w:cs="Arial"/>
      <w:szCs w:val="18"/>
    </w:rPr>
  </w:style>
  <w:style w:type="paragraph" w:customStyle="1" w:styleId="CopyrightText">
    <w:name w:val="Copyright Text"/>
    <w:basedOn w:val="BodyText"/>
    <w:rsid w:val="00A933F9"/>
    <w:rPr>
      <w:sz w:val="18"/>
    </w:rPr>
  </w:style>
  <w:style w:type="paragraph" w:customStyle="1" w:styleId="BodySmallRight">
    <w:name w:val="Body Small Right"/>
    <w:basedOn w:val="BodyTextRight"/>
    <w:rsid w:val="00A933F9"/>
    <w:rPr>
      <w:sz w:val="18"/>
      <w:szCs w:val="18"/>
    </w:rPr>
  </w:style>
  <w:style w:type="paragraph" w:customStyle="1" w:styleId="MarginEdition">
    <w:name w:val="Margin Edition"/>
    <w:basedOn w:val="MarginNote"/>
    <w:rsid w:val="00A933F9"/>
    <w:pPr>
      <w:spacing w:before="0" w:after="0"/>
    </w:pPr>
    <w:rPr>
      <w:rFonts w:ascii="Times New Roman" w:hAnsi="Times New Roman"/>
      <w:color w:val="999999"/>
    </w:rPr>
  </w:style>
  <w:style w:type="paragraph" w:customStyle="1" w:styleId="Spacer">
    <w:name w:val="Spacer"/>
    <w:basedOn w:val="Normal"/>
    <w:rsid w:val="00A933F9"/>
    <w:rPr>
      <w:sz w:val="2"/>
      <w:szCs w:val="2"/>
    </w:rPr>
  </w:style>
  <w:style w:type="character" w:customStyle="1" w:styleId="Small">
    <w:name w:val="Small"/>
    <w:basedOn w:val="DefaultParagraphFont"/>
    <w:rsid w:val="00A933F9"/>
    <w:rPr>
      <w:sz w:val="16"/>
    </w:rPr>
  </w:style>
  <w:style w:type="paragraph" w:customStyle="1" w:styleId="WideTable">
    <w:name w:val="Wide Table"/>
    <w:basedOn w:val="Normal"/>
    <w:rsid w:val="00A933F9"/>
    <w:pPr>
      <w:ind w:left="-1418"/>
    </w:pPr>
    <w:rPr>
      <w:sz w:val="2"/>
      <w:szCs w:val="2"/>
    </w:rPr>
  </w:style>
  <w:style w:type="character" w:styleId="PageNumber">
    <w:name w:val="page number"/>
    <w:basedOn w:val="DefaultParagraphFont"/>
    <w:rsid w:val="00A933F9"/>
  </w:style>
  <w:style w:type="paragraph" w:styleId="Quote">
    <w:name w:val="Quote"/>
    <w:basedOn w:val="Heading1"/>
    <w:link w:val="QuoteChar"/>
    <w:qFormat/>
    <w:rsid w:val="00A933F9"/>
    <w:rPr>
      <w:b w:val="0"/>
      <w:sz w:val="72"/>
      <w:szCs w:val="72"/>
      <w:lang w:val="en-NZ"/>
    </w:rPr>
  </w:style>
  <w:style w:type="character" w:customStyle="1" w:styleId="QuoteChar">
    <w:name w:val="Quote Char"/>
    <w:basedOn w:val="DefaultParagraphFont"/>
    <w:link w:val="Quote"/>
    <w:rsid w:val="00A93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3F9"/>
    <w:pPr>
      <w:pageBreakBefore/>
    </w:pPr>
  </w:style>
  <w:style w:type="paragraph" w:customStyle="1" w:styleId="Border">
    <w:name w:val="Border"/>
    <w:basedOn w:val="Normal"/>
    <w:qFormat/>
    <w:rsid w:val="00A93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3F9"/>
    <w:rPr>
      <w:b/>
      <w:bCs/>
      <w:i/>
      <w:iCs/>
      <w:color w:val="auto"/>
    </w:rPr>
  </w:style>
  <w:style w:type="paragraph" w:styleId="IntenseQuote">
    <w:name w:val="Intense Quote"/>
    <w:basedOn w:val="Normal"/>
    <w:next w:val="Normal"/>
    <w:link w:val="IntenseQuoteChar"/>
    <w:uiPriority w:val="30"/>
    <w:qFormat/>
    <w:rsid w:val="00A93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3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3F9"/>
    <w:rPr>
      <w:smallCaps/>
      <w:color w:val="auto"/>
      <w:u w:val="single"/>
    </w:rPr>
  </w:style>
  <w:style w:type="character" w:styleId="IntenseReference">
    <w:name w:val="Intense Reference"/>
    <w:basedOn w:val="DefaultParagraphFont"/>
    <w:uiPriority w:val="32"/>
    <w:qFormat/>
    <w:rsid w:val="00A933F9"/>
    <w:rPr>
      <w:b/>
      <w:bCs/>
      <w:smallCaps/>
      <w:color w:val="auto"/>
      <w:spacing w:val="5"/>
      <w:u w:val="single"/>
    </w:rPr>
  </w:style>
  <w:style w:type="paragraph" w:customStyle="1" w:styleId="2ColumnHeading">
    <w:name w:val="2Column Heading"/>
    <w:basedOn w:val="BodyText"/>
    <w:qFormat/>
    <w:rsid w:val="00A933F9"/>
    <w:pPr>
      <w:spacing w:after="60"/>
      <w:ind w:left="-2268"/>
    </w:pPr>
    <w:rPr>
      <w:b/>
    </w:rPr>
  </w:style>
  <w:style w:type="paragraph" w:customStyle="1" w:styleId="Heading1TOC">
    <w:name w:val="Heading1 TOC"/>
    <w:basedOn w:val="Normal"/>
    <w:qFormat/>
    <w:rsid w:val="00A933F9"/>
    <w:pPr>
      <w:spacing w:before="240" w:after="120"/>
    </w:pPr>
    <w:rPr>
      <w:rFonts w:ascii="Times New Roman" w:hAnsi="Times New Roman"/>
      <w:b/>
      <w:sz w:val="32"/>
    </w:rPr>
  </w:style>
  <w:style w:type="paragraph" w:customStyle="1" w:styleId="Heading2TOC">
    <w:name w:val="Heading2 TOC"/>
    <w:basedOn w:val="Normal"/>
    <w:qFormat/>
    <w:rsid w:val="00A933F9"/>
    <w:pPr>
      <w:spacing w:before="240" w:after="60"/>
    </w:pPr>
    <w:rPr>
      <w:rFonts w:ascii="Times New Roman" w:hAnsi="Times New Roman"/>
      <w:b/>
      <w:sz w:val="28"/>
    </w:rPr>
  </w:style>
  <w:style w:type="character" w:customStyle="1" w:styleId="Underline">
    <w:name w:val="Underline"/>
    <w:basedOn w:val="DefaultParagraphFont"/>
    <w:qFormat/>
    <w:rsid w:val="00A933F9"/>
    <w:rPr>
      <w:u w:val="single"/>
    </w:rPr>
  </w:style>
  <w:style w:type="character" w:customStyle="1" w:styleId="BoldandItalics">
    <w:name w:val="Bold and Italics"/>
    <w:qFormat/>
    <w:rsid w:val="00A933F9"/>
    <w:rPr>
      <w:b/>
      <w:i/>
      <w:u w:val="none"/>
    </w:rPr>
  </w:style>
  <w:style w:type="paragraph" w:styleId="BalloonText">
    <w:name w:val="Balloon Text"/>
    <w:basedOn w:val="Normal"/>
    <w:link w:val="BalloonTextChar"/>
    <w:rsid w:val="00A933F9"/>
    <w:rPr>
      <w:rFonts w:ascii="Tahoma" w:hAnsi="Tahoma" w:cs="Tahoma"/>
      <w:sz w:val="16"/>
      <w:szCs w:val="16"/>
    </w:rPr>
  </w:style>
  <w:style w:type="character" w:customStyle="1" w:styleId="BalloonTextChar">
    <w:name w:val="Balloon Text Char"/>
    <w:basedOn w:val="DefaultParagraphFont"/>
    <w:link w:val="BalloonText"/>
    <w:rsid w:val="00A933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3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3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1026</Words>
  <Characters>6595</Characters>
  <Application>Microsoft Office Word</Application>
  <DocSecurity>0</DocSecurity>
  <Lines>244</Lines>
  <Paragraphs>112</Paragraphs>
  <ScaleCrop>false</ScaleCrop>
  <Company>Author-it Software Corporation Ltd.</Company>
  <LinksUpToDate>false</LinksUpToDate>
  <CharactersWithSpaces>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MEM18048B Fault find and repair/rectify basic electrical circuits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2012-05-27T01:54:00Z</dcterms:created>
  <dcterms:modified xsi:type="dcterms:W3CDTF">2012-05-27T01:54:00Z</dcterms:modified>
</cp:coreProperties>
</file>