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029" w:rsidP="00185029">
      <w:pPr>
        <w:pStyle w:val="Title"/>
      </w:pPr>
      <w:r>
        <w:fldChar w:fldCharType="begin"/>
      </w:r>
      <w:r>
        <w:instrText xml:space="preserve"> TITLE   \* MERGEFORMAT </w:instrText>
      </w:r>
      <w:r>
        <w:fldChar w:fldCharType="separate"/>
      </w:r>
      <w:r>
        <w:t>MEM18034B Perform engine top-end overhaul</w:t>
      </w:r>
      <w:r>
        <w:fldChar w:fldCharType="end"/>
      </w:r>
    </w:p>
    <w:p w:rsidR="00185029" w:rsidP="00185029">
      <w:pPr>
        <w:pStyle w:val="Version"/>
        <w:sectPr w:rsidSect="00DE2E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ED4" w:rsidP="00DE2ED4">
      <w:pPr>
        <w:pStyle w:val="SuperHeading"/>
      </w:pPr>
      <w:r w:rsidRPr="00DE2ED4">
        <w:t>MEM18034B Perform engine top-end overhaul</w:t>
      </w:r>
    </w:p>
    <w:p w:rsidR="00000000" w:rsidRPr="00DE2ED4" w:rsidP="00DE2ED4">
      <w:pPr>
        <w:pStyle w:val="Heading1"/>
      </w:pPr>
      <w:bookmarkStart w:id="1" w:name="O_272256"/>
      <w:bookmarkEnd w:id="1"/>
      <w:r w:rsidRPr="00DE2ED4">
        <w:t>Modification History</w:t>
      </w:r>
    </w:p>
    <w:p w:rsidR="00000000" w:rsidRPr="00DE2ED4" w:rsidP="00DE2ED4">
      <w:pPr>
        <w:pStyle w:val="BodyText"/>
      </w:pPr>
      <w:r w:rsidRPr="00DE2ED4">
        <w:t>Not Applicable</w:t>
      </w:r>
    </w:p>
    <w:p w:rsidR="00000000" w:rsidRPr="00DE2ED4" w:rsidP="00DE2ED4">
      <w:pPr>
        <w:pStyle w:val="AllowPageBreak"/>
      </w:pPr>
    </w:p>
    <w:p w:rsidR="00000000" w:rsidRPr="00DE2ED4" w:rsidP="00DE2ED4">
      <w:pPr>
        <w:pStyle w:val="Heading1"/>
      </w:pPr>
      <w:bookmarkStart w:id="2" w:name="O_212230"/>
      <w:bookmarkEnd w:id="2"/>
      <w:r w:rsidRPr="00DE2ED4">
        <w:t>Unit Descriptor</w:t>
      </w:r>
    </w:p>
    <w:tbl>
      <w:tblPr>
        <w:tblW w:w="0" w:type="auto"/>
        <w:tblLayout w:type="fixed"/>
        <w:tblCellMar>
          <w:left w:w="62" w:type="dxa"/>
          <w:right w:w="62" w:type="dxa"/>
        </w:tblCellMar>
        <w:tblLook w:val="0000"/>
      </w:tblPr>
      <w:tblGrid>
        <w:gridCol w:w="2664"/>
        <w:gridCol w:w="5858"/>
      </w:tblGrid>
      <w:tr w:rsidTr="00185029">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r w:rsidRPr="00DE2ED4">
              <w:t>This unit covers dismantling, cleaning and assessing parts, recording and interpreting measuremen</w:t>
            </w:r>
            <w:r w:rsidRPr="00DE2ED4">
              <w:t>ts, and reconditioning the cylinder head.</w:t>
            </w:r>
          </w:p>
        </w:tc>
      </w:tr>
    </w:tbl>
    <w:p w:rsidR="00185029" w:rsidP="00DE2ED4">
      <w:pPr>
        <w:pStyle w:val="BodyText"/>
      </w:pPr>
    </w:p>
    <w:p w:rsidR="00185029" w:rsidP="00DE2ED4">
      <w:pPr>
        <w:pStyle w:val="BodyText"/>
      </w:pPr>
    </w:p>
    <w:p w:rsidR="00000000" w:rsidRPr="00DE2ED4" w:rsidP="00DE2ED4">
      <w:pPr>
        <w:pStyle w:val="Heading1"/>
      </w:pPr>
      <w:bookmarkStart w:id="3" w:name="O_212234"/>
      <w:bookmarkEnd w:id="3"/>
      <w:r w:rsidRPr="00DE2ED4">
        <w:t>Application of the Unit</w:t>
      </w:r>
    </w:p>
    <w:tbl>
      <w:tblPr>
        <w:tblW w:w="0" w:type="auto"/>
        <w:tblLayout w:type="fixed"/>
        <w:tblCellMar>
          <w:left w:w="62" w:type="dxa"/>
          <w:right w:w="62" w:type="dxa"/>
        </w:tblCellMar>
        <w:tblLook w:val="0000"/>
      </w:tblPr>
      <w:tblGrid>
        <w:gridCol w:w="2745"/>
        <w:gridCol w:w="5777"/>
      </w:tblGrid>
      <w:tr w:rsidTr="0018502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r w:rsidRPr="00DE2ED4">
              <w:t xml:space="preserve">This unit covers top-end overhaul of all types of engines and work associated with the reconditioning of cylinder heads including determining </w:t>
            </w:r>
            <w:r w:rsidRPr="00DE2ED4">
              <w:t>the causes of failures, replacement of inserts, guides and injector sleeves, grinding of valves and seats, and crack/twist/bend testing etc. It includes both the reconditioning of original parts, crack repairs using non-welding techniques and sizing and fi</w:t>
            </w:r>
            <w:r w:rsidRPr="00DE2ED4">
              <w:t>tting of replacement parts.</w:t>
            </w:r>
          </w:p>
          <w:p w:rsidR="00000000" w:rsidRPr="00DE2ED4" w:rsidP="00DE2ED4">
            <w:pPr>
              <w:pStyle w:val="BodyText"/>
            </w:pPr>
            <w:r w:rsidRPr="00DE2ED4">
              <w:t>Where diagnostic skills are not required and where straightforward removal and replacement of pre-manufactured bearings is undertaken, Unit MEM18055B (Dismantle, replace and assemble engineering components) should be regarded as</w:t>
            </w:r>
            <w:r w:rsidRPr="00DE2ED4">
              <w:t xml:space="preserve"> sufficient.</w:t>
            </w:r>
          </w:p>
          <w:p w:rsidR="00000000" w:rsidRPr="00DE2ED4" w:rsidP="00DE2ED4">
            <w:pPr>
              <w:pStyle w:val="BodyText"/>
            </w:pPr>
          </w:p>
          <w:p w:rsidR="00000000" w:rsidRPr="00DE2ED4" w:rsidP="00DE2ED4">
            <w:pPr>
              <w:pStyle w:val="BodyText"/>
            </w:pPr>
            <w:r w:rsidRPr="00DE2ED4">
              <w:rPr>
                <w:rStyle w:val="SpecialBold"/>
              </w:rPr>
              <w:t>Band</w:t>
            </w:r>
            <w:r w:rsidRPr="00DE2ED4">
              <w:t>:</w:t>
            </w:r>
            <w:r w:rsidRPr="00DE2ED4">
              <w:tab/>
            </w:r>
            <w:r w:rsidRPr="00DE2ED4">
              <w:rPr>
                <w:rStyle w:val="SpecialBold"/>
              </w:rPr>
              <w:t>A</w:t>
            </w:r>
          </w:p>
          <w:p w:rsidR="00000000" w:rsidRPr="00DE2ED4" w:rsidP="00DE2ED4">
            <w:pPr>
              <w:pStyle w:val="BodyText"/>
            </w:pPr>
            <w:r w:rsidRPr="00DE2ED4">
              <w:rPr>
                <w:rStyle w:val="SpecialBold"/>
              </w:rPr>
              <w:t>Unit Weight</w:t>
            </w:r>
            <w:r w:rsidRPr="00DE2ED4">
              <w:t>:</w:t>
            </w:r>
            <w:r w:rsidRPr="00DE2ED4">
              <w:tab/>
            </w:r>
            <w:r w:rsidRPr="00DE2ED4">
              <w:rPr>
                <w:rStyle w:val="SpecialBold"/>
              </w:rPr>
              <w:t>8</w:t>
            </w:r>
          </w:p>
        </w:tc>
      </w:tr>
    </w:tbl>
    <w:p w:rsidR="00185029" w:rsidP="00DE2ED4">
      <w:pPr>
        <w:pStyle w:val="BodyText"/>
      </w:pPr>
    </w:p>
    <w:p w:rsidR="00185029" w:rsidP="00DE2ED4">
      <w:pPr>
        <w:pStyle w:val="BodyText"/>
      </w:pPr>
    </w:p>
    <w:p w:rsidR="00000000" w:rsidRPr="00DE2ED4" w:rsidP="00DE2ED4">
      <w:pPr>
        <w:pStyle w:val="Heading1"/>
      </w:pPr>
      <w:bookmarkStart w:id="4" w:name="O_280516"/>
      <w:bookmarkEnd w:id="4"/>
      <w:r w:rsidRPr="00DE2ED4">
        <w:t>Licensing/Regulatory Information</w:t>
      </w:r>
    </w:p>
    <w:p w:rsidR="00000000" w:rsidRPr="00DE2ED4" w:rsidP="00DE2ED4">
      <w:pPr>
        <w:pStyle w:val="BodyText"/>
      </w:pPr>
      <w:r w:rsidRPr="00DE2ED4">
        <w:t>Not Applicable</w:t>
      </w:r>
    </w:p>
    <w:p w:rsidR="00000000" w:rsidRPr="00DE2ED4" w:rsidP="00DE2ED4">
      <w:pPr>
        <w:pStyle w:val="AllowPageBreak"/>
      </w:pPr>
    </w:p>
    <w:p w:rsidR="00000000" w:rsidRPr="00DE2ED4" w:rsidP="00DE2ED4">
      <w:pPr>
        <w:pStyle w:val="Heading1"/>
      </w:pPr>
      <w:bookmarkStart w:id="5" w:name="O_212232"/>
      <w:bookmarkEnd w:id="5"/>
      <w:r w:rsidRPr="00DE2ED4">
        <w:t>Pre-Requisites</w:t>
      </w:r>
    </w:p>
    <w:tbl>
      <w:tblPr>
        <w:tblW w:w="0" w:type="auto"/>
        <w:tblLayout w:type="fixed"/>
        <w:tblCellMar>
          <w:left w:w="62" w:type="dxa"/>
          <w:right w:w="62" w:type="dxa"/>
        </w:tblCellMar>
        <w:tblLook w:val="0000"/>
      </w:tblPr>
      <w:tblGrid>
        <w:gridCol w:w="2706"/>
        <w:gridCol w:w="2207"/>
        <w:gridCol w:w="3609"/>
      </w:tblGrid>
      <w:tr w:rsidTr="00185029">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p>
        </w:tc>
      </w:tr>
      <w:tr w:rsidTr="0018502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Path 1</w:t>
            </w:r>
            <w:r w:rsidRPr="00DE2ED4">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Interpret technical drawing</w:t>
            </w:r>
          </w:p>
        </w:tc>
      </w:tr>
      <w:tr w:rsidTr="0018502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Perform engineering measurements</w:t>
            </w:r>
          </w:p>
        </w:tc>
      </w:tr>
      <w:tr w:rsidTr="0018502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Use hand tools</w:t>
            </w:r>
          </w:p>
        </w:tc>
      </w:tr>
      <w:tr w:rsidTr="0018502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Use power tools/hand held operations</w:t>
            </w:r>
          </w:p>
        </w:tc>
      </w:tr>
      <w:tr w:rsidTr="0018502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Use tools for precision work</w:t>
            </w:r>
          </w:p>
        </w:tc>
      </w:tr>
      <w:tr w:rsidTr="0018502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Repair and fit engineering components</w:t>
            </w:r>
          </w:p>
        </w:tc>
      </w:tr>
      <w:tr w:rsidTr="0018502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r w:rsidRPr="00DE2ED4">
              <w:t>Dismantle, replace and assemble engineering components</w:t>
            </w:r>
          </w:p>
        </w:tc>
      </w:tr>
    </w:tbl>
    <w:p w:rsidR="00185029" w:rsidP="00DE2ED4">
      <w:pPr>
        <w:pStyle w:val="BodyText"/>
      </w:pPr>
    </w:p>
    <w:p w:rsidR="00185029" w:rsidP="00DE2ED4">
      <w:pPr>
        <w:pStyle w:val="BodyText"/>
      </w:pPr>
    </w:p>
    <w:p w:rsidR="00000000" w:rsidRPr="00DE2ED4" w:rsidP="00DE2ED4">
      <w:pPr>
        <w:pStyle w:val="Heading1"/>
      </w:pPr>
      <w:bookmarkStart w:id="6" w:name="O_212231"/>
      <w:bookmarkEnd w:id="6"/>
      <w:r w:rsidRPr="00DE2ED4">
        <w:t>Employability Skills Information</w:t>
      </w:r>
    </w:p>
    <w:tbl>
      <w:tblPr>
        <w:tblW w:w="0" w:type="auto"/>
        <w:tblLayout w:type="fixed"/>
        <w:tblCellMar>
          <w:left w:w="62" w:type="dxa"/>
          <w:right w:w="62" w:type="dxa"/>
        </w:tblCellMar>
        <w:tblLook w:val="0000"/>
      </w:tblPr>
      <w:tblGrid>
        <w:gridCol w:w="2802"/>
        <w:gridCol w:w="5720"/>
      </w:tblGrid>
      <w:tr w:rsidTr="001850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r w:rsidRPr="00DE2ED4">
              <w:t>This unit contains employability skills.</w:t>
            </w:r>
          </w:p>
        </w:tc>
      </w:tr>
    </w:tbl>
    <w:p w:rsidR="00185029" w:rsidP="00DE2ED4">
      <w:pPr>
        <w:pStyle w:val="BodyText"/>
      </w:pPr>
    </w:p>
    <w:p w:rsidR="00185029" w:rsidP="00DE2ED4">
      <w:pPr>
        <w:pStyle w:val="BodyText"/>
      </w:pPr>
    </w:p>
    <w:p w:rsidR="00000000" w:rsidRPr="00DE2ED4" w:rsidP="00DE2ED4">
      <w:pPr>
        <w:pStyle w:val="Heading1"/>
      </w:pPr>
      <w:bookmarkStart w:id="7" w:name="O_290302"/>
      <w:bookmarkEnd w:id="7"/>
      <w:r w:rsidRPr="00DE2ED4">
        <w:t>Elements and Performance Criteria Pre-Content</w:t>
      </w:r>
    </w:p>
    <w:tbl>
      <w:tblPr>
        <w:tblW w:w="0" w:type="auto"/>
        <w:tblLayout w:type="fixed"/>
        <w:tblCellMar>
          <w:left w:w="62" w:type="dxa"/>
          <w:right w:w="62" w:type="dxa"/>
        </w:tblCellMar>
        <w:tblLook w:val="0000"/>
      </w:tblPr>
      <w:tblGrid>
        <w:gridCol w:w="2584"/>
        <w:gridCol w:w="5938"/>
      </w:tblGrid>
      <w:tr w:rsidTr="0018502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r w:rsidRPr="00DE2ED4">
              <w:t>Performance criteria describe</w:t>
            </w:r>
            <w:r w:rsidRPr="00DE2ED4">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DE2ED4">
              <w:t>the evidence guide.</w:t>
            </w:r>
          </w:p>
        </w:tc>
      </w:tr>
    </w:tbl>
    <w:p w:rsidR="00000000" w:rsidRPr="00DE2ED4" w:rsidP="00DE2ED4">
      <w:pPr>
        <w:pStyle w:val="BodyText"/>
      </w:pPr>
    </w:p>
    <w:p w:rsidR="00000000" w:rsidRPr="00DE2ED4" w:rsidP="00DE2ED4">
      <w:pPr>
        <w:pStyle w:val="AllowPageBreak"/>
      </w:pPr>
    </w:p>
    <w:p w:rsidR="00000000" w:rsidRPr="00DE2ED4" w:rsidP="00DE2ED4">
      <w:pPr>
        <w:pStyle w:val="Heading1"/>
      </w:pPr>
      <w:bookmarkStart w:id="8" w:name="O_236969"/>
      <w:bookmarkEnd w:id="8"/>
      <w:r w:rsidRPr="00DE2ED4">
        <w:t>Elements and Performance Criteria</w:t>
      </w:r>
    </w:p>
    <w:tbl>
      <w:tblPr>
        <w:tblW w:w="0" w:type="auto"/>
        <w:tblLayout w:type="fixed"/>
        <w:tblCellMar>
          <w:left w:w="62" w:type="dxa"/>
          <w:right w:w="62" w:type="dxa"/>
        </w:tblCellMar>
        <w:tblLook w:val="0000"/>
      </w:tblPr>
      <w:tblGrid>
        <w:gridCol w:w="2584"/>
        <w:gridCol w:w="5938"/>
      </w:tblGrid>
      <w:tr w:rsidTr="00185029">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r w:rsidRPr="00DE2ED4">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PERFORMANCE CRITERIA</w:t>
            </w:r>
          </w:p>
        </w:tc>
      </w:tr>
      <w:tr w:rsidTr="0018502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List"/>
              <w:rPr>
                <w:lang w:val="en-NZ"/>
              </w:rPr>
            </w:pPr>
            <w:r w:rsidRPr="00DE2ED4">
              <w:t>1.</w:t>
            </w:r>
            <w:r w:rsidRPr="00DE2ED4">
              <w:tab/>
              <w:t xml:space="preserve">Dismantle clean and assess parts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List2"/>
            </w:pPr>
            <w:r w:rsidRPr="00DE2ED4">
              <w:t>1.1.</w:t>
            </w:r>
            <w:r w:rsidRPr="00DE2ED4">
              <w:tab/>
            </w:r>
            <w:r w:rsidRPr="00DE2ED4">
              <w:t>Characteristics of surface finishes and wear patterns associated with valve operating mechanisms and cylinder head are understood.</w:t>
            </w:r>
          </w:p>
          <w:p w:rsidR="00000000" w:rsidRPr="00DE2ED4" w:rsidP="00DE2ED4">
            <w:pPr>
              <w:pStyle w:val="List2"/>
            </w:pPr>
            <w:r w:rsidRPr="00DE2ED4">
              <w:t>1.2.</w:t>
            </w:r>
            <w:r w:rsidRPr="00DE2ED4">
              <w:tab/>
              <w:t>Cylinder head and ancillary components are disassembled according to manufacturers' recommendations.</w:t>
            </w:r>
          </w:p>
          <w:p w:rsidR="00000000" w:rsidRPr="00DE2ED4" w:rsidP="00DE2ED4">
            <w:pPr>
              <w:pStyle w:val="List2"/>
            </w:pPr>
            <w:r w:rsidRPr="00DE2ED4">
              <w:t>1.3.</w:t>
            </w:r>
            <w:r w:rsidRPr="00DE2ED4">
              <w:tab/>
              <w:t>Parts are asse</w:t>
            </w:r>
            <w:r w:rsidRPr="00DE2ED4">
              <w:t>ssed for abnormal wear or defects.</w:t>
            </w:r>
          </w:p>
          <w:p w:rsidR="00000000" w:rsidRPr="00DE2ED4" w:rsidP="00DE2ED4">
            <w:pPr>
              <w:pStyle w:val="List2"/>
            </w:pPr>
            <w:r w:rsidRPr="00DE2ED4">
              <w:t>1.4.</w:t>
            </w:r>
            <w:r w:rsidRPr="00DE2ED4">
              <w:tab/>
              <w:t>Appropriate cleaning solution/procedure is selected.</w:t>
            </w:r>
          </w:p>
          <w:p w:rsidR="00000000" w:rsidRPr="00DE2ED4" w:rsidP="00DE2ED4">
            <w:pPr>
              <w:pStyle w:val="List2"/>
            </w:pPr>
            <w:r w:rsidRPr="00DE2ED4">
              <w:t>1.5.</w:t>
            </w:r>
            <w:r w:rsidRPr="00DE2ED4">
              <w:tab/>
              <w:t>Parts are correctly cleaned and stored ready for reassembly.</w:t>
            </w:r>
          </w:p>
          <w:p w:rsidR="00000000" w:rsidP="00DE2ED4">
            <w:pPr>
              <w:pStyle w:val="List2"/>
              <w:rPr>
                <w:lang w:val="en-NZ"/>
              </w:rPr>
            </w:pPr>
            <w:r w:rsidRPr="00DE2ED4">
              <w:t>1.6.</w:t>
            </w:r>
            <w:r w:rsidRPr="00DE2ED4">
              <w:tab/>
              <w:t>Parts are racked or set out according to their original location in the engine.</w:t>
            </w:r>
          </w:p>
        </w:tc>
      </w:tr>
      <w:tr w:rsidTr="0018502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List"/>
              <w:rPr>
                <w:lang w:val="en-NZ"/>
              </w:rPr>
            </w:pPr>
            <w:r w:rsidRPr="00DE2ED4">
              <w:t>2.</w:t>
            </w:r>
            <w:r w:rsidRPr="00DE2ED4">
              <w:tab/>
            </w:r>
            <w:r w:rsidRPr="00DE2ED4">
              <w:t>Record and interpret measurements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List2"/>
            </w:pPr>
            <w:r w:rsidRPr="00DE2ED4">
              <w:t>2.1.</w:t>
            </w:r>
            <w:r w:rsidRPr="00DE2ED4">
              <w:tab/>
              <w:t>Measurements are accurately obtained and recorded using appropriate measuring equipment.</w:t>
            </w:r>
          </w:p>
          <w:p w:rsidR="00000000" w:rsidP="00DE2ED4">
            <w:pPr>
              <w:pStyle w:val="List2"/>
              <w:rPr>
                <w:lang w:val="en-NZ"/>
              </w:rPr>
            </w:pPr>
            <w:r w:rsidRPr="00DE2ED4">
              <w:t>2.2.</w:t>
            </w:r>
            <w:r w:rsidRPr="00DE2ED4">
              <w:tab/>
              <w:t>Parts are replaced or reused, and appropriate under/over size of replacement parts is determined.</w:t>
            </w:r>
          </w:p>
        </w:tc>
      </w:tr>
      <w:tr w:rsidTr="0018502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List"/>
              <w:rPr>
                <w:lang w:val="en-NZ"/>
              </w:rPr>
            </w:pPr>
            <w:r w:rsidRPr="00DE2ED4">
              <w:t>3.</w:t>
            </w:r>
            <w:r w:rsidRPr="00DE2ED4">
              <w:tab/>
              <w:t xml:space="preserve">Recondition cylinder </w:t>
            </w:r>
            <w:r w:rsidRPr="00DE2ED4">
              <w:t>head</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List2"/>
            </w:pPr>
            <w:r w:rsidRPr="00DE2ED4">
              <w:t>3.1.</w:t>
            </w:r>
            <w:r w:rsidRPr="00DE2ED4">
              <w:tab/>
              <w:t>Cylinder head is correctly pressure tested for serviceability.</w:t>
            </w:r>
          </w:p>
          <w:p w:rsidR="00000000" w:rsidRPr="00DE2ED4" w:rsidP="00DE2ED4">
            <w:pPr>
              <w:pStyle w:val="List2"/>
            </w:pPr>
            <w:r w:rsidRPr="00DE2ED4">
              <w:t>3.2.</w:t>
            </w:r>
            <w:r w:rsidRPr="00DE2ED4">
              <w:tab/>
              <w:t>Spring tensions, valve and guide dimensions and surface flatness are measured and recorded.</w:t>
            </w:r>
          </w:p>
          <w:p w:rsidR="00000000" w:rsidRPr="00DE2ED4" w:rsidP="00DE2ED4">
            <w:pPr>
              <w:pStyle w:val="List2"/>
            </w:pPr>
            <w:r w:rsidRPr="00DE2ED4">
              <w:t>3.3.</w:t>
            </w:r>
            <w:r w:rsidRPr="00DE2ED4">
              <w:tab/>
              <w:t>Cylinder head is removed according to manufacturers' specification.</w:t>
            </w:r>
          </w:p>
          <w:p w:rsidR="00000000" w:rsidRPr="00DE2ED4" w:rsidP="00DE2ED4">
            <w:pPr>
              <w:pStyle w:val="List2"/>
            </w:pPr>
            <w:r w:rsidRPr="00DE2ED4">
              <w:t>3.4.</w:t>
            </w:r>
            <w:r w:rsidRPr="00DE2ED4">
              <w:tab/>
              <w:t>Grinding</w:t>
            </w:r>
            <w:r w:rsidRPr="00DE2ED4">
              <w:t xml:space="preserve"> and cleaning equipment is correctly used.</w:t>
            </w:r>
          </w:p>
          <w:p w:rsidR="00000000" w:rsidRPr="00DE2ED4" w:rsidP="00DE2ED4">
            <w:pPr>
              <w:pStyle w:val="List2"/>
            </w:pPr>
            <w:r w:rsidRPr="00DE2ED4">
              <w:t>3.5.</w:t>
            </w:r>
            <w:r w:rsidRPr="00DE2ED4">
              <w:tab/>
              <w:t>Operational parameters of cylinder head components are understood and applied in determining whether components are reconditioned or replaced.</w:t>
            </w:r>
          </w:p>
          <w:p w:rsidR="00000000" w:rsidRPr="00DE2ED4" w:rsidP="00DE2ED4">
            <w:pPr>
              <w:pStyle w:val="List2"/>
            </w:pPr>
            <w:r w:rsidRPr="00DE2ED4">
              <w:t>3.6.</w:t>
            </w:r>
            <w:r w:rsidRPr="00DE2ED4">
              <w:tab/>
              <w:t xml:space="preserve">Injectors sleeves, sealing washers, plugs, capping etc. are </w:t>
            </w:r>
            <w:r w:rsidRPr="00DE2ED4">
              <w:t>replaced correctly.</w:t>
            </w:r>
          </w:p>
        </w:tc>
      </w:tr>
    </w:tbl>
    <w:p w:rsidR="00185029" w:rsidP="00DE2ED4">
      <w:pPr>
        <w:pStyle w:val="BodyText"/>
      </w:pPr>
    </w:p>
    <w:p w:rsidR="00185029" w:rsidP="00DE2ED4">
      <w:pPr>
        <w:pStyle w:val="BodyText"/>
      </w:pPr>
    </w:p>
    <w:p w:rsidR="00000000" w:rsidRPr="00DE2ED4" w:rsidP="00DE2ED4">
      <w:pPr>
        <w:pStyle w:val="Heading1"/>
      </w:pPr>
      <w:bookmarkStart w:id="9" w:name="O_260919"/>
      <w:bookmarkEnd w:id="9"/>
      <w:r w:rsidRPr="00DE2ED4">
        <w:t>Required Skills and Knowledge</w:t>
      </w:r>
    </w:p>
    <w:tbl>
      <w:tblPr>
        <w:tblW w:w="0" w:type="auto"/>
        <w:tblLayout w:type="fixed"/>
        <w:tblCellMar>
          <w:left w:w="62" w:type="dxa"/>
          <w:right w:w="62" w:type="dxa"/>
        </w:tblCellMar>
        <w:tblLook w:val="0000"/>
      </w:tblPr>
      <w:tblGrid>
        <w:gridCol w:w="8522"/>
      </w:tblGrid>
      <w:tr w:rsidTr="001850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REQUIRED SKILLS AND KNOWLEDGE</w:t>
            </w:r>
          </w:p>
        </w:tc>
      </w:tr>
      <w:tr w:rsidTr="001850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This section describes the skills and knowledge required for this unit.</w:t>
            </w:r>
          </w:p>
        </w:tc>
      </w:tr>
      <w:tr w:rsidTr="00185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Required skills</w:t>
            </w:r>
          </w:p>
        </w:tc>
      </w:tr>
      <w:tr w:rsidTr="00185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r w:rsidRPr="00DE2ED4">
              <w:t>Look for evidence that confirms skills in:</w:t>
            </w:r>
          </w:p>
          <w:p w:rsidR="00000000" w:rsidRPr="00DE2ED4" w:rsidP="00DE2ED4">
            <w:pPr>
              <w:pStyle w:val="ListBullet"/>
            </w:pPr>
            <w:r w:rsidRPr="00DE2ED4">
              <w:t>reading, interpreting and following information on written job instructions, specifications, standard operating procedures, charts, lists, drawings and other applicable reference documents</w:t>
            </w:r>
          </w:p>
          <w:p w:rsidR="00000000" w:rsidRPr="00DE2ED4" w:rsidP="00DE2ED4">
            <w:pPr>
              <w:pStyle w:val="ListBullet"/>
            </w:pPr>
            <w:r w:rsidRPr="00DE2ED4">
              <w:t>planning and sequencing operations</w:t>
            </w:r>
          </w:p>
          <w:p w:rsidR="00000000" w:rsidRPr="00DE2ED4" w:rsidP="00DE2ED4">
            <w:pPr>
              <w:pStyle w:val="ListBullet"/>
            </w:pPr>
            <w:r w:rsidRPr="00DE2ED4">
              <w:t>checking task-related informatio</w:t>
            </w:r>
            <w:r w:rsidRPr="00DE2ED4">
              <w:t>n</w:t>
            </w:r>
          </w:p>
          <w:p w:rsidR="00000000" w:rsidRPr="00DE2ED4" w:rsidP="00DE2ED4">
            <w:pPr>
              <w:pStyle w:val="ListBullet"/>
            </w:pPr>
            <w:r w:rsidRPr="00DE2ED4">
              <w:t>checking for conformance to specification</w:t>
            </w:r>
          </w:p>
          <w:p w:rsidR="00000000" w:rsidRPr="00DE2ED4" w:rsidP="00DE2ED4">
            <w:pPr>
              <w:pStyle w:val="ListBullet"/>
            </w:pPr>
            <w:r w:rsidRPr="00DE2ED4">
              <w:t>removing the cylinder head from the engine</w:t>
            </w:r>
          </w:p>
          <w:p w:rsidR="00000000" w:rsidRPr="00DE2ED4" w:rsidP="00DE2ED4">
            <w:pPr>
              <w:pStyle w:val="ListBullet"/>
            </w:pPr>
            <w:r w:rsidRPr="00DE2ED4">
              <w:t>dismantling the cylinder head and ancillary components</w:t>
            </w:r>
          </w:p>
          <w:p w:rsidR="00000000" w:rsidRPr="00DE2ED4" w:rsidP="00DE2ED4">
            <w:pPr>
              <w:pStyle w:val="ListBullet"/>
            </w:pPr>
            <w:r w:rsidRPr="00DE2ED4">
              <w:t>identifying the cylinder head as serviceable or requiring repair/replacement</w:t>
            </w:r>
          </w:p>
          <w:p w:rsidR="00000000" w:rsidRPr="00DE2ED4" w:rsidP="00DE2ED4">
            <w:pPr>
              <w:pStyle w:val="ListBullet"/>
            </w:pPr>
            <w:r w:rsidRPr="00DE2ED4">
              <w:t xml:space="preserve">pressure testing the cylinder head </w:t>
            </w:r>
          </w:p>
          <w:p w:rsidR="00000000" w:rsidRPr="00DE2ED4" w:rsidP="00DE2ED4">
            <w:pPr>
              <w:pStyle w:val="ListBullet"/>
            </w:pPr>
            <w:r w:rsidRPr="00DE2ED4">
              <w:t xml:space="preserve">measuring and recording spring tension, valve and guide dimensions and surface flatness </w:t>
            </w:r>
          </w:p>
          <w:p w:rsidR="00000000" w:rsidRPr="00DE2ED4" w:rsidP="00DE2ED4">
            <w:pPr>
              <w:pStyle w:val="ListBullet"/>
            </w:pPr>
            <w:r w:rsidRPr="00DE2ED4">
              <w:t xml:space="preserve">grounding valves and valve </w:t>
            </w:r>
          </w:p>
          <w:p w:rsidR="00000000" w:rsidRPr="00DE2ED4" w:rsidP="00DE2ED4">
            <w:pPr>
              <w:pStyle w:val="ListBullet"/>
            </w:pPr>
            <w:r w:rsidRPr="00DE2ED4">
              <w:t xml:space="preserve">cleaning cylinder head and ancillary equipment using appropriate solutions </w:t>
            </w:r>
          </w:p>
          <w:p w:rsidR="00000000" w:rsidRPr="00DE2ED4" w:rsidP="00DE2ED4">
            <w:pPr>
              <w:pStyle w:val="ListBullet"/>
            </w:pPr>
            <w:r w:rsidRPr="00DE2ED4">
              <w:t xml:space="preserve">identifying cylinder head components for repair or replacement </w:t>
            </w:r>
          </w:p>
          <w:p w:rsidR="00000000" w:rsidRPr="00DE2ED4" w:rsidP="00DE2ED4">
            <w:pPr>
              <w:pStyle w:val="ListBullet"/>
            </w:pPr>
            <w:r w:rsidRPr="00DE2ED4">
              <w:t xml:space="preserve">replacing cylinder head components </w:t>
            </w:r>
          </w:p>
          <w:p w:rsidR="00000000" w:rsidRPr="00DE2ED4" w:rsidP="00DE2ED4">
            <w:pPr>
              <w:pStyle w:val="ListBullet"/>
            </w:pPr>
            <w:r w:rsidRPr="00DE2ED4">
              <w:t>checking parts for abnormal wear or defects</w:t>
            </w:r>
          </w:p>
          <w:p w:rsidR="00000000" w:rsidRPr="00DE2ED4" w:rsidP="00DE2ED4">
            <w:pPr>
              <w:pStyle w:val="ListBullet"/>
            </w:pPr>
            <w:r w:rsidRPr="00DE2ED4">
              <w:t>identifying components for reuse or replacement</w:t>
            </w:r>
          </w:p>
          <w:p w:rsidR="00000000" w:rsidRPr="00DE2ED4" w:rsidP="00DE2ED4">
            <w:pPr>
              <w:pStyle w:val="ListBullet"/>
            </w:pPr>
            <w:r w:rsidRPr="00DE2ED4">
              <w:t>cleaning parts using appropriate solutions and procedures</w:t>
            </w:r>
          </w:p>
          <w:p w:rsidR="00000000" w:rsidRPr="00DE2ED4" w:rsidP="00DE2ED4">
            <w:pPr>
              <w:pStyle w:val="ListBullet"/>
            </w:pPr>
            <w:r w:rsidRPr="00DE2ED4">
              <w:t>racking and setting out engine parts according to their original posi</w:t>
            </w:r>
            <w:r w:rsidRPr="00DE2ED4">
              <w:t xml:space="preserve">tion in readiness for reassembly </w:t>
            </w:r>
          </w:p>
          <w:p w:rsidR="00000000" w:rsidRPr="00DE2ED4" w:rsidP="00DE2ED4">
            <w:pPr>
              <w:pStyle w:val="ListBullet"/>
            </w:pPr>
            <w:r w:rsidRPr="00DE2ED4">
              <w:t>obtaining and recording measurements</w:t>
            </w:r>
          </w:p>
          <w:p w:rsidR="00000000" w:rsidP="00DE2ED4">
            <w:pPr>
              <w:pStyle w:val="ListBullet"/>
              <w:rPr>
                <w:lang w:val="en-NZ"/>
              </w:rPr>
            </w:pPr>
            <w:r w:rsidRPr="00DE2ED4">
              <w:t>undertaking calculations and numerical operations within the scope of this unit</w:t>
            </w:r>
          </w:p>
        </w:tc>
      </w:tr>
      <w:tr w:rsidTr="00185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Required knowledge</w:t>
            </w:r>
          </w:p>
        </w:tc>
      </w:tr>
      <w:tr w:rsidTr="00185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r w:rsidRPr="00DE2ED4">
              <w:t>Look for evidence that confirms knowledge of:</w:t>
            </w:r>
          </w:p>
          <w:p w:rsidR="00000000" w:rsidRPr="00DE2ED4" w:rsidP="00DE2ED4">
            <w:pPr>
              <w:pStyle w:val="ListBullet"/>
            </w:pPr>
            <w:r w:rsidRPr="00DE2ED4">
              <w:t>the characteristics of surface finishes and wear patterns as applied to valve operating mechanisms and cylinder heads</w:t>
            </w:r>
          </w:p>
          <w:p w:rsidR="00000000" w:rsidRPr="00DE2ED4" w:rsidP="00DE2ED4">
            <w:pPr>
              <w:pStyle w:val="ListBullet"/>
            </w:pPr>
            <w:r w:rsidRPr="00DE2ED4">
              <w:t xml:space="preserve">the specifications of valve operating mechanisms and cylinder heads </w:t>
            </w:r>
          </w:p>
          <w:p w:rsidR="00000000" w:rsidRPr="00DE2ED4" w:rsidP="00DE2ED4">
            <w:pPr>
              <w:pStyle w:val="ListBullet"/>
            </w:pPr>
            <w:r w:rsidRPr="00DE2ED4">
              <w:t>the procedures, tools, techniques and equipment for dismantling cylin</w:t>
            </w:r>
            <w:r w:rsidRPr="00DE2ED4">
              <w:t xml:space="preserve">der heads and ancillary equipment </w:t>
            </w:r>
            <w:r w:rsidRPr="00DE2ED4">
              <w:br/>
              <w:t>the hazards and control measures associated with the removal of cylinder heads and ancillary equipment, including housekeeping</w:t>
            </w:r>
          </w:p>
          <w:p w:rsidR="00000000" w:rsidRPr="00DE2ED4" w:rsidP="00DE2ED4">
            <w:pPr>
              <w:pStyle w:val="ListBullet"/>
            </w:pPr>
            <w:r w:rsidRPr="00DE2ED4">
              <w:t xml:space="preserve">the procedures for storing parts in readiness for reassembly </w:t>
            </w:r>
          </w:p>
          <w:p w:rsidR="00000000" w:rsidRPr="00DE2ED4" w:rsidP="00DE2ED4">
            <w:pPr>
              <w:pStyle w:val="ListBullet"/>
            </w:pPr>
            <w:r w:rsidRPr="00DE2ED4">
              <w:t>the procedures, tools, technique</w:t>
            </w:r>
            <w:r w:rsidRPr="00DE2ED4">
              <w:t xml:space="preserve">s and equipment for pressure testing cylinder heads </w:t>
            </w:r>
          </w:p>
          <w:p w:rsidR="00000000" w:rsidRPr="00DE2ED4" w:rsidP="00DE2ED4">
            <w:pPr>
              <w:pStyle w:val="ListBullet"/>
            </w:pPr>
            <w:r w:rsidRPr="00DE2ED4">
              <w:t xml:space="preserve">the cylinder head specifications </w:t>
            </w:r>
          </w:p>
          <w:p w:rsidR="00000000" w:rsidRPr="00DE2ED4" w:rsidP="00DE2ED4">
            <w:pPr>
              <w:pStyle w:val="ListBullet"/>
            </w:pPr>
            <w:r w:rsidRPr="00DE2ED4">
              <w:t xml:space="preserve">the procedures, tools, techniques and equipment for measuring spring tension, valve and guide dimensions and surface flatness </w:t>
            </w:r>
          </w:p>
          <w:p w:rsidR="00000000" w:rsidRPr="00DE2ED4" w:rsidP="00DE2ED4">
            <w:pPr>
              <w:pStyle w:val="ListBullet"/>
            </w:pPr>
            <w:r w:rsidRPr="00DE2ED4">
              <w:t>the procedures for recording cylinder head</w:t>
            </w:r>
            <w:r w:rsidRPr="00DE2ED4">
              <w:t xml:space="preserve"> and valve mechanism measurements </w:t>
            </w:r>
          </w:p>
          <w:p w:rsidR="00000000" w:rsidRPr="00DE2ED4" w:rsidP="00DE2ED4">
            <w:pPr>
              <w:pStyle w:val="ListBullet"/>
            </w:pPr>
            <w:r w:rsidRPr="00DE2ED4">
              <w:t>the procedures, tools, techniques and equipment for removing the cylinder head from the engine</w:t>
            </w:r>
          </w:p>
          <w:p w:rsidR="00000000" w:rsidRPr="00DE2ED4" w:rsidP="00DE2ED4">
            <w:pPr>
              <w:pStyle w:val="ListBullet"/>
            </w:pPr>
            <w:r w:rsidRPr="00DE2ED4">
              <w:t xml:space="preserve">the procedures, tools, techniques and equipment for grinding valves and valve seats </w:t>
            </w:r>
          </w:p>
          <w:p w:rsidR="00000000" w:rsidRPr="00DE2ED4" w:rsidP="00DE2ED4">
            <w:pPr>
              <w:pStyle w:val="ListBullet"/>
            </w:pPr>
            <w:r w:rsidRPr="00DE2ED4">
              <w:t>the procedures and solutions for cleaning</w:t>
            </w:r>
            <w:r w:rsidRPr="00DE2ED4">
              <w:t xml:space="preserve"> cylinder heads and ancillary equipment </w:t>
            </w:r>
          </w:p>
          <w:p w:rsidR="00000000" w:rsidRPr="00DE2ED4" w:rsidP="00DE2ED4">
            <w:pPr>
              <w:pStyle w:val="ListBullet"/>
            </w:pPr>
            <w:r w:rsidRPr="00DE2ED4">
              <w:t xml:space="preserve">the operational parameters of cylinder head components </w:t>
            </w:r>
          </w:p>
          <w:p w:rsidR="00000000" w:rsidRPr="00DE2ED4" w:rsidP="00DE2ED4">
            <w:pPr>
              <w:pStyle w:val="ListBullet"/>
            </w:pPr>
            <w:r w:rsidRPr="00DE2ED4">
              <w:t xml:space="preserve">the procedures, tools, techniques and equipment for reassembling cylinder heads and their components </w:t>
            </w:r>
          </w:p>
          <w:p w:rsidR="00000000" w:rsidRPr="00DE2ED4" w:rsidP="00DE2ED4">
            <w:pPr>
              <w:pStyle w:val="ListBullet"/>
            </w:pPr>
            <w:r w:rsidRPr="00DE2ED4">
              <w:t xml:space="preserve">the precautions to be taken when reassembling cylinder heads </w:t>
            </w:r>
          </w:p>
          <w:p w:rsidR="00000000" w:rsidRPr="00DE2ED4" w:rsidP="00DE2ED4">
            <w:pPr>
              <w:pStyle w:val="ListBullet"/>
            </w:pPr>
            <w:r w:rsidRPr="00DE2ED4">
              <w:t>safe work practices and procedures</w:t>
            </w:r>
          </w:p>
        </w:tc>
      </w:tr>
    </w:tbl>
    <w:p w:rsidR="00185029" w:rsidP="00DE2ED4">
      <w:pPr>
        <w:pStyle w:val="BodyText"/>
      </w:pPr>
    </w:p>
    <w:p w:rsidR="00185029" w:rsidP="00DE2ED4">
      <w:pPr>
        <w:pStyle w:val="BodyText"/>
      </w:pPr>
    </w:p>
    <w:p w:rsidR="00000000" w:rsidRPr="00DE2ED4" w:rsidP="00DE2ED4">
      <w:pPr>
        <w:pStyle w:val="AllowPageBreak"/>
      </w:pPr>
    </w:p>
    <w:p w:rsidR="00000000" w:rsidRPr="00DE2ED4" w:rsidP="00DE2ED4">
      <w:pPr>
        <w:pStyle w:val="Heading1"/>
      </w:pPr>
      <w:bookmarkStart w:id="10" w:name="O_244953"/>
      <w:bookmarkEnd w:id="10"/>
      <w:r w:rsidRPr="00DE2ED4">
        <w:t>Evidence Guide</w:t>
      </w:r>
    </w:p>
    <w:tbl>
      <w:tblPr>
        <w:tblW w:w="9570" w:type="dxa"/>
        <w:tblLayout w:type="fixed"/>
        <w:tblCellMar>
          <w:left w:w="62" w:type="dxa"/>
          <w:right w:w="62" w:type="dxa"/>
        </w:tblCellMar>
        <w:tblLook w:val="0000"/>
      </w:tblPr>
      <w:tblGrid>
        <w:gridCol w:w="3908"/>
        <w:gridCol w:w="5662"/>
      </w:tblGrid>
      <w:tr w:rsidTr="001850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EVIDENCE GUIDE</w:t>
            </w:r>
          </w:p>
        </w:tc>
      </w:tr>
      <w:tr w:rsidTr="001850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The evidence guide provides advice on assessment and must be read in conjunction with the performance criteria, required skills and knowledge, range statement and the Assessment Guidelines for the Training Package.</w:t>
            </w:r>
          </w:p>
        </w:tc>
      </w:tr>
      <w:tr w:rsidTr="001850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A person who demonstrates competency in this unit must be able to perform engine top-end overhaul. Competency in this unit cannot be claimed until all prerequisites have been satisfied.</w:t>
            </w:r>
          </w:p>
        </w:tc>
      </w:tr>
      <w:tr w:rsidTr="001850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 xml:space="preserve">Critical aspects for assessment and evidence required to demonstrate </w:t>
            </w:r>
            <w:r w:rsidRPr="00DE2ED4">
              <w:rPr>
                <w:rStyle w:val="SpecialBold"/>
              </w:rPr>
              <w:t>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Assessors must be satisfied that the candidate can competently and consistently perform all elements of the unit as specified by the criteria, including required knowledge, and be capable of applying the competency in new and differ</w:t>
            </w:r>
            <w:r w:rsidRPr="00DE2ED4">
              <w:t>ent situations and contexts.</w:t>
            </w:r>
          </w:p>
        </w:tc>
      </w:tr>
      <w:tr w:rsidTr="001850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r w:rsidRPr="00DE2ED4">
              <w:t>This unit may be assessed on the job, off the job or a combination of both on and off the job. Where assessment occurs off the job, that is the candidate is not in productive wo</w:t>
            </w:r>
            <w:r w:rsidRPr="00DE2ED4">
              <w:t>rk, then an appropriate simulation must be used where the range of conditions reflects realistic workplace situations. The competencies covered by this unit would be demonstrated by an individual working alone or as part of a team. The assessment environme</w:t>
            </w:r>
            <w:r w:rsidRPr="00DE2ED4">
              <w:t xml:space="preserve">nt should not disadvantage the candidate. </w:t>
            </w:r>
          </w:p>
          <w:p w:rsidR="00000000" w:rsidP="00DE2ED4">
            <w:pPr>
              <w:pStyle w:val="BodyText"/>
              <w:rPr>
                <w:lang w:val="en-NZ"/>
              </w:rPr>
            </w:pPr>
            <w:r w:rsidRPr="00DE2ED4">
              <w:t>This unit could be assessed in conjunction with any other units addressing the safety, quality, communication, materials handling, recording and reporting associated with performing engine top-end overhaul, or oth</w:t>
            </w:r>
            <w:r w:rsidRPr="00DE2ED4">
              <w:t>er units requiring the exercise of the skills and knowledge covered by this unit.</w:t>
            </w:r>
          </w:p>
        </w:tc>
      </w:tr>
      <w:tr w:rsidTr="001850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Assessors should gather a range of evidence that is valid, sufficient, current and authentic. Evidence can be gathered through a variety of ways includi</w:t>
            </w:r>
            <w:r w:rsidRPr="00DE2ED4">
              <w:t>ng direct observation, supervisor's reports, project work, samples and questioning. Questioning techniques should not require language, literacy and numeracy skills beyond those required in this unit of competency. The candidate must have access to all too</w:t>
            </w:r>
            <w:r w:rsidRPr="00DE2ED4">
              <w:t>ls, equipment, materials and documentation required. The candidate must be permitted to refer to any relevant workplace procedures, product and manufacturing specifications, codes, standards, manuals and reference materials.</w:t>
            </w:r>
          </w:p>
        </w:tc>
      </w:tr>
      <w:tr w:rsidTr="001850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Guidance information for asses</w:t>
            </w:r>
            <w:r w:rsidRPr="00DE2ED4">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p>
        </w:tc>
      </w:tr>
    </w:tbl>
    <w:p w:rsidR="00185029" w:rsidP="00DE2ED4">
      <w:pPr>
        <w:pStyle w:val="BodyText"/>
      </w:pPr>
    </w:p>
    <w:p w:rsidR="00185029" w:rsidP="00DE2ED4">
      <w:pPr>
        <w:pStyle w:val="BodyText"/>
      </w:pPr>
    </w:p>
    <w:p w:rsidR="00000000" w:rsidRPr="00DE2ED4" w:rsidP="00DE2ED4">
      <w:pPr>
        <w:pStyle w:val="Heading1"/>
      </w:pPr>
      <w:bookmarkStart w:id="11" w:name="O_252936"/>
      <w:bookmarkEnd w:id="11"/>
      <w:r w:rsidRPr="00DE2ED4">
        <w:t>Range Statement</w:t>
      </w:r>
    </w:p>
    <w:tbl>
      <w:tblPr>
        <w:tblW w:w="0" w:type="auto"/>
        <w:tblLayout w:type="fixed"/>
        <w:tblCellMar>
          <w:left w:w="62" w:type="dxa"/>
          <w:right w:w="62" w:type="dxa"/>
        </w:tblCellMar>
        <w:tblLook w:val="0000"/>
      </w:tblPr>
      <w:tblGrid>
        <w:gridCol w:w="4282"/>
        <w:gridCol w:w="4240"/>
      </w:tblGrid>
      <w:tr w:rsidTr="001850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RANGE STATEMENT</w:t>
            </w:r>
          </w:p>
        </w:tc>
      </w:tr>
      <w:tr w:rsidTr="001850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t xml:space="preserve">The range statement relates to the unit of competency as a whole. It allows for different work environments and situations that may affect </w:t>
            </w:r>
            <w:r w:rsidRPr="00DE2ED4">
              <w:t>performance. Bold italicised wording, if used in the performance criteria, is detailed below. Essential operating conditions that may be present with training and assessment (depending on the work situation, needs of the candidate, accessibility of the ite</w:t>
            </w:r>
            <w:r w:rsidRPr="00DE2ED4">
              <w:t>m, and local industry and regional contexts) may also be included.</w:t>
            </w:r>
          </w:p>
        </w:tc>
      </w:tr>
      <w:tr w:rsidTr="0018502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p>
        </w:tc>
      </w:tr>
      <w:tr w:rsidTr="0018502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p>
        </w:tc>
      </w:tr>
      <w:tr w:rsidTr="0018502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p>
        </w:tc>
      </w:tr>
      <w:tr w:rsidTr="0018502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p>
        </w:tc>
      </w:tr>
      <w:tr w:rsidTr="0018502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p>
        </w:tc>
      </w:tr>
      <w:tr w:rsidTr="0018502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p>
        </w:tc>
      </w:tr>
      <w:tr w:rsidTr="0018502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p>
        </w:tc>
      </w:tr>
      <w:tr w:rsidTr="0018502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p>
        </w:tc>
      </w:tr>
    </w:tbl>
    <w:p w:rsidR="00185029" w:rsidP="00DE2ED4">
      <w:pPr>
        <w:pStyle w:val="BodyText"/>
      </w:pPr>
    </w:p>
    <w:p w:rsidR="00185029" w:rsidP="00DE2ED4">
      <w:pPr>
        <w:pStyle w:val="BodyText"/>
      </w:pPr>
    </w:p>
    <w:p w:rsidR="00000000" w:rsidRPr="00DE2ED4" w:rsidP="00DE2ED4">
      <w:pPr>
        <w:pStyle w:val="Heading1"/>
      </w:pPr>
      <w:bookmarkStart w:id="12" w:name="O_212236"/>
      <w:bookmarkEnd w:id="12"/>
      <w:r w:rsidRPr="00DE2ED4">
        <w:t>Unit Sector(s)</w:t>
      </w:r>
    </w:p>
    <w:tbl>
      <w:tblPr>
        <w:tblW w:w="0" w:type="auto"/>
        <w:tblLayout w:type="fixed"/>
        <w:tblCellMar>
          <w:left w:w="62" w:type="dxa"/>
          <w:right w:w="62" w:type="dxa"/>
        </w:tblCellMar>
        <w:tblLook w:val="0000"/>
      </w:tblPr>
      <w:tblGrid>
        <w:gridCol w:w="2654"/>
        <w:gridCol w:w="5868"/>
      </w:tblGrid>
      <w:tr w:rsidTr="0018502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p>
        </w:tc>
      </w:tr>
    </w:tbl>
    <w:p w:rsidR="00185029" w:rsidP="00DE2ED4">
      <w:pPr>
        <w:pStyle w:val="BodyText"/>
      </w:pPr>
    </w:p>
    <w:p w:rsidR="00185029" w:rsidP="00DE2ED4">
      <w:pPr>
        <w:pStyle w:val="BodyText"/>
      </w:pPr>
    </w:p>
    <w:p w:rsidR="00000000" w:rsidRPr="00DE2ED4" w:rsidP="00DE2ED4">
      <w:pPr>
        <w:pStyle w:val="Heading1"/>
      </w:pPr>
      <w:bookmarkStart w:id="13" w:name="O_212233"/>
      <w:bookmarkEnd w:id="13"/>
      <w:r w:rsidRPr="00DE2ED4">
        <w:t>Co-requisite units</w:t>
      </w:r>
    </w:p>
    <w:tbl>
      <w:tblPr>
        <w:tblW w:w="0" w:type="auto"/>
        <w:tblLayout w:type="fixed"/>
        <w:tblCellMar>
          <w:left w:w="62" w:type="dxa"/>
          <w:right w:w="62" w:type="dxa"/>
        </w:tblCellMar>
        <w:tblLook w:val="0000"/>
      </w:tblPr>
      <w:tblGrid>
        <w:gridCol w:w="2641"/>
        <w:gridCol w:w="1322"/>
        <w:gridCol w:w="4559"/>
      </w:tblGrid>
      <w:tr w:rsidTr="001850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0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p>
        </w:tc>
      </w:tr>
      <w:tr w:rsidTr="001850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p>
        </w:tc>
      </w:tr>
    </w:tbl>
    <w:p w:rsidR="00185029" w:rsidP="00DE2ED4">
      <w:pPr>
        <w:pStyle w:val="BodyText"/>
      </w:pPr>
    </w:p>
    <w:p w:rsidR="00185029" w:rsidP="00DE2ED4">
      <w:pPr>
        <w:pStyle w:val="BodyText"/>
      </w:pPr>
    </w:p>
    <w:p w:rsidR="00000000" w:rsidRPr="00DE2ED4" w:rsidP="00DE2ED4">
      <w:pPr>
        <w:pStyle w:val="Heading1"/>
      </w:pPr>
      <w:bookmarkStart w:id="14" w:name="O_212235"/>
      <w:bookmarkEnd w:id="14"/>
      <w:r w:rsidRPr="00DE2ED4">
        <w:t>Competency field</w:t>
      </w:r>
    </w:p>
    <w:tbl>
      <w:tblPr>
        <w:tblW w:w="0" w:type="auto"/>
        <w:tblLayout w:type="fixed"/>
        <w:tblCellMar>
          <w:left w:w="62" w:type="dxa"/>
          <w:right w:w="62" w:type="dxa"/>
        </w:tblCellMar>
        <w:tblLook w:val="0000"/>
      </w:tblPr>
      <w:tblGrid>
        <w:gridCol w:w="2775"/>
        <w:gridCol w:w="5747"/>
      </w:tblGrid>
      <w:tr w:rsidTr="001850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ED4">
            <w:pPr>
              <w:pStyle w:val="BodyText"/>
              <w:rPr>
                <w:lang w:val="en-NZ"/>
              </w:rPr>
            </w:pPr>
            <w:r w:rsidRPr="00DE2ED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ED4" w:rsidP="00DE2ED4">
            <w:pPr>
              <w:pStyle w:val="BodyText"/>
            </w:pPr>
            <w:r w:rsidRPr="00DE2ED4">
              <w:t>Maintenance and diagnostics</w:t>
            </w:r>
          </w:p>
        </w:tc>
      </w:tr>
    </w:tbl>
    <w:p w:rsidR="00185029" w:rsidP="00DE2ED4">
      <w:pPr>
        <w:pStyle w:val="BodyText"/>
      </w:pPr>
    </w:p>
    <w:p w:rsidR="00185029" w:rsidP="00DE2ED4">
      <w:pPr>
        <w:pStyle w:val="BodyText"/>
      </w:pPr>
    </w:p>
    <w:p w:rsidR="00000000" w:rsidRPr="00DE2ED4" w:rsidP="00DE2ED4"/>
    <w:sectPr w:rsidSect="00DE2E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029" w:rsidP="001850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29" w:rsidP="00DE2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5029" w:rsidP="00DE2E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5029" w:rsidP="00DE2E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029" w:rsidP="001850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29" w:rsidP="00DE2ED4">
    <w:pPr>
      <w:pStyle w:val="Header"/>
      <w:framePr w:wrap="around"/>
    </w:pPr>
    <w:r>
      <w:fldChar w:fldCharType="begin"/>
    </w:r>
    <w:r>
      <w:instrText xml:space="preserve"> TITLE   \* MERGEFORMAT </w:instrText>
    </w:r>
    <w:r>
      <w:fldChar w:fldCharType="separate"/>
    </w:r>
    <w:r>
      <w:t>MEM18034B Perform engine top-end 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5029" w:rsidP="00DE2E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4278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6248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E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2ED4"/>
    <w:pPr>
      <w:spacing w:before="360" w:after="60"/>
      <w:outlineLvl w:val="0"/>
    </w:pPr>
    <w:rPr>
      <w:sz w:val="32"/>
    </w:rPr>
  </w:style>
  <w:style w:type="paragraph" w:styleId="Heading2">
    <w:name w:val="heading 2"/>
    <w:basedOn w:val="HeadingBase"/>
    <w:next w:val="BodyText"/>
    <w:link w:val="Heading2Char"/>
    <w:qFormat/>
    <w:rsid w:val="00DE2ED4"/>
    <w:pPr>
      <w:keepLines/>
      <w:spacing w:before="240" w:after="120"/>
      <w:outlineLvl w:val="1"/>
    </w:pPr>
    <w:rPr>
      <w:sz w:val="28"/>
      <w:szCs w:val="40"/>
    </w:rPr>
  </w:style>
  <w:style w:type="paragraph" w:styleId="Heading3">
    <w:name w:val="heading 3"/>
    <w:basedOn w:val="HeadingBase"/>
    <w:next w:val="BodyText"/>
    <w:link w:val="Heading3Char"/>
    <w:qFormat/>
    <w:rsid w:val="00DE2ED4"/>
    <w:pPr>
      <w:spacing w:before="180" w:after="120"/>
      <w:outlineLvl w:val="2"/>
    </w:pPr>
    <w:rPr>
      <w:spacing w:val="-10"/>
      <w:kern w:val="32"/>
    </w:rPr>
  </w:style>
  <w:style w:type="paragraph" w:styleId="Heading4">
    <w:name w:val="heading 4"/>
    <w:basedOn w:val="HeadingBase"/>
    <w:next w:val="BodyText"/>
    <w:link w:val="Heading4Char"/>
    <w:qFormat/>
    <w:rsid w:val="00DE2ED4"/>
    <w:pPr>
      <w:spacing w:before="160" w:after="120"/>
      <w:outlineLvl w:val="3"/>
    </w:pPr>
    <w:rPr>
      <w:sz w:val="22"/>
    </w:rPr>
  </w:style>
  <w:style w:type="paragraph" w:styleId="Heading5">
    <w:name w:val="heading 5"/>
    <w:basedOn w:val="HeadingBase"/>
    <w:next w:val="Normal"/>
    <w:link w:val="Heading5Char"/>
    <w:qFormat/>
    <w:rsid w:val="00DE2ED4"/>
    <w:pPr>
      <w:spacing w:before="80"/>
      <w:outlineLvl w:val="4"/>
    </w:pPr>
    <w:rPr>
      <w:color w:val="918585"/>
      <w:sz w:val="20"/>
    </w:rPr>
  </w:style>
  <w:style w:type="paragraph" w:styleId="Heading6">
    <w:name w:val="heading 6"/>
    <w:basedOn w:val="HeadingBase"/>
    <w:next w:val="Normal"/>
    <w:link w:val="Heading6Char"/>
    <w:qFormat/>
    <w:rsid w:val="00DE2ED4"/>
    <w:pPr>
      <w:spacing w:before="60"/>
      <w:outlineLvl w:val="5"/>
    </w:pPr>
    <w:rPr>
      <w:color w:val="918585"/>
      <w:sz w:val="20"/>
    </w:rPr>
  </w:style>
  <w:style w:type="paragraph" w:styleId="Heading7">
    <w:name w:val="heading 7"/>
    <w:basedOn w:val="Normal"/>
    <w:next w:val="Normal"/>
    <w:link w:val="Heading7Char"/>
    <w:qFormat/>
    <w:rsid w:val="00DE2ED4"/>
    <w:pPr>
      <w:ind w:left="720"/>
      <w:outlineLvl w:val="6"/>
    </w:pPr>
    <w:rPr>
      <w:i/>
    </w:rPr>
  </w:style>
  <w:style w:type="paragraph" w:styleId="Heading8">
    <w:name w:val="heading 8"/>
    <w:basedOn w:val="Normal"/>
    <w:next w:val="Normal"/>
    <w:link w:val="Heading8Char"/>
    <w:qFormat/>
    <w:rsid w:val="00DE2ED4"/>
    <w:pPr>
      <w:ind w:left="720"/>
      <w:outlineLvl w:val="7"/>
    </w:pPr>
    <w:rPr>
      <w:i/>
    </w:rPr>
  </w:style>
  <w:style w:type="paragraph" w:styleId="Heading9">
    <w:name w:val="heading 9"/>
    <w:basedOn w:val="Normal"/>
    <w:next w:val="Normal"/>
    <w:link w:val="Heading9Char"/>
    <w:qFormat/>
    <w:rsid w:val="00DE2ED4"/>
    <w:pPr>
      <w:ind w:left="720"/>
      <w:outlineLvl w:val="8"/>
    </w:pPr>
    <w:rPr>
      <w:i/>
    </w:rPr>
  </w:style>
  <w:style w:type="character" w:default="1" w:styleId="DefaultParagraphFont">
    <w:name w:val="Default Paragraph Font"/>
    <w:uiPriority w:val="1"/>
    <w:unhideWhenUsed/>
    <w:rsid w:val="00DE2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ED4"/>
  </w:style>
  <w:style w:type="character" w:customStyle="1" w:styleId="Heading1Char">
    <w:name w:val="Heading 1 Char"/>
    <w:link w:val="Heading1"/>
    <w:rsid w:val="00DE2ED4"/>
    <w:rPr>
      <w:rFonts w:ascii="Times New Roman" w:eastAsia="Times New Roman" w:hAnsi="Times New Roman" w:cs="Times New Roman"/>
      <w:b/>
      <w:sz w:val="32"/>
      <w:szCs w:val="20"/>
      <w:lang w:eastAsia="en-US"/>
    </w:rPr>
  </w:style>
  <w:style w:type="paragraph" w:styleId="BodyText">
    <w:name w:val="Body Text"/>
    <w:basedOn w:val="Normal"/>
    <w:link w:val="BodyTextChar"/>
    <w:rsid w:val="00DE2ED4"/>
    <w:pPr>
      <w:spacing w:before="120" w:after="120"/>
      <w:contextualSpacing/>
    </w:pPr>
    <w:rPr>
      <w:rFonts w:ascii="Times New Roman" w:hAnsi="Times New Roman"/>
      <w:sz w:val="24"/>
      <w:szCs w:val="22"/>
    </w:rPr>
  </w:style>
  <w:style w:type="character" w:customStyle="1" w:styleId="BodyTextChar">
    <w:name w:val="Body Text Char"/>
    <w:link w:val="BodyText"/>
    <w:rsid w:val="00DE2ED4"/>
    <w:rPr>
      <w:rFonts w:ascii="Times New Roman" w:eastAsia="Times New Roman" w:hAnsi="Times New Roman" w:cs="Times New Roman"/>
      <w:sz w:val="24"/>
      <w:lang w:val="en-US" w:eastAsia="en-US"/>
    </w:rPr>
  </w:style>
  <w:style w:type="paragraph" w:styleId="Footer">
    <w:name w:val="footer"/>
    <w:basedOn w:val="Normal"/>
    <w:link w:val="FooterChar"/>
    <w:rsid w:val="00DE2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2ED4"/>
    <w:rPr>
      <w:rFonts w:ascii="Times New Roman" w:eastAsia="Times New Roman" w:hAnsi="Times New Roman" w:cs="Times New Roman"/>
      <w:sz w:val="16"/>
      <w:lang w:val="en-US" w:eastAsia="en-US"/>
    </w:rPr>
  </w:style>
  <w:style w:type="paragraph" w:styleId="List">
    <w:name w:val="List"/>
    <w:basedOn w:val="BodyText"/>
    <w:next w:val="BodyText"/>
    <w:rsid w:val="00DE2ED4"/>
    <w:pPr>
      <w:tabs>
        <w:tab w:val="left" w:pos="340"/>
      </w:tabs>
      <w:spacing w:before="60" w:after="60"/>
      <w:ind w:left="340" w:hanging="340"/>
    </w:pPr>
  </w:style>
  <w:style w:type="paragraph" w:styleId="ListBullet">
    <w:name w:val="List Bullet"/>
    <w:basedOn w:val="List"/>
    <w:rsid w:val="00DE2ED4"/>
    <w:pPr>
      <w:numPr>
        <w:numId w:val="12"/>
      </w:numPr>
      <w:tabs>
        <w:tab w:val="clear" w:pos="340"/>
      </w:tabs>
      <w:spacing w:before="40" w:after="40"/>
    </w:pPr>
  </w:style>
  <w:style w:type="character" w:customStyle="1" w:styleId="SpecialBold">
    <w:name w:val="Special Bold"/>
    <w:rsid w:val="00DE2ED4"/>
    <w:rPr>
      <w:b/>
      <w:spacing w:val="0"/>
    </w:rPr>
  </w:style>
  <w:style w:type="paragraph" w:styleId="Header">
    <w:name w:val="header"/>
    <w:basedOn w:val="Normal"/>
    <w:link w:val="HeaderChar"/>
    <w:rsid w:val="00DE2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2E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2ED4"/>
    <w:pPr>
      <w:spacing w:before="240" w:after="120"/>
      <w:outlineLvl w:val="0"/>
    </w:pPr>
    <w:rPr>
      <w:rFonts w:ascii="Times New Roman" w:hAnsi="Times New Roman"/>
      <w:b/>
      <w:sz w:val="28"/>
    </w:rPr>
  </w:style>
  <w:style w:type="paragraph" w:customStyle="1" w:styleId="AllowPageBreak">
    <w:name w:val="AllowPageBreak"/>
    <w:rsid w:val="00DE2E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2ED4"/>
    <w:pPr>
      <w:tabs>
        <w:tab w:val="left" w:pos="680"/>
      </w:tabs>
      <w:spacing w:before="60" w:after="60"/>
      <w:ind w:left="680" w:hanging="340"/>
    </w:pPr>
  </w:style>
  <w:style w:type="character" w:customStyle="1" w:styleId="Heading2Char">
    <w:name w:val="Heading 2 Char"/>
    <w:link w:val="Heading2"/>
    <w:rsid w:val="00DE2ED4"/>
    <w:rPr>
      <w:rFonts w:ascii="Times New Roman" w:eastAsia="Times New Roman" w:hAnsi="Times New Roman" w:cs="Times New Roman"/>
      <w:b/>
      <w:sz w:val="28"/>
      <w:szCs w:val="40"/>
      <w:lang w:eastAsia="en-US"/>
    </w:rPr>
  </w:style>
  <w:style w:type="character" w:customStyle="1" w:styleId="Heading3Char">
    <w:name w:val="Heading 3 Char"/>
    <w:link w:val="Heading3"/>
    <w:rsid w:val="00DE2E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2ED4"/>
    <w:rPr>
      <w:rFonts w:ascii="Times New Roman" w:eastAsia="Times New Roman" w:hAnsi="Times New Roman" w:cs="Times New Roman"/>
      <w:b/>
      <w:szCs w:val="20"/>
      <w:lang w:eastAsia="en-US"/>
    </w:rPr>
  </w:style>
  <w:style w:type="character" w:customStyle="1" w:styleId="Heading5Char">
    <w:name w:val="Heading 5 Char"/>
    <w:link w:val="Heading5"/>
    <w:rsid w:val="00DE2E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2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E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2E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2ED4"/>
    <w:rPr>
      <w:rFonts w:ascii="Courier New" w:eastAsia="Times New Roman" w:hAnsi="Courier New" w:cs="Times New Roman"/>
      <w:i/>
      <w:szCs w:val="20"/>
      <w:lang w:val="en-US" w:eastAsia="en-US"/>
    </w:rPr>
  </w:style>
  <w:style w:type="paragraph" w:customStyle="1" w:styleId="HeadingBase">
    <w:name w:val="Heading Base"/>
    <w:rsid w:val="00DE2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ED4"/>
    <w:pPr>
      <w:tabs>
        <w:tab w:val="right" w:leader="dot" w:pos="9072"/>
      </w:tabs>
      <w:ind w:left="567"/>
    </w:pPr>
    <w:rPr>
      <w:szCs w:val="22"/>
    </w:rPr>
  </w:style>
  <w:style w:type="paragraph" w:customStyle="1" w:styleId="TOCBase">
    <w:name w:val="TOC Base"/>
    <w:rsid w:val="00DE2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ED4"/>
    <w:pPr>
      <w:tabs>
        <w:tab w:val="right" w:leader="dot" w:pos="9072"/>
      </w:tabs>
      <w:spacing w:before="40" w:after="40"/>
      <w:ind w:left="284"/>
    </w:pPr>
    <w:rPr>
      <w:rFonts w:ascii="Times New Roman" w:hAnsi="Times New Roman"/>
    </w:rPr>
  </w:style>
  <w:style w:type="paragraph" w:styleId="TOC1">
    <w:name w:val="toc 1"/>
    <w:basedOn w:val="TOCBase"/>
    <w:next w:val="Normal"/>
    <w:rsid w:val="00DE2E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2ED4"/>
    <w:pPr>
      <w:spacing w:before="5040"/>
      <w:jc w:val="center"/>
    </w:pPr>
    <w:rPr>
      <w:sz w:val="48"/>
      <w:szCs w:val="72"/>
      <w:lang w:val="en-US"/>
    </w:rPr>
  </w:style>
  <w:style w:type="character" w:customStyle="1" w:styleId="TitleChar">
    <w:name w:val="Title Char"/>
    <w:link w:val="Title"/>
    <w:rsid w:val="00DE2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ED4"/>
    <w:pPr>
      <w:tabs>
        <w:tab w:val="left" w:pos="3600"/>
        <w:tab w:val="left" w:pos="3958"/>
      </w:tabs>
    </w:pPr>
  </w:style>
  <w:style w:type="paragraph" w:customStyle="1" w:styleId="Note">
    <w:name w:val="Note"/>
    <w:basedOn w:val="BodyText"/>
    <w:rsid w:val="00DE2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ED4"/>
    <w:pPr>
      <w:framePr w:wrap="auto" w:hAnchor="text" w:y="6049"/>
    </w:pPr>
    <w:rPr>
      <w:color w:val="000000"/>
      <w:sz w:val="40"/>
    </w:rPr>
  </w:style>
  <w:style w:type="paragraph" w:customStyle="1" w:styleId="TOCTitle">
    <w:name w:val="TOCTitle"/>
    <w:basedOn w:val="Heading1"/>
    <w:rsid w:val="00DE2ED4"/>
    <w:pPr>
      <w:spacing w:after="240"/>
      <w:jc w:val="center"/>
      <w:outlineLvl w:val="9"/>
    </w:pPr>
    <w:rPr>
      <w:caps/>
    </w:rPr>
  </w:style>
  <w:style w:type="paragraph" w:customStyle="1" w:styleId="Version">
    <w:name w:val="Version"/>
    <w:rsid w:val="00DE2E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2ED4"/>
    <w:pPr>
      <w:numPr>
        <w:numId w:val="13"/>
      </w:numPr>
      <w:tabs>
        <w:tab w:val="clear" w:pos="680"/>
      </w:tabs>
    </w:pPr>
  </w:style>
  <w:style w:type="paragraph" w:styleId="Index1">
    <w:name w:val="index 1"/>
    <w:basedOn w:val="Normal"/>
    <w:next w:val="Normal"/>
    <w:semiHidden/>
    <w:rsid w:val="00DE2ED4"/>
    <w:pPr>
      <w:keepNext w:val="0"/>
      <w:tabs>
        <w:tab w:val="right" w:pos="4176"/>
      </w:tabs>
      <w:ind w:left="198" w:hanging="198"/>
    </w:pPr>
    <w:rPr>
      <w:rFonts w:ascii="Garamond" w:hAnsi="Garamond"/>
    </w:rPr>
  </w:style>
  <w:style w:type="paragraph" w:styleId="IndexHeading">
    <w:name w:val="index heading"/>
    <w:basedOn w:val="Normal"/>
    <w:next w:val="Index1"/>
    <w:semiHidden/>
    <w:rsid w:val="00DE2ED4"/>
    <w:pPr>
      <w:spacing w:before="120" w:after="120"/>
    </w:pPr>
    <w:rPr>
      <w:rFonts w:ascii="Arial" w:hAnsi="Arial"/>
      <w:b/>
      <w:color w:val="918585"/>
      <w:sz w:val="24"/>
    </w:rPr>
  </w:style>
  <w:style w:type="paragraph" w:customStyle="1" w:styleId="Chapter">
    <w:name w:val="Chapter"/>
    <w:basedOn w:val="Normal"/>
    <w:rsid w:val="00DE2ED4"/>
    <w:pPr>
      <w:spacing w:before="240"/>
    </w:pPr>
    <w:rPr>
      <w:rFonts w:ascii="Times New Roman" w:hAnsi="Times New Roman"/>
      <w:smallCaps/>
      <w:spacing w:val="80"/>
      <w:sz w:val="28"/>
    </w:rPr>
  </w:style>
  <w:style w:type="paragraph" w:customStyle="1" w:styleId="InChapter">
    <w:name w:val="InChapter"/>
    <w:basedOn w:val="Heading3"/>
    <w:rsid w:val="00DE2ED4"/>
    <w:pPr>
      <w:spacing w:after="240"/>
      <w:outlineLvl w:val="9"/>
    </w:pPr>
    <w:rPr>
      <w:noProof/>
    </w:rPr>
  </w:style>
  <w:style w:type="paragraph" w:styleId="Index2">
    <w:name w:val="index 2"/>
    <w:basedOn w:val="Normal"/>
    <w:next w:val="Normal"/>
    <w:semiHidden/>
    <w:rsid w:val="00DE2ED4"/>
    <w:pPr>
      <w:tabs>
        <w:tab w:val="right" w:pos="4176"/>
      </w:tabs>
      <w:ind w:left="568" w:hanging="284"/>
    </w:pPr>
    <w:rPr>
      <w:rFonts w:ascii="Garamond" w:hAnsi="Garamond"/>
    </w:rPr>
  </w:style>
  <w:style w:type="paragraph" w:customStyle="1" w:styleId="Byline">
    <w:name w:val="Byline"/>
    <w:rsid w:val="00DE2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ED4"/>
    <w:pPr>
      <w:tabs>
        <w:tab w:val="clear" w:pos="3600"/>
        <w:tab w:val="clear" w:pos="3958"/>
      </w:tabs>
      <w:jc w:val="right"/>
    </w:pPr>
  </w:style>
  <w:style w:type="character" w:styleId="Emphasis">
    <w:name w:val="Emphasis"/>
    <w:qFormat/>
    <w:rsid w:val="00DE2ED4"/>
    <w:rPr>
      <w:i/>
    </w:rPr>
  </w:style>
  <w:style w:type="paragraph" w:styleId="Caption">
    <w:name w:val="caption"/>
    <w:basedOn w:val="BodyText"/>
    <w:next w:val="Normal"/>
    <w:qFormat/>
    <w:rsid w:val="00DE2ED4"/>
    <w:pPr>
      <w:framePr w:w="2268" w:hSpace="181" w:vSpace="181" w:wrap="around" w:vAnchor="text" w:hAnchor="page" w:x="1135" w:y="285" w:anchorLock="1"/>
    </w:pPr>
    <w:rPr>
      <w:i/>
    </w:rPr>
  </w:style>
  <w:style w:type="paragraph" w:customStyle="1" w:styleId="MiniTOCTitle">
    <w:name w:val="MiniTOCTitle"/>
    <w:basedOn w:val="Heading4"/>
    <w:rsid w:val="00DE2ED4"/>
    <w:pPr>
      <w:spacing w:before="240"/>
      <w:outlineLvl w:val="9"/>
    </w:pPr>
    <w:rPr>
      <w:noProof/>
      <w:sz w:val="24"/>
    </w:rPr>
  </w:style>
  <w:style w:type="paragraph" w:customStyle="1" w:styleId="MiniTOCItem">
    <w:name w:val="MiniTOCItem"/>
    <w:basedOn w:val="ListBullet"/>
    <w:rsid w:val="00DE2ED4"/>
    <w:pPr>
      <w:numPr>
        <w:numId w:val="0"/>
      </w:numPr>
      <w:tabs>
        <w:tab w:val="right" w:leader="dot" w:pos="6521"/>
      </w:tabs>
      <w:spacing w:before="0" w:after="0"/>
    </w:pPr>
  </w:style>
  <w:style w:type="paragraph" w:customStyle="1" w:styleId="TOFTitle">
    <w:name w:val="TOFTitle"/>
    <w:basedOn w:val="TOCTitle"/>
    <w:rsid w:val="00DE2ED4"/>
  </w:style>
  <w:style w:type="paragraph" w:styleId="TableofFigures">
    <w:name w:val="table of figures"/>
    <w:basedOn w:val="Normal"/>
    <w:next w:val="Normal"/>
    <w:semiHidden/>
    <w:rsid w:val="00DE2ED4"/>
    <w:pPr>
      <w:tabs>
        <w:tab w:val="right" w:leader="dot" w:pos="9072"/>
      </w:tabs>
      <w:ind w:left="970" w:hanging="403"/>
    </w:pPr>
    <w:rPr>
      <w:rFonts w:ascii="Times New Roman" w:hAnsi="Times New Roman"/>
      <w:b/>
    </w:rPr>
  </w:style>
  <w:style w:type="paragraph" w:styleId="ListNumber">
    <w:name w:val="List Number"/>
    <w:basedOn w:val="List"/>
    <w:rsid w:val="00DE2ED4"/>
    <w:pPr>
      <w:numPr>
        <w:numId w:val="10"/>
      </w:numPr>
    </w:pPr>
  </w:style>
  <w:style w:type="character" w:customStyle="1" w:styleId="WingdingSymbols">
    <w:name w:val="Wingding Symbols"/>
    <w:rsid w:val="00DE2ED4"/>
    <w:rPr>
      <w:rFonts w:ascii="Wingdings" w:hAnsi="Wingdings"/>
    </w:rPr>
  </w:style>
  <w:style w:type="paragraph" w:customStyle="1" w:styleId="TableHeading">
    <w:name w:val="Table Heading"/>
    <w:basedOn w:val="HeadingBase"/>
    <w:rsid w:val="00DE2ED4"/>
    <w:pPr>
      <w:keepLines/>
      <w:pBdr>
        <w:bottom w:val="single" w:sz="6" w:space="1" w:color="918585"/>
      </w:pBdr>
      <w:spacing w:before="240"/>
    </w:pPr>
  </w:style>
  <w:style w:type="character" w:customStyle="1" w:styleId="HotSpot">
    <w:name w:val="HotSpot"/>
    <w:rsid w:val="00DE2ED4"/>
    <w:rPr>
      <w:color w:val="0033CC"/>
      <w:u w:val="none"/>
    </w:rPr>
  </w:style>
  <w:style w:type="paragraph" w:customStyle="1" w:styleId="BodyTextRight">
    <w:name w:val="Body Text Right"/>
    <w:basedOn w:val="BodyText"/>
    <w:rsid w:val="00DE2ED4"/>
    <w:pPr>
      <w:spacing w:before="0" w:after="0"/>
      <w:jc w:val="right"/>
    </w:pPr>
  </w:style>
  <w:style w:type="paragraph" w:styleId="Index3">
    <w:name w:val="index 3"/>
    <w:basedOn w:val="ListNumber2"/>
    <w:next w:val="Normal"/>
    <w:semiHidden/>
    <w:rsid w:val="00DE2ED4"/>
    <w:pPr>
      <w:numPr>
        <w:numId w:val="0"/>
      </w:numPr>
      <w:tabs>
        <w:tab w:val="right" w:leader="dot" w:pos="4176"/>
      </w:tabs>
    </w:pPr>
  </w:style>
  <w:style w:type="paragraph" w:styleId="ListNumber2">
    <w:name w:val="List Number 2"/>
    <w:basedOn w:val="List2"/>
    <w:rsid w:val="00DE2ED4"/>
    <w:pPr>
      <w:numPr>
        <w:numId w:val="9"/>
      </w:numPr>
      <w:tabs>
        <w:tab w:val="clear" w:pos="1060"/>
      </w:tabs>
    </w:pPr>
  </w:style>
  <w:style w:type="paragraph" w:customStyle="1" w:styleId="MarginNote">
    <w:name w:val="Margin Note"/>
    <w:basedOn w:val="BodyText"/>
    <w:rsid w:val="00DE2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2E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2ED4"/>
    <w:rPr>
      <w:sz w:val="32"/>
    </w:rPr>
  </w:style>
  <w:style w:type="paragraph" w:customStyle="1" w:styleId="HeadingProcedure">
    <w:name w:val="Heading Procedure"/>
    <w:basedOn w:val="HeadingBase"/>
    <w:next w:val="Normal"/>
    <w:rsid w:val="00DE2ED4"/>
    <w:pPr>
      <w:tabs>
        <w:tab w:val="left" w:pos="0"/>
      </w:tabs>
      <w:spacing w:before="120" w:after="60"/>
    </w:pPr>
    <w:rPr>
      <w:i/>
      <w:color w:val="918585"/>
      <w:sz w:val="22"/>
    </w:rPr>
  </w:style>
  <w:style w:type="paragraph" w:customStyle="1" w:styleId="TableBodyText">
    <w:name w:val="Table Body Text"/>
    <w:basedOn w:val="BodyText"/>
    <w:rsid w:val="00DE2ED4"/>
    <w:pPr>
      <w:spacing w:before="60" w:after="60"/>
    </w:pPr>
  </w:style>
  <w:style w:type="paragraph" w:styleId="ListContinue">
    <w:name w:val="List Continue"/>
    <w:basedOn w:val="List"/>
    <w:rsid w:val="00DE2ED4"/>
    <w:pPr>
      <w:ind w:firstLine="0"/>
    </w:pPr>
  </w:style>
  <w:style w:type="paragraph" w:customStyle="1" w:styleId="ListNote">
    <w:name w:val="List Note"/>
    <w:basedOn w:val="List"/>
    <w:rsid w:val="00DE2ED4"/>
    <w:pPr>
      <w:pBdr>
        <w:top w:val="single" w:sz="6" w:space="2" w:color="918585"/>
        <w:bottom w:val="single" w:sz="6" w:space="2" w:color="918585"/>
      </w:pBdr>
      <w:tabs>
        <w:tab w:val="left" w:pos="1021"/>
      </w:tabs>
      <w:ind w:firstLine="0"/>
    </w:pPr>
  </w:style>
  <w:style w:type="paragraph" w:customStyle="1" w:styleId="Warning">
    <w:name w:val="Warning"/>
    <w:basedOn w:val="BodyText"/>
    <w:rsid w:val="00DE2ED4"/>
    <w:pPr>
      <w:shd w:val="clear" w:color="auto" w:fill="D9D9D9"/>
      <w:tabs>
        <w:tab w:val="left" w:pos="992"/>
      </w:tabs>
      <w:ind w:left="119" w:right="119"/>
    </w:pPr>
    <w:rPr>
      <w:sz w:val="20"/>
    </w:rPr>
  </w:style>
  <w:style w:type="paragraph" w:customStyle="1" w:styleId="MarginIcons">
    <w:name w:val="Margin Icons"/>
    <w:basedOn w:val="BodyText"/>
    <w:rsid w:val="00DE2E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2ED4"/>
    <w:rPr>
      <w:rFonts w:ascii="Courier New" w:hAnsi="Courier New"/>
    </w:rPr>
  </w:style>
  <w:style w:type="paragraph" w:customStyle="1" w:styleId="NoteBullet">
    <w:name w:val="Note Bullet"/>
    <w:basedOn w:val="Note"/>
    <w:rsid w:val="00DE2ED4"/>
    <w:pPr>
      <w:tabs>
        <w:tab w:val="clear" w:pos="680"/>
      </w:tabs>
      <w:spacing w:before="60" w:after="60"/>
    </w:pPr>
  </w:style>
  <w:style w:type="paragraph" w:customStyle="1" w:styleId="SubHeading2">
    <w:name w:val="SubHeading2"/>
    <w:basedOn w:val="HeadingBase"/>
    <w:rsid w:val="00DE2ED4"/>
    <w:pPr>
      <w:spacing w:before="240" w:after="60"/>
    </w:pPr>
    <w:rPr>
      <w:sz w:val="20"/>
    </w:rPr>
  </w:style>
  <w:style w:type="paragraph" w:customStyle="1" w:styleId="SubHeading1">
    <w:name w:val="SubHeading1"/>
    <w:basedOn w:val="HeadingBase"/>
    <w:rsid w:val="00DE2ED4"/>
    <w:pPr>
      <w:spacing w:before="240" w:after="60"/>
    </w:pPr>
    <w:rPr>
      <w:color w:val="918585"/>
      <w:sz w:val="22"/>
    </w:rPr>
  </w:style>
  <w:style w:type="paragraph" w:customStyle="1" w:styleId="SideHeading">
    <w:name w:val="Side Heading"/>
    <w:basedOn w:val="HeadingBase"/>
    <w:rsid w:val="00DE2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ED4"/>
    <w:pPr>
      <w:tabs>
        <w:tab w:val="num" w:pos="360"/>
      </w:tabs>
    </w:pPr>
  </w:style>
  <w:style w:type="paragraph" w:styleId="PlainText">
    <w:name w:val="Plain Text"/>
    <w:basedOn w:val="Normal"/>
    <w:link w:val="PlainTextChar"/>
    <w:rsid w:val="00DE2ED4"/>
    <w:rPr>
      <w:sz w:val="20"/>
    </w:rPr>
  </w:style>
  <w:style w:type="character" w:customStyle="1" w:styleId="PlainTextChar">
    <w:name w:val="Plain Text Char"/>
    <w:basedOn w:val="DefaultParagraphFont"/>
    <w:link w:val="PlainText"/>
    <w:rsid w:val="00DE2ED4"/>
    <w:rPr>
      <w:rFonts w:ascii="Courier New" w:eastAsia="Times New Roman" w:hAnsi="Courier New" w:cs="Times New Roman"/>
      <w:sz w:val="20"/>
      <w:szCs w:val="20"/>
      <w:lang w:val="en-US" w:eastAsia="en-US"/>
    </w:rPr>
  </w:style>
  <w:style w:type="character" w:customStyle="1" w:styleId="MenuOption">
    <w:name w:val="Menu Option"/>
    <w:rsid w:val="00DE2ED4"/>
    <w:rPr>
      <w:b/>
      <w:smallCaps/>
    </w:rPr>
  </w:style>
  <w:style w:type="paragraph" w:customStyle="1" w:styleId="TableListNumber">
    <w:name w:val="Table List Number"/>
    <w:basedOn w:val="ListNumber"/>
    <w:rsid w:val="00DE2ED4"/>
    <w:pPr>
      <w:numPr>
        <w:numId w:val="0"/>
      </w:numPr>
    </w:pPr>
  </w:style>
  <w:style w:type="paragraph" w:styleId="TOC4">
    <w:name w:val="toc 4"/>
    <w:basedOn w:val="TOCBase"/>
    <w:next w:val="Normal"/>
    <w:semiHidden/>
    <w:rsid w:val="00DE2ED4"/>
    <w:pPr>
      <w:tabs>
        <w:tab w:val="right" w:leader="dot" w:pos="9071"/>
      </w:tabs>
      <w:ind w:left="1701"/>
    </w:pPr>
  </w:style>
  <w:style w:type="paragraph" w:customStyle="1" w:styleId="ListAlpha">
    <w:name w:val="List Alpha"/>
    <w:basedOn w:val="List"/>
    <w:rsid w:val="00DE2ED4"/>
    <w:pPr>
      <w:numPr>
        <w:numId w:val="8"/>
      </w:numPr>
    </w:pPr>
  </w:style>
  <w:style w:type="paragraph" w:customStyle="1" w:styleId="ListAlpha2">
    <w:name w:val="List Alpha 2"/>
    <w:basedOn w:val="List2"/>
    <w:rsid w:val="00DE2ED4"/>
    <w:pPr>
      <w:numPr>
        <w:numId w:val="7"/>
      </w:numPr>
    </w:pPr>
  </w:style>
  <w:style w:type="paragraph" w:styleId="List3">
    <w:name w:val="List 3"/>
    <w:basedOn w:val="BodyText"/>
    <w:rsid w:val="00DE2ED4"/>
    <w:pPr>
      <w:tabs>
        <w:tab w:val="left" w:pos="1021"/>
      </w:tabs>
      <w:spacing w:before="60" w:after="60"/>
      <w:ind w:left="1020" w:hanging="340"/>
    </w:pPr>
  </w:style>
  <w:style w:type="paragraph" w:styleId="List4">
    <w:name w:val="List 4"/>
    <w:basedOn w:val="BodyText"/>
    <w:rsid w:val="00DE2ED4"/>
    <w:pPr>
      <w:tabs>
        <w:tab w:val="left" w:pos="1361"/>
      </w:tabs>
      <w:spacing w:before="60" w:after="60"/>
      <w:ind w:left="1361" w:hanging="340"/>
    </w:pPr>
  </w:style>
  <w:style w:type="paragraph" w:styleId="List5">
    <w:name w:val="List 5"/>
    <w:basedOn w:val="BodyText"/>
    <w:rsid w:val="00DE2ED4"/>
    <w:pPr>
      <w:tabs>
        <w:tab w:val="left" w:pos="1701"/>
      </w:tabs>
      <w:spacing w:before="60" w:after="60"/>
      <w:ind w:left="1701" w:hanging="340"/>
    </w:pPr>
  </w:style>
  <w:style w:type="paragraph" w:styleId="ListBullet3">
    <w:name w:val="List Bullet 3"/>
    <w:basedOn w:val="List3"/>
    <w:rsid w:val="00DE2ED4"/>
    <w:pPr>
      <w:numPr>
        <w:numId w:val="14"/>
      </w:numPr>
      <w:tabs>
        <w:tab w:val="clear" w:pos="1021"/>
      </w:tabs>
      <w:ind w:left="1037" w:hanging="357"/>
    </w:pPr>
  </w:style>
  <w:style w:type="paragraph" w:styleId="ListBullet4">
    <w:name w:val="List Bullet 4"/>
    <w:basedOn w:val="List4"/>
    <w:rsid w:val="00DE2ED4"/>
    <w:pPr>
      <w:numPr>
        <w:numId w:val="2"/>
      </w:numPr>
    </w:pPr>
  </w:style>
  <w:style w:type="paragraph" w:styleId="ListBullet5">
    <w:name w:val="List Bullet 5"/>
    <w:basedOn w:val="List5"/>
    <w:rsid w:val="00DE2ED4"/>
    <w:pPr>
      <w:numPr>
        <w:numId w:val="3"/>
      </w:numPr>
    </w:pPr>
  </w:style>
  <w:style w:type="paragraph" w:styleId="ListContinue2">
    <w:name w:val="List Continue 2"/>
    <w:basedOn w:val="List2"/>
    <w:rsid w:val="00DE2ED4"/>
    <w:pPr>
      <w:ind w:firstLine="0"/>
    </w:pPr>
  </w:style>
  <w:style w:type="paragraph" w:styleId="ListContinue3">
    <w:name w:val="List Continue 3"/>
    <w:basedOn w:val="List3"/>
    <w:rsid w:val="00DE2ED4"/>
    <w:pPr>
      <w:ind w:left="1021" w:firstLine="0"/>
    </w:pPr>
  </w:style>
  <w:style w:type="paragraph" w:styleId="ListContinue4">
    <w:name w:val="List Continue 4"/>
    <w:basedOn w:val="List4"/>
    <w:rsid w:val="00DE2ED4"/>
    <w:pPr>
      <w:ind w:firstLine="0"/>
    </w:pPr>
  </w:style>
  <w:style w:type="paragraph" w:styleId="ListContinue5">
    <w:name w:val="List Continue 5"/>
    <w:basedOn w:val="List5"/>
    <w:rsid w:val="00DE2ED4"/>
    <w:pPr>
      <w:ind w:firstLine="0"/>
    </w:pPr>
  </w:style>
  <w:style w:type="paragraph" w:styleId="ListNumber3">
    <w:name w:val="List Number 3"/>
    <w:basedOn w:val="List3"/>
    <w:rsid w:val="00DE2ED4"/>
    <w:pPr>
      <w:numPr>
        <w:numId w:val="4"/>
      </w:numPr>
    </w:pPr>
  </w:style>
  <w:style w:type="paragraph" w:styleId="ListNumber4">
    <w:name w:val="List Number 4"/>
    <w:basedOn w:val="List4"/>
    <w:rsid w:val="00DE2ED4"/>
    <w:pPr>
      <w:numPr>
        <w:numId w:val="5"/>
      </w:numPr>
    </w:pPr>
  </w:style>
  <w:style w:type="paragraph" w:styleId="ListNumber5">
    <w:name w:val="List Number 5"/>
    <w:basedOn w:val="List5"/>
    <w:rsid w:val="00DE2ED4"/>
    <w:pPr>
      <w:numPr>
        <w:numId w:val="6"/>
      </w:numPr>
    </w:pPr>
  </w:style>
  <w:style w:type="paragraph" w:styleId="BlockText">
    <w:name w:val="Block Text"/>
    <w:basedOn w:val="Normal"/>
    <w:rsid w:val="00DE2ED4"/>
    <w:pPr>
      <w:spacing w:after="120"/>
      <w:ind w:left="1440" w:right="1440"/>
    </w:pPr>
  </w:style>
  <w:style w:type="character" w:customStyle="1" w:styleId="Subscript">
    <w:name w:val="Subscript"/>
    <w:rsid w:val="00DE2ED4"/>
    <w:rPr>
      <w:sz w:val="16"/>
      <w:vertAlign w:val="subscript"/>
    </w:rPr>
  </w:style>
  <w:style w:type="character" w:customStyle="1" w:styleId="Superscript">
    <w:name w:val="Superscript"/>
    <w:rsid w:val="00DE2ED4"/>
    <w:rPr>
      <w:sz w:val="16"/>
      <w:vertAlign w:val="superscript"/>
    </w:rPr>
  </w:style>
  <w:style w:type="character" w:customStyle="1" w:styleId="Symbols">
    <w:name w:val="Symbols"/>
    <w:rsid w:val="00DE2ED4"/>
    <w:rPr>
      <w:rFonts w:ascii="Symbol" w:hAnsi="Symbol"/>
    </w:rPr>
  </w:style>
  <w:style w:type="character" w:customStyle="1" w:styleId="MenuOptions">
    <w:name w:val="Menu Options"/>
    <w:rsid w:val="00DE2ED4"/>
    <w:rPr>
      <w:rFonts w:ascii="Arial Narrow" w:hAnsi="Arial Narrow"/>
      <w:smallCaps/>
    </w:rPr>
  </w:style>
  <w:style w:type="character" w:customStyle="1" w:styleId="Buttons">
    <w:name w:val="Buttons"/>
    <w:rsid w:val="00DE2ED4"/>
    <w:rPr>
      <w:b/>
    </w:rPr>
  </w:style>
  <w:style w:type="character" w:customStyle="1" w:styleId="Underlined">
    <w:name w:val="Underlined"/>
    <w:rsid w:val="00DE2ED4"/>
    <w:rPr>
      <w:u w:val="single"/>
    </w:rPr>
  </w:style>
  <w:style w:type="paragraph" w:customStyle="1" w:styleId="TableBodyTextRight">
    <w:name w:val="Table Body Text Right"/>
    <w:basedOn w:val="TableBodyText"/>
    <w:rsid w:val="00DE2ED4"/>
    <w:pPr>
      <w:widowControl w:val="0"/>
      <w:autoSpaceDE w:val="0"/>
      <w:autoSpaceDN w:val="0"/>
      <w:adjustRightInd w:val="0"/>
      <w:jc w:val="right"/>
    </w:pPr>
    <w:rPr>
      <w:rFonts w:cs="Arial"/>
      <w:szCs w:val="18"/>
    </w:rPr>
  </w:style>
  <w:style w:type="paragraph" w:customStyle="1" w:styleId="CopyrightText">
    <w:name w:val="Copyright Text"/>
    <w:basedOn w:val="BodyText"/>
    <w:rsid w:val="00DE2ED4"/>
    <w:rPr>
      <w:sz w:val="18"/>
    </w:rPr>
  </w:style>
  <w:style w:type="paragraph" w:customStyle="1" w:styleId="BodySmallRight">
    <w:name w:val="Body Small Right"/>
    <w:basedOn w:val="BodyTextRight"/>
    <w:rsid w:val="00DE2ED4"/>
    <w:rPr>
      <w:sz w:val="18"/>
      <w:szCs w:val="18"/>
    </w:rPr>
  </w:style>
  <w:style w:type="paragraph" w:customStyle="1" w:styleId="MarginEdition">
    <w:name w:val="Margin Edition"/>
    <w:basedOn w:val="MarginNote"/>
    <w:rsid w:val="00DE2ED4"/>
    <w:pPr>
      <w:spacing w:before="0" w:after="0"/>
    </w:pPr>
    <w:rPr>
      <w:rFonts w:ascii="Times New Roman" w:hAnsi="Times New Roman"/>
      <w:color w:val="999999"/>
    </w:rPr>
  </w:style>
  <w:style w:type="paragraph" w:customStyle="1" w:styleId="Spacer">
    <w:name w:val="Spacer"/>
    <w:basedOn w:val="Normal"/>
    <w:rsid w:val="00DE2ED4"/>
    <w:rPr>
      <w:sz w:val="2"/>
      <w:szCs w:val="2"/>
    </w:rPr>
  </w:style>
  <w:style w:type="character" w:customStyle="1" w:styleId="Small">
    <w:name w:val="Small"/>
    <w:rsid w:val="00DE2ED4"/>
    <w:rPr>
      <w:sz w:val="16"/>
    </w:rPr>
  </w:style>
  <w:style w:type="paragraph" w:customStyle="1" w:styleId="WideTable">
    <w:name w:val="Wide Table"/>
    <w:basedOn w:val="Normal"/>
    <w:rsid w:val="00DE2ED4"/>
    <w:pPr>
      <w:ind w:left="-1418"/>
    </w:pPr>
    <w:rPr>
      <w:sz w:val="2"/>
      <w:szCs w:val="2"/>
    </w:rPr>
  </w:style>
  <w:style w:type="character" w:styleId="PageNumber">
    <w:name w:val="page number"/>
    <w:rsid w:val="00DE2ED4"/>
  </w:style>
  <w:style w:type="paragraph" w:styleId="Quote">
    <w:name w:val="Quote"/>
    <w:basedOn w:val="Heading1"/>
    <w:link w:val="QuoteChar"/>
    <w:qFormat/>
    <w:rsid w:val="00DE2ED4"/>
    <w:rPr>
      <w:b w:val="0"/>
      <w:sz w:val="72"/>
      <w:szCs w:val="72"/>
      <w:lang w:val="en-NZ"/>
    </w:rPr>
  </w:style>
  <w:style w:type="character" w:customStyle="1" w:styleId="QuoteChar">
    <w:name w:val="Quote Char"/>
    <w:link w:val="Quote"/>
    <w:rsid w:val="00DE2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ED4"/>
    <w:pPr>
      <w:pageBreakBefore/>
    </w:pPr>
  </w:style>
  <w:style w:type="paragraph" w:customStyle="1" w:styleId="Border">
    <w:name w:val="Border"/>
    <w:basedOn w:val="Normal"/>
    <w:qFormat/>
    <w:rsid w:val="00DE2ED4"/>
    <w:pPr>
      <w:pBdr>
        <w:top w:val="single" w:sz="18" w:space="1" w:color="auto"/>
      </w:pBdr>
    </w:pPr>
    <w:rPr>
      <w:rFonts w:ascii="Times New Roman" w:hAnsi="Times New Roman"/>
      <w:color w:val="FFFFFF"/>
      <w:sz w:val="2"/>
    </w:rPr>
  </w:style>
  <w:style w:type="character" w:styleId="IntenseEmphasis">
    <w:name w:val="Intense Emphasis"/>
    <w:uiPriority w:val="21"/>
    <w:qFormat/>
    <w:rsid w:val="00DE2ED4"/>
    <w:rPr>
      <w:b/>
      <w:bCs/>
      <w:i/>
      <w:iCs/>
      <w:color w:val="auto"/>
    </w:rPr>
  </w:style>
  <w:style w:type="paragraph" w:styleId="IntenseQuote">
    <w:name w:val="Intense Quote"/>
    <w:basedOn w:val="Normal"/>
    <w:next w:val="Normal"/>
    <w:link w:val="IntenseQuoteChar"/>
    <w:uiPriority w:val="30"/>
    <w:qFormat/>
    <w:rsid w:val="00DE2E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2ED4"/>
    <w:rPr>
      <w:rFonts w:ascii="Courier New" w:eastAsia="Times New Roman" w:hAnsi="Courier New" w:cs="Times New Roman"/>
      <w:b/>
      <w:bCs/>
      <w:i/>
      <w:iCs/>
      <w:szCs w:val="20"/>
      <w:lang w:val="en-US" w:eastAsia="en-US"/>
    </w:rPr>
  </w:style>
  <w:style w:type="character" w:styleId="SubtleReference">
    <w:name w:val="Subtle Reference"/>
    <w:uiPriority w:val="31"/>
    <w:qFormat/>
    <w:rsid w:val="00DE2ED4"/>
    <w:rPr>
      <w:smallCaps/>
      <w:color w:val="auto"/>
      <w:u w:val="single"/>
    </w:rPr>
  </w:style>
  <w:style w:type="character" w:styleId="IntenseReference">
    <w:name w:val="Intense Reference"/>
    <w:uiPriority w:val="32"/>
    <w:qFormat/>
    <w:rsid w:val="00DE2ED4"/>
    <w:rPr>
      <w:b/>
      <w:bCs/>
      <w:smallCaps/>
      <w:color w:val="auto"/>
      <w:spacing w:val="5"/>
      <w:u w:val="single"/>
    </w:rPr>
  </w:style>
  <w:style w:type="paragraph" w:customStyle="1" w:styleId="2ColumnHeading">
    <w:name w:val="2Column Heading"/>
    <w:basedOn w:val="BodyText"/>
    <w:qFormat/>
    <w:rsid w:val="00DE2ED4"/>
    <w:pPr>
      <w:spacing w:after="60"/>
      <w:ind w:left="-2268"/>
    </w:pPr>
    <w:rPr>
      <w:b/>
    </w:rPr>
  </w:style>
  <w:style w:type="paragraph" w:customStyle="1" w:styleId="Heading1TOC">
    <w:name w:val="Heading1 TOC"/>
    <w:basedOn w:val="Normal"/>
    <w:qFormat/>
    <w:rsid w:val="00DE2ED4"/>
    <w:pPr>
      <w:spacing w:before="240" w:after="120"/>
    </w:pPr>
    <w:rPr>
      <w:rFonts w:ascii="Times New Roman" w:hAnsi="Times New Roman"/>
      <w:b/>
      <w:sz w:val="32"/>
    </w:rPr>
  </w:style>
  <w:style w:type="paragraph" w:customStyle="1" w:styleId="Heading2TOC">
    <w:name w:val="Heading2 TOC"/>
    <w:basedOn w:val="Normal"/>
    <w:qFormat/>
    <w:rsid w:val="00DE2ED4"/>
    <w:pPr>
      <w:spacing w:before="240" w:after="60"/>
    </w:pPr>
    <w:rPr>
      <w:rFonts w:ascii="Times New Roman" w:hAnsi="Times New Roman"/>
      <w:b/>
      <w:sz w:val="28"/>
    </w:rPr>
  </w:style>
  <w:style w:type="character" w:customStyle="1" w:styleId="Underline">
    <w:name w:val="Underline"/>
    <w:qFormat/>
    <w:rsid w:val="00DE2ED4"/>
    <w:rPr>
      <w:u w:val="single"/>
    </w:rPr>
  </w:style>
  <w:style w:type="character" w:customStyle="1" w:styleId="BoldandItalics">
    <w:name w:val="Bold and Italics"/>
    <w:qFormat/>
    <w:rsid w:val="00DE2ED4"/>
    <w:rPr>
      <w:b/>
      <w:i/>
      <w:u w:val="none"/>
    </w:rPr>
  </w:style>
  <w:style w:type="paragraph" w:styleId="BalloonText">
    <w:name w:val="Balloon Text"/>
    <w:basedOn w:val="Normal"/>
    <w:link w:val="BalloonTextChar"/>
    <w:rsid w:val="00DE2ED4"/>
    <w:rPr>
      <w:rFonts w:ascii="Tahoma" w:hAnsi="Tahoma" w:cs="Tahoma"/>
      <w:sz w:val="16"/>
      <w:szCs w:val="16"/>
    </w:rPr>
  </w:style>
  <w:style w:type="character" w:customStyle="1" w:styleId="BalloonTextChar">
    <w:name w:val="Balloon Text Char"/>
    <w:link w:val="BalloonText"/>
    <w:rsid w:val="00DE2E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2E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2E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1237</Words>
  <Characters>7806</Characters>
  <Application>Microsoft Office Word</Application>
  <DocSecurity>0</DocSecurity>
  <Lines>278</Lines>
  <Paragraphs>123</Paragraphs>
  <ScaleCrop>false</ScaleCrop>
  <Company>Author-it Software Corporation Ltd.</Company>
  <LinksUpToDate>false</LinksUpToDate>
  <CharactersWithSpaces>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MEM18034B Perform engine top-end overhaul</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2012-05-27T01:53:00Z</dcterms:created>
  <dcterms:modified xsi:type="dcterms:W3CDTF">2012-05-27T01:53:00Z</dcterms:modified>
</cp:coreProperties>
</file>