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253" w:rsidP="00C60253">
      <w:pPr>
        <w:pStyle w:val="Title"/>
      </w:pPr>
      <w:r>
        <w:fldChar w:fldCharType="begin"/>
      </w:r>
      <w:r>
        <w:instrText xml:space="preserve"> TITLE   \* MERGEFORMAT </w:instrText>
      </w:r>
      <w:r>
        <w:fldChar w:fldCharType="separate"/>
      </w:r>
      <w:r>
        <w:t>MEM18033B Perform engine bottom-end overhaul</w:t>
      </w:r>
      <w:r>
        <w:fldChar w:fldCharType="end"/>
      </w:r>
    </w:p>
    <w:p w:rsidR="00C60253" w:rsidP="00C60253">
      <w:pPr>
        <w:pStyle w:val="Version"/>
        <w:sectPr w:rsidSect="00406C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CCD" w:rsidP="00406CCD">
      <w:pPr>
        <w:pStyle w:val="SuperHeading"/>
      </w:pPr>
      <w:r w:rsidRPr="00406CCD">
        <w:t>MEM18033B Perform engine bottom-end overhaul</w:t>
      </w:r>
    </w:p>
    <w:p w:rsidR="00000000" w:rsidRPr="00406CCD" w:rsidP="00406CCD">
      <w:pPr>
        <w:pStyle w:val="Heading1"/>
      </w:pPr>
      <w:bookmarkStart w:id="1" w:name="O_272255"/>
      <w:bookmarkEnd w:id="1"/>
      <w:r w:rsidRPr="00406CCD">
        <w:t>Modification History</w:t>
      </w:r>
    </w:p>
    <w:p w:rsidR="00000000" w:rsidRPr="00406CCD" w:rsidP="00406CCD">
      <w:pPr>
        <w:pStyle w:val="BodyText"/>
      </w:pPr>
      <w:r w:rsidRPr="00406CCD">
        <w:t>Not Applicable</w:t>
      </w:r>
    </w:p>
    <w:p w:rsidR="00000000" w:rsidRPr="00406CCD" w:rsidP="00406CCD">
      <w:pPr>
        <w:pStyle w:val="AllowPageBreak"/>
      </w:pPr>
    </w:p>
    <w:p w:rsidR="00000000" w:rsidRPr="00406CCD" w:rsidP="00406CCD">
      <w:pPr>
        <w:pStyle w:val="Heading1"/>
      </w:pPr>
      <w:bookmarkStart w:id="2" w:name="O_212223"/>
      <w:bookmarkEnd w:id="2"/>
      <w:r w:rsidRPr="00406CCD">
        <w:t>Unit Descriptor</w:t>
      </w:r>
    </w:p>
    <w:tbl>
      <w:tblPr>
        <w:tblW w:w="0" w:type="auto"/>
        <w:tblLayout w:type="fixed"/>
        <w:tblCellMar>
          <w:left w:w="62" w:type="dxa"/>
          <w:right w:w="62" w:type="dxa"/>
        </w:tblCellMar>
        <w:tblLook w:val="0000"/>
      </w:tblPr>
      <w:tblGrid>
        <w:gridCol w:w="2664"/>
        <w:gridCol w:w="5858"/>
      </w:tblGrid>
      <w:tr w:rsidTr="00C60253">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r w:rsidRPr="00406CCD">
              <w:t>This unit covers dismantling, cleaning and assessing parts, recording and interpreting measurements, and r</w:t>
            </w:r>
            <w:r w:rsidRPr="00406CCD">
              <w:t>econditioning components.</w:t>
            </w:r>
          </w:p>
        </w:tc>
      </w:tr>
    </w:tbl>
    <w:p w:rsidR="00C60253" w:rsidP="00406CCD">
      <w:pPr>
        <w:pStyle w:val="BodyText"/>
      </w:pPr>
    </w:p>
    <w:p w:rsidR="00C60253" w:rsidP="00406CCD">
      <w:pPr>
        <w:pStyle w:val="BodyText"/>
      </w:pPr>
    </w:p>
    <w:p w:rsidR="00000000" w:rsidRPr="00406CCD" w:rsidP="00406CCD">
      <w:pPr>
        <w:pStyle w:val="Heading1"/>
      </w:pPr>
      <w:bookmarkStart w:id="3" w:name="O_212227"/>
      <w:bookmarkEnd w:id="3"/>
      <w:r w:rsidRPr="00406CCD">
        <w:t>Application of the Unit</w:t>
      </w:r>
    </w:p>
    <w:tbl>
      <w:tblPr>
        <w:tblW w:w="0" w:type="auto"/>
        <w:tblLayout w:type="fixed"/>
        <w:tblCellMar>
          <w:left w:w="62" w:type="dxa"/>
          <w:right w:w="62" w:type="dxa"/>
        </w:tblCellMar>
        <w:tblLook w:val="0000"/>
      </w:tblPr>
      <w:tblGrid>
        <w:gridCol w:w="2745"/>
        <w:gridCol w:w="5777"/>
      </w:tblGrid>
      <w:tr w:rsidTr="00C6025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r w:rsidRPr="00406CCD">
              <w:t>This unit refers to work typically undertaken in a bottom-end engine overhaul.</w:t>
            </w:r>
          </w:p>
          <w:p w:rsidR="00000000" w:rsidRPr="00406CCD" w:rsidP="00406CCD">
            <w:pPr>
              <w:pStyle w:val="BodyText"/>
            </w:pPr>
            <w:r w:rsidRPr="00406CCD">
              <w:t>It includes cylinder honing using hand held power tools, and replacement of bearings, piston rings and similar activities but not major machining such as crankshaft grinding, cylinder boring and tunnel boring.</w:t>
            </w:r>
          </w:p>
          <w:p w:rsidR="00000000" w:rsidRPr="00406CCD" w:rsidP="00406CCD">
            <w:pPr>
              <w:pStyle w:val="BodyText"/>
            </w:pPr>
          </w:p>
          <w:p w:rsidR="00000000" w:rsidRPr="00406CCD" w:rsidP="00406CCD">
            <w:pPr>
              <w:pStyle w:val="BodyText"/>
            </w:pPr>
            <w:r w:rsidRPr="00406CCD">
              <w:rPr>
                <w:rStyle w:val="SpecialBold"/>
              </w:rPr>
              <w:t>Band</w:t>
            </w:r>
            <w:r w:rsidRPr="00406CCD">
              <w:t>:</w:t>
            </w:r>
            <w:r w:rsidRPr="00406CCD">
              <w:tab/>
            </w:r>
            <w:r w:rsidRPr="00406CCD">
              <w:rPr>
                <w:rStyle w:val="SpecialBold"/>
              </w:rPr>
              <w:t>A</w:t>
            </w:r>
          </w:p>
          <w:p w:rsidR="00000000" w:rsidRPr="00406CCD" w:rsidP="00406CCD">
            <w:pPr>
              <w:pStyle w:val="BodyText"/>
            </w:pPr>
            <w:r w:rsidRPr="00406CCD">
              <w:rPr>
                <w:rStyle w:val="SpecialBold"/>
              </w:rPr>
              <w:t>Unit Weight</w:t>
            </w:r>
            <w:r w:rsidRPr="00406CCD">
              <w:t>:</w:t>
            </w:r>
            <w:r w:rsidRPr="00406CCD">
              <w:tab/>
            </w:r>
            <w:r w:rsidRPr="00406CCD">
              <w:rPr>
                <w:rStyle w:val="SpecialBold"/>
              </w:rPr>
              <w:t>4</w:t>
            </w:r>
          </w:p>
        </w:tc>
      </w:tr>
    </w:tbl>
    <w:p w:rsidR="00C60253" w:rsidP="00406CCD">
      <w:pPr>
        <w:pStyle w:val="BodyText"/>
      </w:pPr>
    </w:p>
    <w:p w:rsidR="00C60253" w:rsidP="00406CCD">
      <w:pPr>
        <w:pStyle w:val="BodyText"/>
      </w:pPr>
    </w:p>
    <w:p w:rsidR="00000000" w:rsidRPr="00406CCD" w:rsidP="00406CCD">
      <w:pPr>
        <w:pStyle w:val="Heading1"/>
      </w:pPr>
      <w:bookmarkStart w:id="4" w:name="O_280515"/>
      <w:bookmarkEnd w:id="4"/>
      <w:r w:rsidRPr="00406CCD">
        <w:t>Licensing/Regulatory Information</w:t>
      </w:r>
    </w:p>
    <w:p w:rsidR="00000000" w:rsidRPr="00406CCD" w:rsidP="00406CCD">
      <w:pPr>
        <w:pStyle w:val="BodyText"/>
      </w:pPr>
      <w:r w:rsidRPr="00406CCD">
        <w:t>Not Applicable</w:t>
      </w:r>
    </w:p>
    <w:p w:rsidR="00000000" w:rsidRPr="00406CCD" w:rsidP="00406CCD">
      <w:pPr>
        <w:pStyle w:val="AllowPageBreak"/>
      </w:pPr>
    </w:p>
    <w:p w:rsidR="00000000" w:rsidRPr="00406CCD" w:rsidP="00406CCD">
      <w:pPr>
        <w:pStyle w:val="Heading1"/>
      </w:pPr>
      <w:bookmarkStart w:id="5" w:name="O_212225"/>
      <w:bookmarkEnd w:id="5"/>
      <w:r w:rsidRPr="00406CCD">
        <w:t>Pre-Requisites</w:t>
      </w:r>
    </w:p>
    <w:tbl>
      <w:tblPr>
        <w:tblW w:w="0" w:type="auto"/>
        <w:tblLayout w:type="fixed"/>
        <w:tblCellMar>
          <w:left w:w="62" w:type="dxa"/>
          <w:right w:w="62" w:type="dxa"/>
        </w:tblCellMar>
        <w:tblLook w:val="0000"/>
      </w:tblPr>
      <w:tblGrid>
        <w:gridCol w:w="2706"/>
        <w:gridCol w:w="2207"/>
        <w:gridCol w:w="3609"/>
      </w:tblGrid>
      <w:tr w:rsidTr="00C60253">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p>
        </w:tc>
      </w:tr>
      <w:tr w:rsidTr="00C6025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Path 1</w:t>
            </w:r>
            <w:r w:rsidRPr="00406CCD">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Interpret technical drawing</w:t>
            </w:r>
          </w:p>
        </w:tc>
      </w:tr>
      <w:tr w:rsidTr="00C6025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Perform engineering measurements</w:t>
            </w:r>
          </w:p>
        </w:tc>
      </w:tr>
      <w:tr w:rsidTr="00C6025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Use hand tools</w:t>
            </w:r>
          </w:p>
        </w:tc>
      </w:tr>
      <w:tr w:rsidTr="00C6025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 xml:space="preserve">Use </w:t>
            </w:r>
            <w:r w:rsidRPr="00406CCD">
              <w:t>power tools/hand held operations</w:t>
            </w:r>
          </w:p>
        </w:tc>
      </w:tr>
      <w:tr w:rsidTr="00C60253">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r w:rsidRPr="00406CCD">
              <w:t>Dismantle, replace and assemble engineering components</w:t>
            </w:r>
          </w:p>
        </w:tc>
      </w:tr>
    </w:tbl>
    <w:p w:rsidR="00C60253" w:rsidP="00406CCD">
      <w:pPr>
        <w:pStyle w:val="BodyText"/>
      </w:pPr>
    </w:p>
    <w:p w:rsidR="00C60253" w:rsidP="00406CCD">
      <w:pPr>
        <w:pStyle w:val="BodyText"/>
      </w:pPr>
    </w:p>
    <w:p w:rsidR="00000000" w:rsidRPr="00406CCD" w:rsidP="00406CCD">
      <w:pPr>
        <w:pStyle w:val="Heading1"/>
      </w:pPr>
      <w:bookmarkStart w:id="6" w:name="O_212224"/>
      <w:bookmarkEnd w:id="6"/>
      <w:r w:rsidRPr="00406CCD">
        <w:t>Employability Skills Information</w:t>
      </w:r>
    </w:p>
    <w:tbl>
      <w:tblPr>
        <w:tblW w:w="0" w:type="auto"/>
        <w:tblLayout w:type="fixed"/>
        <w:tblCellMar>
          <w:left w:w="62" w:type="dxa"/>
          <w:right w:w="62" w:type="dxa"/>
        </w:tblCellMar>
        <w:tblLook w:val="0000"/>
      </w:tblPr>
      <w:tblGrid>
        <w:gridCol w:w="2802"/>
        <w:gridCol w:w="5720"/>
      </w:tblGrid>
      <w:tr w:rsidTr="00C602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r w:rsidRPr="00406CCD">
              <w:t>This unit contains employability skills.</w:t>
            </w:r>
          </w:p>
        </w:tc>
      </w:tr>
    </w:tbl>
    <w:p w:rsidR="00C60253" w:rsidP="00406CCD">
      <w:pPr>
        <w:pStyle w:val="BodyText"/>
      </w:pPr>
    </w:p>
    <w:p w:rsidR="00C60253" w:rsidP="00406CCD">
      <w:pPr>
        <w:pStyle w:val="BodyText"/>
      </w:pPr>
    </w:p>
    <w:p w:rsidR="00000000" w:rsidRPr="00406CCD" w:rsidP="00406CCD">
      <w:pPr>
        <w:pStyle w:val="Heading1"/>
      </w:pPr>
      <w:bookmarkStart w:id="7" w:name="O_290301"/>
      <w:bookmarkEnd w:id="7"/>
      <w:r w:rsidRPr="00406CCD">
        <w:t>Elements and Performance Criteria Pre-Content</w:t>
      </w:r>
    </w:p>
    <w:tbl>
      <w:tblPr>
        <w:tblW w:w="0" w:type="auto"/>
        <w:tblLayout w:type="fixed"/>
        <w:tblCellMar>
          <w:left w:w="62" w:type="dxa"/>
          <w:right w:w="62" w:type="dxa"/>
        </w:tblCellMar>
        <w:tblLook w:val="0000"/>
      </w:tblPr>
      <w:tblGrid>
        <w:gridCol w:w="2584"/>
        <w:gridCol w:w="5938"/>
      </w:tblGrid>
      <w:tr w:rsidTr="00C6025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r w:rsidRPr="00406CCD">
              <w:t>Performance criteria describe the performance needed to demonstrate achievement of the element. Where bold italicised text is used, further info</w:t>
            </w:r>
            <w:r w:rsidRPr="00406CCD">
              <w:t>rmation is detailed in the required skills and knowledge section and the range statement. Assessment of performance is to be consistent with the evidence guide.</w:t>
            </w:r>
          </w:p>
        </w:tc>
      </w:tr>
    </w:tbl>
    <w:p w:rsidR="00000000" w:rsidRPr="00406CCD" w:rsidP="00406CCD">
      <w:pPr>
        <w:pStyle w:val="BodyText"/>
      </w:pPr>
    </w:p>
    <w:p w:rsidR="00000000" w:rsidRPr="00406CCD" w:rsidP="00406CCD">
      <w:pPr>
        <w:pStyle w:val="AllowPageBreak"/>
      </w:pPr>
    </w:p>
    <w:p w:rsidR="00000000" w:rsidRPr="00406CCD" w:rsidP="00406CCD">
      <w:pPr>
        <w:pStyle w:val="Heading1"/>
      </w:pPr>
      <w:bookmarkStart w:id="8" w:name="O_236968"/>
      <w:bookmarkEnd w:id="8"/>
      <w:r w:rsidRPr="00406CCD">
        <w:t>Elements and Performance Criteria</w:t>
      </w:r>
    </w:p>
    <w:tbl>
      <w:tblPr>
        <w:tblW w:w="0" w:type="auto"/>
        <w:tblLayout w:type="fixed"/>
        <w:tblCellMar>
          <w:left w:w="62" w:type="dxa"/>
          <w:right w:w="62" w:type="dxa"/>
        </w:tblCellMar>
        <w:tblLook w:val="0000"/>
      </w:tblPr>
      <w:tblGrid>
        <w:gridCol w:w="2584"/>
        <w:gridCol w:w="5938"/>
      </w:tblGrid>
      <w:tr w:rsidTr="00C60253">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r w:rsidRPr="00406CCD">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PERFORMANCE CRITERIA</w:t>
            </w:r>
          </w:p>
        </w:tc>
      </w:tr>
      <w:tr w:rsidTr="00C6025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List"/>
              <w:rPr>
                <w:lang w:val="en-NZ"/>
              </w:rPr>
            </w:pPr>
            <w:r w:rsidRPr="00406CCD">
              <w:t>1.</w:t>
            </w:r>
            <w:r w:rsidRPr="00406CCD">
              <w:tab/>
            </w:r>
            <w:r w:rsidRPr="00406CCD">
              <w:t xml:space="preserve">Dismantle, clean and assess parts </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List2"/>
            </w:pPr>
            <w:r w:rsidRPr="00406CCD">
              <w:t>1.1.</w:t>
            </w:r>
            <w:r w:rsidRPr="00406CCD">
              <w:tab/>
              <w:t>Characteristics of surface finishes and wear patterns associated with crankshaft and piston assemblies are understood and parts are correctly assessed for reuse or replacement.</w:t>
            </w:r>
          </w:p>
          <w:p w:rsidR="00000000" w:rsidRPr="00406CCD" w:rsidP="00406CCD">
            <w:pPr>
              <w:pStyle w:val="List2"/>
            </w:pPr>
            <w:r w:rsidRPr="00406CCD">
              <w:t>1.2.</w:t>
            </w:r>
            <w:r w:rsidRPr="00406CCD">
              <w:tab/>
              <w:t>Engine is removed from plant, top-</w:t>
            </w:r>
            <w:r w:rsidRPr="00406CCD">
              <w:t>end components are removed and block assembly is dismantled according to manufacturers' recommendations.</w:t>
            </w:r>
          </w:p>
          <w:p w:rsidR="00000000" w:rsidRPr="00406CCD" w:rsidP="00406CCD">
            <w:pPr>
              <w:pStyle w:val="List2"/>
            </w:pPr>
            <w:r w:rsidRPr="00406CCD">
              <w:t>1.3.</w:t>
            </w:r>
            <w:r w:rsidRPr="00406CCD">
              <w:tab/>
              <w:t>Parts are assessed for abnormal wear or defects.</w:t>
            </w:r>
          </w:p>
          <w:p w:rsidR="00000000" w:rsidRPr="00406CCD" w:rsidP="00406CCD">
            <w:pPr>
              <w:pStyle w:val="List2"/>
            </w:pPr>
            <w:r w:rsidRPr="00406CCD">
              <w:t>1.4.</w:t>
            </w:r>
            <w:r w:rsidRPr="00406CCD">
              <w:tab/>
              <w:t>Appropriate cleaning solution and procedure is selected.</w:t>
            </w:r>
          </w:p>
          <w:p w:rsidR="00000000" w:rsidRPr="00406CCD" w:rsidP="00406CCD">
            <w:pPr>
              <w:pStyle w:val="List2"/>
            </w:pPr>
            <w:r w:rsidRPr="00406CCD">
              <w:t>1.5.</w:t>
            </w:r>
            <w:r w:rsidRPr="00406CCD">
              <w:tab/>
              <w:t>Parts are racked or set out ac</w:t>
            </w:r>
            <w:r w:rsidRPr="00406CCD">
              <w:t>cording to their original location in the engine.</w:t>
            </w:r>
          </w:p>
          <w:p w:rsidR="00000000" w:rsidP="00406CCD">
            <w:pPr>
              <w:pStyle w:val="List2"/>
              <w:rPr>
                <w:lang w:val="en-NZ"/>
              </w:rPr>
            </w:pPr>
            <w:r w:rsidRPr="00406CCD">
              <w:t>1.6.</w:t>
            </w:r>
            <w:r w:rsidRPr="00406CCD">
              <w:tab/>
              <w:t>Characteristics of surface finishes and wear patterns associated with crankshaft and piston assemblies are understood and parts are correctly assessed for reuse or replacement.</w:t>
            </w:r>
          </w:p>
        </w:tc>
      </w:tr>
      <w:tr w:rsidTr="00C6025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List"/>
              <w:rPr>
                <w:lang w:val="en-NZ"/>
              </w:rPr>
            </w:pPr>
            <w:r w:rsidRPr="00406CCD">
              <w:t>2.</w:t>
            </w:r>
            <w:r w:rsidRPr="00406CCD">
              <w:tab/>
              <w:t>Record and interpret</w:t>
            </w:r>
            <w:r w:rsidRPr="00406CCD">
              <w:t xml:space="preserve"> measurements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List2"/>
            </w:pPr>
            <w:r w:rsidRPr="00406CCD">
              <w:t>2.1.</w:t>
            </w:r>
            <w:r w:rsidRPr="00406CCD">
              <w:tab/>
              <w:t>Measurements are accurately obtained and recorded.</w:t>
            </w:r>
          </w:p>
          <w:p w:rsidR="00000000" w:rsidP="00406CCD">
            <w:pPr>
              <w:pStyle w:val="List2"/>
              <w:rPr>
                <w:lang w:val="en-NZ"/>
              </w:rPr>
            </w:pPr>
            <w:r w:rsidRPr="00406CCD">
              <w:t>2.2.</w:t>
            </w:r>
            <w:r w:rsidRPr="00406CCD">
              <w:tab/>
              <w:t>Readings are correctly interpreted regarding replacement or reuse and appropriate under/oversize of replacement parts is determined.</w:t>
            </w:r>
          </w:p>
        </w:tc>
      </w:tr>
      <w:tr w:rsidTr="00C6025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List"/>
              <w:rPr>
                <w:lang w:val="en-NZ"/>
              </w:rPr>
            </w:pPr>
            <w:r w:rsidRPr="00406CCD">
              <w:t>3.</w:t>
            </w:r>
            <w:r w:rsidRPr="00406CCD">
              <w:tab/>
              <w:t>Recondition components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List2"/>
            </w:pPr>
            <w:r w:rsidRPr="00406CCD">
              <w:t>3.1.</w:t>
            </w:r>
            <w:r w:rsidRPr="00406CCD">
              <w:tab/>
              <w:t>Ridges, gaps, ta</w:t>
            </w:r>
            <w:r w:rsidRPr="00406CCD">
              <w:t>pers, ovality and protrusions are identified and necessary corrective action is taken.</w:t>
            </w:r>
          </w:p>
          <w:p w:rsidR="00000000" w:rsidRPr="00406CCD" w:rsidP="00406CCD">
            <w:pPr>
              <w:pStyle w:val="List2"/>
            </w:pPr>
            <w:r w:rsidRPr="00406CCD">
              <w:t>3.2.</w:t>
            </w:r>
            <w:r w:rsidRPr="00406CCD">
              <w:tab/>
              <w:t>Tools and equipment are correctly used.</w:t>
            </w:r>
          </w:p>
          <w:p w:rsidR="00000000" w:rsidRPr="00406CCD" w:rsidP="00406CCD">
            <w:pPr>
              <w:pStyle w:val="List2"/>
            </w:pPr>
            <w:r w:rsidRPr="00406CCD">
              <w:t>3.3.</w:t>
            </w:r>
            <w:r w:rsidRPr="00406CCD">
              <w:tab/>
              <w:t>Components are assembled according to manufacturers' specifications.</w:t>
            </w:r>
          </w:p>
          <w:p w:rsidR="00000000" w:rsidRPr="00406CCD" w:rsidP="00406CCD">
            <w:pPr>
              <w:pStyle w:val="List2"/>
            </w:pPr>
            <w:r w:rsidRPr="00406CCD">
              <w:t>3.4.</w:t>
            </w:r>
            <w:r w:rsidRPr="00406CCD">
              <w:tab/>
            </w:r>
            <w:r w:rsidRPr="00406CCD">
              <w:t>Bearing clearances are correctly determined by calculation or direct measurement.</w:t>
            </w:r>
          </w:p>
        </w:tc>
      </w:tr>
    </w:tbl>
    <w:p w:rsidR="00C60253" w:rsidP="00406CCD">
      <w:pPr>
        <w:pStyle w:val="BodyText"/>
      </w:pPr>
    </w:p>
    <w:p w:rsidR="00C60253" w:rsidP="00406CCD">
      <w:pPr>
        <w:pStyle w:val="BodyText"/>
      </w:pPr>
    </w:p>
    <w:p w:rsidR="00000000" w:rsidRPr="00406CCD" w:rsidP="00406CCD">
      <w:pPr>
        <w:pStyle w:val="Heading1"/>
      </w:pPr>
      <w:bookmarkStart w:id="9" w:name="O_260918"/>
      <w:bookmarkEnd w:id="9"/>
      <w:r w:rsidRPr="00406CCD">
        <w:t>Required Skills and Knowledge</w:t>
      </w:r>
    </w:p>
    <w:tbl>
      <w:tblPr>
        <w:tblW w:w="0" w:type="auto"/>
        <w:tblLayout w:type="fixed"/>
        <w:tblCellMar>
          <w:left w:w="62" w:type="dxa"/>
          <w:right w:w="62" w:type="dxa"/>
        </w:tblCellMar>
        <w:tblLook w:val="0000"/>
      </w:tblPr>
      <w:tblGrid>
        <w:gridCol w:w="8522"/>
      </w:tblGrid>
      <w:tr w:rsidTr="00C602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REQUIRED SKILLS AND KNOWLEDGE</w:t>
            </w:r>
          </w:p>
        </w:tc>
      </w:tr>
      <w:tr w:rsidTr="00C602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This section describes the skills and knowledge required for this unit.</w:t>
            </w:r>
          </w:p>
        </w:tc>
      </w:tr>
      <w:tr w:rsidTr="00C602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Required skills</w:t>
            </w:r>
          </w:p>
        </w:tc>
      </w:tr>
      <w:tr w:rsidTr="00C602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r w:rsidRPr="00406CCD">
              <w:t>Look for evidence that confirms skills in:</w:t>
            </w:r>
          </w:p>
          <w:p w:rsidR="00000000" w:rsidRPr="00406CCD" w:rsidP="00406CCD">
            <w:pPr>
              <w:pStyle w:val="ListBullet"/>
            </w:pPr>
            <w:r w:rsidRPr="00406CCD">
              <w:t>reading, interpreting and following information on written job instructions, specifications, standard operating procedures, charts, lists, drawings and other applicable reference documents</w:t>
            </w:r>
          </w:p>
          <w:p w:rsidR="00000000" w:rsidRPr="00406CCD" w:rsidP="00406CCD">
            <w:pPr>
              <w:pStyle w:val="ListBullet"/>
            </w:pPr>
            <w:r w:rsidRPr="00406CCD">
              <w:t>planning and sequencing operations</w:t>
            </w:r>
          </w:p>
          <w:p w:rsidR="00000000" w:rsidRPr="00406CCD" w:rsidP="00406CCD">
            <w:pPr>
              <w:pStyle w:val="ListBullet"/>
            </w:pPr>
            <w:r w:rsidRPr="00406CCD">
              <w:t>checking task-related information</w:t>
            </w:r>
          </w:p>
          <w:p w:rsidR="00000000" w:rsidRPr="00406CCD" w:rsidP="00406CCD">
            <w:pPr>
              <w:pStyle w:val="ListBullet"/>
            </w:pPr>
            <w:r w:rsidRPr="00406CCD">
              <w:t>checking for conformance to specification</w:t>
            </w:r>
          </w:p>
          <w:p w:rsidR="00000000" w:rsidRPr="00406CCD" w:rsidP="00406CCD">
            <w:pPr>
              <w:pStyle w:val="ListBullet"/>
            </w:pPr>
            <w:r w:rsidRPr="00406CCD">
              <w:t xml:space="preserve">removing the engine and top-end components </w:t>
            </w:r>
          </w:p>
          <w:p w:rsidR="00000000" w:rsidRPr="00406CCD" w:rsidP="00406CCD">
            <w:pPr>
              <w:pStyle w:val="ListBullet"/>
            </w:pPr>
            <w:r w:rsidRPr="00406CCD">
              <w:t>removing ridges, gaps, tapers, protrusions and ovality</w:t>
            </w:r>
          </w:p>
          <w:p w:rsidR="00000000" w:rsidRPr="00406CCD" w:rsidP="00406CCD">
            <w:pPr>
              <w:pStyle w:val="ListBullet"/>
            </w:pPr>
            <w:r w:rsidRPr="00406CCD">
              <w:t xml:space="preserve">dismantling block assembly </w:t>
            </w:r>
          </w:p>
          <w:p w:rsidR="00000000" w:rsidRPr="00406CCD" w:rsidP="00406CCD">
            <w:pPr>
              <w:pStyle w:val="ListBullet"/>
            </w:pPr>
            <w:r w:rsidRPr="00406CCD">
              <w:t>calculating bearin</w:t>
            </w:r>
            <w:r w:rsidRPr="00406CCD">
              <w:t>g clearances</w:t>
            </w:r>
          </w:p>
          <w:p w:rsidR="00000000" w:rsidRPr="00406CCD" w:rsidP="00406CCD">
            <w:pPr>
              <w:pStyle w:val="ListBullet"/>
            </w:pPr>
            <w:r w:rsidRPr="00406CCD">
              <w:t>checking parts for abnormal wear or defects</w:t>
            </w:r>
          </w:p>
          <w:p w:rsidR="00000000" w:rsidRPr="00406CCD" w:rsidP="00406CCD">
            <w:pPr>
              <w:pStyle w:val="ListBullet"/>
            </w:pPr>
            <w:r w:rsidRPr="00406CCD">
              <w:t>identifying components for reuse or replacement</w:t>
            </w:r>
          </w:p>
          <w:p w:rsidR="00000000" w:rsidRPr="00406CCD" w:rsidP="00406CCD">
            <w:pPr>
              <w:pStyle w:val="ListBullet"/>
            </w:pPr>
            <w:r w:rsidRPr="00406CCD">
              <w:t>cleaning parts using appropriate solutions and procedures</w:t>
            </w:r>
          </w:p>
          <w:p w:rsidR="00000000" w:rsidRPr="00406CCD" w:rsidP="00406CCD">
            <w:pPr>
              <w:pStyle w:val="ListBullet"/>
            </w:pPr>
            <w:r w:rsidRPr="00406CCD">
              <w:t>racking and setting out engine parts according to their original position in readiness for re</w:t>
            </w:r>
            <w:r w:rsidRPr="00406CCD">
              <w:t xml:space="preserve">assembly </w:t>
            </w:r>
          </w:p>
          <w:p w:rsidR="00000000" w:rsidRPr="00406CCD" w:rsidP="00406CCD">
            <w:pPr>
              <w:pStyle w:val="ListBullet"/>
            </w:pPr>
            <w:r w:rsidRPr="00406CCD">
              <w:t xml:space="preserve">obtaining and recording measurements </w:t>
            </w:r>
          </w:p>
          <w:p w:rsidR="00000000" w:rsidRPr="00406CCD" w:rsidP="00406CCD">
            <w:pPr>
              <w:pStyle w:val="ListBullet"/>
            </w:pPr>
            <w:r w:rsidRPr="00406CCD">
              <w:t>identifying replacement parts required as being under or over size</w:t>
            </w:r>
          </w:p>
          <w:p w:rsidR="00000000" w:rsidRPr="00406CCD" w:rsidP="00406CCD">
            <w:pPr>
              <w:pStyle w:val="ListBullet"/>
            </w:pPr>
            <w:r w:rsidRPr="00406CCD">
              <w:t xml:space="preserve">using tools and equipment </w:t>
            </w:r>
          </w:p>
          <w:p w:rsidR="00000000" w:rsidRPr="00406CCD" w:rsidP="00406CCD">
            <w:pPr>
              <w:pStyle w:val="ListBullet"/>
            </w:pPr>
            <w:r w:rsidRPr="00406CCD">
              <w:t xml:space="preserve">assembling engine bottom-end components </w:t>
            </w:r>
          </w:p>
          <w:p w:rsidR="00000000" w:rsidP="00406CCD">
            <w:pPr>
              <w:pStyle w:val="ListBullet"/>
              <w:rPr>
                <w:lang w:val="en-NZ"/>
              </w:rPr>
            </w:pPr>
            <w:r w:rsidRPr="00406CCD">
              <w:t>undertaking calculations and numerical operations within the scope of thi</w:t>
            </w:r>
            <w:r w:rsidRPr="00406CCD">
              <w:t>s unit</w:t>
            </w:r>
          </w:p>
        </w:tc>
      </w:tr>
      <w:tr w:rsidTr="00C602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Required knowledge</w:t>
            </w:r>
          </w:p>
        </w:tc>
      </w:tr>
      <w:tr w:rsidTr="00C602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r w:rsidRPr="00406CCD">
              <w:t>Look for evidence that confirms knowledge of:</w:t>
            </w:r>
          </w:p>
          <w:p w:rsidR="00000000" w:rsidRPr="00406CCD" w:rsidP="00406CCD">
            <w:pPr>
              <w:pStyle w:val="ListBullet"/>
            </w:pPr>
            <w:r w:rsidRPr="00406CCD">
              <w:t xml:space="preserve">the characteristics of surface finishes and wear patterns as applied to crankshaft and piston assemblies </w:t>
            </w:r>
          </w:p>
          <w:p w:rsidR="00000000" w:rsidRPr="00406CCD" w:rsidP="00406CCD">
            <w:pPr>
              <w:pStyle w:val="ListBullet"/>
            </w:pPr>
            <w:r w:rsidRPr="00406CCD">
              <w:t xml:space="preserve">the specifications of crankshaft and piston assemblies </w:t>
            </w:r>
          </w:p>
          <w:p w:rsidR="00000000" w:rsidRPr="00406CCD" w:rsidP="00406CCD">
            <w:pPr>
              <w:pStyle w:val="ListBullet"/>
            </w:pPr>
            <w:r w:rsidRPr="00406CCD">
              <w:t xml:space="preserve">the reasons for identifying the components for reuse or replacement </w:t>
            </w:r>
          </w:p>
          <w:p w:rsidR="00000000" w:rsidRPr="00406CCD" w:rsidP="00406CCD">
            <w:pPr>
              <w:pStyle w:val="ListBullet"/>
            </w:pPr>
            <w:r w:rsidRPr="00406CCD">
              <w:t xml:space="preserve">the procedures for dismantling the block assembly and removing the engine from the plant </w:t>
            </w:r>
          </w:p>
          <w:p w:rsidR="00000000" w:rsidRPr="00406CCD" w:rsidP="00406CCD">
            <w:pPr>
              <w:pStyle w:val="ListBullet"/>
            </w:pPr>
            <w:r w:rsidRPr="00406CCD">
              <w:t xml:space="preserve">the procedures for removing the top end from the engine </w:t>
            </w:r>
          </w:p>
          <w:p w:rsidR="00000000" w:rsidRPr="00406CCD" w:rsidP="00406CCD">
            <w:pPr>
              <w:pStyle w:val="ListBullet"/>
            </w:pPr>
            <w:r w:rsidRPr="00406CCD">
              <w:t>the tools, techniques and equipment to b</w:t>
            </w:r>
            <w:r w:rsidRPr="00406CCD">
              <w:t xml:space="preserve">e used </w:t>
            </w:r>
          </w:p>
          <w:p w:rsidR="00000000" w:rsidRPr="00406CCD" w:rsidP="00406CCD">
            <w:pPr>
              <w:pStyle w:val="ListBullet"/>
            </w:pPr>
            <w:r w:rsidRPr="00406CCD">
              <w:t xml:space="preserve">the reasons for selecting the chosen tools, techniques and equipment </w:t>
            </w:r>
          </w:p>
          <w:p w:rsidR="00000000" w:rsidRPr="00406CCD" w:rsidP="00406CCD">
            <w:pPr>
              <w:pStyle w:val="ListBullet"/>
            </w:pPr>
            <w:r w:rsidRPr="00406CCD">
              <w:t>the hazards and control measures associated with the removal of engines/engine components, including housekeeping</w:t>
            </w:r>
          </w:p>
          <w:p w:rsidR="00000000" w:rsidRPr="00406CCD" w:rsidP="00406CCD">
            <w:pPr>
              <w:pStyle w:val="ListBullet"/>
            </w:pPr>
            <w:r w:rsidRPr="00406CCD">
              <w:t>the action to be taken when abnormal wear or defects are observe</w:t>
            </w:r>
            <w:r w:rsidRPr="00406CCD">
              <w:t xml:space="preserve">d in the engine components </w:t>
            </w:r>
          </w:p>
          <w:p w:rsidR="00000000" w:rsidRPr="00406CCD" w:rsidP="00406CCD">
            <w:pPr>
              <w:pStyle w:val="ListBullet"/>
            </w:pPr>
            <w:r w:rsidRPr="00406CCD">
              <w:t xml:space="preserve">the procedures and solution for cleaning engine parts </w:t>
            </w:r>
          </w:p>
          <w:p w:rsidR="00000000" w:rsidRPr="00406CCD" w:rsidP="00406CCD">
            <w:pPr>
              <w:pStyle w:val="ListBullet"/>
            </w:pPr>
            <w:r w:rsidRPr="00406CCD">
              <w:t xml:space="preserve">the procedures for racking and/or setting out of parts in readiness for reassembly </w:t>
            </w:r>
          </w:p>
          <w:p w:rsidR="00000000" w:rsidRPr="00406CCD" w:rsidP="00406CCD">
            <w:pPr>
              <w:pStyle w:val="ListBullet"/>
            </w:pPr>
            <w:r w:rsidRPr="00406CCD">
              <w:t xml:space="preserve">the measuring instruments to be used to measure engine components </w:t>
            </w:r>
          </w:p>
          <w:p w:rsidR="00000000" w:rsidRPr="00406CCD" w:rsidP="00406CCD">
            <w:pPr>
              <w:pStyle w:val="ListBullet"/>
            </w:pPr>
            <w:r w:rsidRPr="00406CCD">
              <w:t xml:space="preserve">the procedures for recording engine measurements </w:t>
            </w:r>
          </w:p>
          <w:p w:rsidR="00000000" w:rsidRPr="00406CCD" w:rsidP="00406CCD">
            <w:pPr>
              <w:pStyle w:val="ListBullet"/>
            </w:pPr>
            <w:r w:rsidRPr="00406CCD">
              <w:t xml:space="preserve">the concept of under/over size of replacement parts and the reasons for identifying replacement parts as under or over size </w:t>
            </w:r>
          </w:p>
          <w:p w:rsidR="00000000" w:rsidRPr="00406CCD" w:rsidP="00406CCD">
            <w:pPr>
              <w:pStyle w:val="ListBullet"/>
            </w:pPr>
            <w:r w:rsidRPr="00406CCD">
              <w:t xml:space="preserve">the procedures for removing ridges, gaps, tapers, ovality and protrusions </w:t>
            </w:r>
          </w:p>
          <w:p w:rsidR="00000000" w:rsidRPr="00406CCD" w:rsidP="00406CCD">
            <w:pPr>
              <w:pStyle w:val="ListBullet"/>
            </w:pPr>
            <w:r w:rsidRPr="00406CCD">
              <w:t>the to</w:t>
            </w:r>
            <w:r w:rsidRPr="00406CCD">
              <w:t xml:space="preserve">ols, techniques and equipment required to correct the above faults </w:t>
            </w:r>
          </w:p>
          <w:p w:rsidR="00000000" w:rsidRPr="00406CCD" w:rsidP="00406CCD">
            <w:pPr>
              <w:pStyle w:val="ListBullet"/>
            </w:pPr>
            <w:r w:rsidRPr="00406CCD">
              <w:t xml:space="preserve">the procedures for assembling engine bottom ends </w:t>
            </w:r>
          </w:p>
          <w:p w:rsidR="00000000" w:rsidRPr="00406CCD" w:rsidP="00406CCD">
            <w:pPr>
              <w:pStyle w:val="ListBullet"/>
            </w:pPr>
            <w:r w:rsidRPr="00406CCD">
              <w:t xml:space="preserve">the precautions to be taken when assembling engine bottom ends </w:t>
            </w:r>
          </w:p>
          <w:p w:rsidR="00000000" w:rsidRPr="00406CCD" w:rsidP="00406CCD">
            <w:pPr>
              <w:pStyle w:val="ListBullet"/>
            </w:pPr>
            <w:r w:rsidRPr="00406CCD">
              <w:t xml:space="preserve">the methods and procedures for determining bearing clearances </w:t>
            </w:r>
          </w:p>
          <w:p w:rsidR="00000000" w:rsidRPr="00406CCD" w:rsidP="00406CCD">
            <w:pPr>
              <w:pStyle w:val="ListBullet"/>
            </w:pPr>
            <w:r w:rsidRPr="00406CCD">
              <w:t>safe work p</w:t>
            </w:r>
            <w:r w:rsidRPr="00406CCD">
              <w:t>ractices and procedures</w:t>
            </w:r>
          </w:p>
        </w:tc>
      </w:tr>
    </w:tbl>
    <w:p w:rsidR="00C60253" w:rsidP="00406CCD">
      <w:pPr>
        <w:pStyle w:val="BodyText"/>
      </w:pPr>
    </w:p>
    <w:p w:rsidR="00C60253" w:rsidP="00406CCD">
      <w:pPr>
        <w:pStyle w:val="BodyText"/>
      </w:pPr>
    </w:p>
    <w:p w:rsidR="00000000" w:rsidRPr="00406CCD" w:rsidP="00406CCD">
      <w:pPr>
        <w:pStyle w:val="AllowPageBreak"/>
      </w:pPr>
    </w:p>
    <w:p w:rsidR="00000000" w:rsidRPr="00406CCD" w:rsidP="00406CCD">
      <w:pPr>
        <w:pStyle w:val="Heading1"/>
      </w:pPr>
      <w:bookmarkStart w:id="10" w:name="O_244952"/>
      <w:bookmarkEnd w:id="10"/>
      <w:r w:rsidRPr="00406CCD">
        <w:t>Evidence Guide</w:t>
      </w:r>
    </w:p>
    <w:tbl>
      <w:tblPr>
        <w:tblW w:w="9570" w:type="dxa"/>
        <w:tblLayout w:type="fixed"/>
        <w:tblCellMar>
          <w:left w:w="62" w:type="dxa"/>
          <w:right w:w="62" w:type="dxa"/>
        </w:tblCellMar>
        <w:tblLook w:val="0000"/>
      </w:tblPr>
      <w:tblGrid>
        <w:gridCol w:w="3908"/>
        <w:gridCol w:w="5662"/>
      </w:tblGrid>
      <w:tr w:rsidTr="00C602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EVIDENCE GUIDE</w:t>
            </w:r>
          </w:p>
        </w:tc>
      </w:tr>
      <w:tr w:rsidTr="00C602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 xml:space="preserve">The evidence guide provides advice on assessment and must be read in conjunction with the performance criteria, required skills and knowledge, </w:t>
            </w:r>
            <w:r w:rsidRPr="00406CCD">
              <w:t>range statement and the Assessment Guidelines for the Training Package.</w:t>
            </w:r>
          </w:p>
        </w:tc>
      </w:tr>
      <w:tr w:rsidTr="00C602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 xml:space="preserve">A person who demonstrates competency in this unit must be able to perform engine bottom-end overhaul. Competency in this unit cannot be claimed </w:t>
            </w:r>
            <w:r w:rsidRPr="00406CCD">
              <w:t>until all prerequisites have been satisfied.</w:t>
            </w:r>
          </w:p>
        </w:tc>
      </w:tr>
      <w:tr w:rsidTr="00C602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Assessors must be satisfied that the candidate can competently and consistently perform all elements of the unit as s</w:t>
            </w:r>
            <w:r w:rsidRPr="00406CCD">
              <w:t>pecified by the criteria, including required knowledge, and be capable of applying the competency in new and different situations and contexts.</w:t>
            </w:r>
          </w:p>
        </w:tc>
      </w:tr>
      <w:tr w:rsidTr="00C602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r w:rsidRPr="00406CCD">
              <w:t>This unit may be assessed on the job, off the job or a combina</w:t>
            </w:r>
            <w:r w:rsidRPr="00406CCD">
              <w:t>tion of both on and off the job. Where assessment occurs off the job, that is the candidate is not in productive work, then an appropriate simulation must be used where the range of conditions reflects realistic workplace situations. The competencies cover</w:t>
            </w:r>
            <w:r w:rsidRPr="00406CCD">
              <w:t xml:space="preserve">ed by this unit would be demonstrated by an individual working alone or as part of a team. The assessment environment should not disadvantage the candidate. </w:t>
            </w:r>
          </w:p>
          <w:p w:rsidR="00000000" w:rsidP="00406CCD">
            <w:pPr>
              <w:pStyle w:val="BodyText"/>
              <w:rPr>
                <w:lang w:val="en-NZ"/>
              </w:rPr>
            </w:pPr>
            <w:r w:rsidRPr="00406CCD">
              <w:t>This unit could be assessed in conjunction with any other units addressing the safety, quality, co</w:t>
            </w:r>
            <w:r w:rsidRPr="00406CCD">
              <w:t>mmunication, materials handling, recording and reporting associated with performing engine bottom-end overhaul or other units requiring the exercise of the skills and knowledge covered by this unit.</w:t>
            </w:r>
          </w:p>
        </w:tc>
      </w:tr>
      <w:tr w:rsidTr="00C602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 xml:space="preserve">Assessors should gather a range of </w:t>
            </w:r>
            <w:r w:rsidRPr="00406CCD">
              <w:t>evidence that is valid, sufficient, current and authentic. Evidence can be gathered through a variety of ways including direct observation, supervisor's reports, project work, samples and questioning. Questioning techniques should not require language, lit</w:t>
            </w:r>
            <w:r w:rsidRPr="00406CCD">
              <w:t>eracy and numeracy skills beyond those required in this unit of competency. The candidate must have access to all tools, equipment, materials and documentation required. The candidate must be permitted to refer to any relevant workplace procedures, product</w:t>
            </w:r>
            <w:r w:rsidRPr="00406CCD">
              <w:t xml:space="preserve"> and manufacturing specifications, codes, standards, manuals and reference materials.</w:t>
            </w:r>
          </w:p>
        </w:tc>
      </w:tr>
      <w:tr w:rsidTr="00C602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p>
        </w:tc>
      </w:tr>
    </w:tbl>
    <w:p w:rsidR="00C60253" w:rsidP="00406CCD">
      <w:pPr>
        <w:pStyle w:val="BodyText"/>
      </w:pPr>
    </w:p>
    <w:p w:rsidR="00C60253" w:rsidP="00406CCD">
      <w:pPr>
        <w:pStyle w:val="BodyText"/>
      </w:pPr>
    </w:p>
    <w:p w:rsidR="00000000" w:rsidRPr="00406CCD" w:rsidP="00406CCD">
      <w:pPr>
        <w:pStyle w:val="Heading1"/>
      </w:pPr>
      <w:bookmarkStart w:id="11" w:name="O_252935"/>
      <w:bookmarkEnd w:id="11"/>
      <w:r w:rsidRPr="00406CCD">
        <w:t>Range Statement</w:t>
      </w:r>
    </w:p>
    <w:tbl>
      <w:tblPr>
        <w:tblW w:w="0" w:type="auto"/>
        <w:tblLayout w:type="fixed"/>
        <w:tblCellMar>
          <w:left w:w="62" w:type="dxa"/>
          <w:right w:w="62" w:type="dxa"/>
        </w:tblCellMar>
        <w:tblLook w:val="0000"/>
      </w:tblPr>
      <w:tblGrid>
        <w:gridCol w:w="4282"/>
        <w:gridCol w:w="4240"/>
      </w:tblGrid>
      <w:tr w:rsidTr="00C602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RANGE STATEMENT</w:t>
            </w:r>
          </w:p>
        </w:tc>
      </w:tr>
      <w:tr w:rsidTr="00C602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t xml:space="preserve">The </w:t>
            </w:r>
            <w:r w:rsidRPr="00406CCD">
              <w:t>range statement relates to the unit of competency as a whole. It allows for different work environments and situations that may affect performance. Bold italicised wording, if used in the performance criteria, is detailed below. Essential operating conditi</w:t>
            </w:r>
            <w:r w:rsidRPr="00406CCD">
              <w:t>ons that may be present with training and assessment (depending on the work situation, needs of the candidate, accessibility of the item, and local industry and regional contexts) may also be included.</w:t>
            </w:r>
          </w:p>
        </w:tc>
      </w:tr>
      <w:tr w:rsidTr="00C60253">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p>
        </w:tc>
      </w:tr>
      <w:tr w:rsidTr="00C60253">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p>
        </w:tc>
      </w:tr>
      <w:tr w:rsidTr="00C60253">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p>
        </w:tc>
      </w:tr>
      <w:tr w:rsidTr="00C60253">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p>
        </w:tc>
      </w:tr>
      <w:tr w:rsidTr="00C60253">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p>
        </w:tc>
      </w:tr>
      <w:tr w:rsidTr="00C60253">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p>
        </w:tc>
      </w:tr>
      <w:tr w:rsidTr="00C60253">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p>
        </w:tc>
      </w:tr>
      <w:tr w:rsidTr="00C60253">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p>
        </w:tc>
      </w:tr>
    </w:tbl>
    <w:p w:rsidR="00C60253" w:rsidP="00406CCD">
      <w:pPr>
        <w:pStyle w:val="BodyText"/>
      </w:pPr>
    </w:p>
    <w:p w:rsidR="00C60253" w:rsidP="00406CCD">
      <w:pPr>
        <w:pStyle w:val="BodyText"/>
      </w:pPr>
    </w:p>
    <w:p w:rsidR="00000000" w:rsidRPr="00406CCD" w:rsidP="00406CCD">
      <w:pPr>
        <w:pStyle w:val="Heading1"/>
      </w:pPr>
      <w:bookmarkStart w:id="12" w:name="O_212229"/>
      <w:bookmarkEnd w:id="12"/>
      <w:r w:rsidRPr="00406CCD">
        <w:t>Unit Sector(s)</w:t>
      </w:r>
    </w:p>
    <w:tbl>
      <w:tblPr>
        <w:tblW w:w="0" w:type="auto"/>
        <w:tblLayout w:type="fixed"/>
        <w:tblCellMar>
          <w:left w:w="62" w:type="dxa"/>
          <w:right w:w="62" w:type="dxa"/>
        </w:tblCellMar>
        <w:tblLook w:val="0000"/>
      </w:tblPr>
      <w:tblGrid>
        <w:gridCol w:w="2654"/>
        <w:gridCol w:w="5868"/>
      </w:tblGrid>
      <w:tr w:rsidTr="00C6025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p>
        </w:tc>
      </w:tr>
    </w:tbl>
    <w:p w:rsidR="00C60253" w:rsidP="00406CCD">
      <w:pPr>
        <w:pStyle w:val="BodyText"/>
      </w:pPr>
    </w:p>
    <w:p w:rsidR="00C60253" w:rsidP="00406CCD">
      <w:pPr>
        <w:pStyle w:val="BodyText"/>
      </w:pPr>
    </w:p>
    <w:p w:rsidR="00000000" w:rsidRPr="00406CCD" w:rsidP="00406CCD">
      <w:pPr>
        <w:pStyle w:val="Heading1"/>
      </w:pPr>
      <w:bookmarkStart w:id="13" w:name="O_212226"/>
      <w:bookmarkEnd w:id="13"/>
      <w:r w:rsidRPr="00406CCD">
        <w:t>Co-requisite units</w:t>
      </w:r>
    </w:p>
    <w:tbl>
      <w:tblPr>
        <w:tblW w:w="0" w:type="auto"/>
        <w:tblLayout w:type="fixed"/>
        <w:tblCellMar>
          <w:left w:w="62" w:type="dxa"/>
          <w:right w:w="62" w:type="dxa"/>
        </w:tblCellMar>
        <w:tblLook w:val="0000"/>
      </w:tblPr>
      <w:tblGrid>
        <w:gridCol w:w="2641"/>
        <w:gridCol w:w="1322"/>
        <w:gridCol w:w="4559"/>
      </w:tblGrid>
      <w:tr w:rsidTr="00C602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p>
        </w:tc>
      </w:tr>
      <w:tr w:rsidTr="00C602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p>
        </w:tc>
      </w:tr>
      <w:tr w:rsidTr="00C602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p>
        </w:tc>
      </w:tr>
    </w:tbl>
    <w:p w:rsidR="00C60253" w:rsidP="00406CCD">
      <w:pPr>
        <w:pStyle w:val="BodyText"/>
      </w:pPr>
    </w:p>
    <w:p w:rsidR="00C60253" w:rsidP="00406CCD">
      <w:pPr>
        <w:pStyle w:val="BodyText"/>
      </w:pPr>
    </w:p>
    <w:p w:rsidR="00000000" w:rsidRPr="00406CCD" w:rsidP="00406CCD">
      <w:pPr>
        <w:pStyle w:val="Heading1"/>
      </w:pPr>
      <w:bookmarkStart w:id="14" w:name="O_212228"/>
      <w:bookmarkEnd w:id="14"/>
      <w:r w:rsidRPr="00406CCD">
        <w:t>Competency field</w:t>
      </w:r>
    </w:p>
    <w:tbl>
      <w:tblPr>
        <w:tblW w:w="0" w:type="auto"/>
        <w:tblLayout w:type="fixed"/>
        <w:tblCellMar>
          <w:left w:w="62" w:type="dxa"/>
          <w:right w:w="62" w:type="dxa"/>
        </w:tblCellMar>
        <w:tblLook w:val="0000"/>
      </w:tblPr>
      <w:tblGrid>
        <w:gridCol w:w="2775"/>
        <w:gridCol w:w="5747"/>
      </w:tblGrid>
      <w:tr w:rsidTr="00C602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CCD">
            <w:pPr>
              <w:pStyle w:val="BodyText"/>
              <w:rPr>
                <w:lang w:val="en-NZ"/>
              </w:rPr>
            </w:pPr>
            <w:r w:rsidRPr="00406CC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CCD" w:rsidP="00406CCD">
            <w:pPr>
              <w:pStyle w:val="BodyText"/>
            </w:pPr>
            <w:r w:rsidRPr="00406CCD">
              <w:t>Maintenance and diagnostics</w:t>
            </w:r>
          </w:p>
        </w:tc>
      </w:tr>
    </w:tbl>
    <w:p w:rsidR="00C60253" w:rsidP="00406CCD">
      <w:pPr>
        <w:pStyle w:val="BodyText"/>
      </w:pPr>
    </w:p>
    <w:p w:rsidR="00C60253" w:rsidP="00406CCD">
      <w:pPr>
        <w:pStyle w:val="BodyText"/>
      </w:pPr>
    </w:p>
    <w:p w:rsidR="00000000" w:rsidRPr="00406CCD" w:rsidP="00406CCD"/>
    <w:sectPr w:rsidSect="00406C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253" w:rsidP="00C60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53" w:rsidP="00406C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0253" w:rsidP="00406C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0253" w:rsidP="00406C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253" w:rsidP="00C602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53" w:rsidP="00406CCD">
    <w:pPr>
      <w:pStyle w:val="Header"/>
      <w:framePr w:wrap="around"/>
    </w:pPr>
    <w:r>
      <w:fldChar w:fldCharType="begin"/>
    </w:r>
    <w:r>
      <w:instrText xml:space="preserve"> TITLE   \* MERGEFORMAT </w:instrText>
    </w:r>
    <w:r>
      <w:fldChar w:fldCharType="separate"/>
    </w:r>
    <w:r>
      <w:t>MEM18033B Perform engine bottom-end 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0253" w:rsidP="00406C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E24D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28F6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C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6CCD"/>
    <w:pPr>
      <w:spacing w:before="360" w:after="60"/>
      <w:outlineLvl w:val="0"/>
    </w:pPr>
    <w:rPr>
      <w:sz w:val="32"/>
    </w:rPr>
  </w:style>
  <w:style w:type="paragraph" w:styleId="Heading2">
    <w:name w:val="heading 2"/>
    <w:basedOn w:val="HeadingBase"/>
    <w:next w:val="BodyText"/>
    <w:link w:val="Heading2Char"/>
    <w:qFormat/>
    <w:rsid w:val="00406CCD"/>
    <w:pPr>
      <w:keepLines/>
      <w:spacing w:before="240" w:after="120"/>
      <w:outlineLvl w:val="1"/>
    </w:pPr>
    <w:rPr>
      <w:sz w:val="28"/>
      <w:szCs w:val="40"/>
    </w:rPr>
  </w:style>
  <w:style w:type="paragraph" w:styleId="Heading3">
    <w:name w:val="heading 3"/>
    <w:basedOn w:val="HeadingBase"/>
    <w:next w:val="BodyText"/>
    <w:link w:val="Heading3Char"/>
    <w:qFormat/>
    <w:rsid w:val="00406CCD"/>
    <w:pPr>
      <w:spacing w:before="180" w:after="120"/>
      <w:outlineLvl w:val="2"/>
    </w:pPr>
    <w:rPr>
      <w:spacing w:val="-10"/>
      <w:kern w:val="32"/>
    </w:rPr>
  </w:style>
  <w:style w:type="paragraph" w:styleId="Heading4">
    <w:name w:val="heading 4"/>
    <w:basedOn w:val="HeadingBase"/>
    <w:next w:val="BodyText"/>
    <w:link w:val="Heading4Char"/>
    <w:qFormat/>
    <w:rsid w:val="00406CCD"/>
    <w:pPr>
      <w:spacing w:before="160" w:after="120"/>
      <w:outlineLvl w:val="3"/>
    </w:pPr>
    <w:rPr>
      <w:sz w:val="22"/>
    </w:rPr>
  </w:style>
  <w:style w:type="paragraph" w:styleId="Heading5">
    <w:name w:val="heading 5"/>
    <w:basedOn w:val="HeadingBase"/>
    <w:next w:val="Normal"/>
    <w:link w:val="Heading5Char"/>
    <w:qFormat/>
    <w:rsid w:val="00406CCD"/>
    <w:pPr>
      <w:spacing w:before="80"/>
      <w:outlineLvl w:val="4"/>
    </w:pPr>
    <w:rPr>
      <w:color w:val="918585"/>
      <w:sz w:val="20"/>
    </w:rPr>
  </w:style>
  <w:style w:type="paragraph" w:styleId="Heading6">
    <w:name w:val="heading 6"/>
    <w:basedOn w:val="HeadingBase"/>
    <w:next w:val="Normal"/>
    <w:link w:val="Heading6Char"/>
    <w:qFormat/>
    <w:rsid w:val="00406CCD"/>
    <w:pPr>
      <w:spacing w:before="60"/>
      <w:outlineLvl w:val="5"/>
    </w:pPr>
    <w:rPr>
      <w:color w:val="918585"/>
      <w:sz w:val="20"/>
    </w:rPr>
  </w:style>
  <w:style w:type="paragraph" w:styleId="Heading7">
    <w:name w:val="heading 7"/>
    <w:basedOn w:val="Normal"/>
    <w:next w:val="Normal"/>
    <w:link w:val="Heading7Char"/>
    <w:qFormat/>
    <w:rsid w:val="00406CCD"/>
    <w:pPr>
      <w:ind w:left="720"/>
      <w:outlineLvl w:val="6"/>
    </w:pPr>
    <w:rPr>
      <w:i/>
    </w:rPr>
  </w:style>
  <w:style w:type="paragraph" w:styleId="Heading8">
    <w:name w:val="heading 8"/>
    <w:basedOn w:val="Normal"/>
    <w:next w:val="Normal"/>
    <w:link w:val="Heading8Char"/>
    <w:qFormat/>
    <w:rsid w:val="00406CCD"/>
    <w:pPr>
      <w:ind w:left="720"/>
      <w:outlineLvl w:val="7"/>
    </w:pPr>
    <w:rPr>
      <w:i/>
    </w:rPr>
  </w:style>
  <w:style w:type="paragraph" w:styleId="Heading9">
    <w:name w:val="heading 9"/>
    <w:basedOn w:val="Normal"/>
    <w:next w:val="Normal"/>
    <w:link w:val="Heading9Char"/>
    <w:qFormat/>
    <w:rsid w:val="00406CCD"/>
    <w:pPr>
      <w:ind w:left="720"/>
      <w:outlineLvl w:val="8"/>
    </w:pPr>
    <w:rPr>
      <w:i/>
    </w:rPr>
  </w:style>
  <w:style w:type="character" w:default="1" w:styleId="DefaultParagraphFont">
    <w:name w:val="Default Paragraph Font"/>
    <w:uiPriority w:val="1"/>
    <w:unhideWhenUsed/>
    <w:rsid w:val="00406C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CCD"/>
  </w:style>
  <w:style w:type="character" w:customStyle="1" w:styleId="Heading1Char">
    <w:name w:val="Heading 1 Char"/>
    <w:basedOn w:val="DefaultParagraphFont"/>
    <w:link w:val="Heading1"/>
    <w:rsid w:val="00406CCD"/>
    <w:rPr>
      <w:rFonts w:ascii="Times New Roman" w:eastAsia="Times New Roman" w:hAnsi="Times New Roman" w:cs="Times New Roman"/>
      <w:b/>
      <w:sz w:val="32"/>
      <w:szCs w:val="20"/>
      <w:lang w:eastAsia="en-US"/>
    </w:rPr>
  </w:style>
  <w:style w:type="paragraph" w:styleId="BodyText">
    <w:name w:val="Body Text"/>
    <w:basedOn w:val="Normal"/>
    <w:link w:val="BodyTextChar"/>
    <w:rsid w:val="00406C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6CCD"/>
    <w:rPr>
      <w:rFonts w:ascii="Times New Roman" w:eastAsia="Times New Roman" w:hAnsi="Times New Roman" w:cs="Times New Roman"/>
      <w:sz w:val="24"/>
      <w:lang w:val="en-US" w:eastAsia="en-US"/>
    </w:rPr>
  </w:style>
  <w:style w:type="paragraph" w:styleId="Footer">
    <w:name w:val="footer"/>
    <w:basedOn w:val="Normal"/>
    <w:link w:val="FooterChar"/>
    <w:rsid w:val="00406C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CCD"/>
    <w:rPr>
      <w:rFonts w:ascii="Times New Roman" w:eastAsia="Times New Roman" w:hAnsi="Times New Roman" w:cs="Times New Roman"/>
      <w:sz w:val="16"/>
      <w:lang w:val="en-US" w:eastAsia="en-US"/>
    </w:rPr>
  </w:style>
  <w:style w:type="paragraph" w:styleId="List">
    <w:name w:val="List"/>
    <w:basedOn w:val="BodyText"/>
    <w:next w:val="BodyText"/>
    <w:rsid w:val="00406CCD"/>
    <w:pPr>
      <w:tabs>
        <w:tab w:val="left" w:pos="340"/>
      </w:tabs>
      <w:spacing w:before="60" w:after="60"/>
      <w:ind w:left="340" w:hanging="340"/>
    </w:pPr>
  </w:style>
  <w:style w:type="paragraph" w:styleId="ListBullet">
    <w:name w:val="List Bullet"/>
    <w:basedOn w:val="List"/>
    <w:rsid w:val="00406CCD"/>
    <w:pPr>
      <w:numPr>
        <w:numId w:val="12"/>
      </w:numPr>
      <w:tabs>
        <w:tab w:val="clear" w:pos="340"/>
      </w:tabs>
      <w:spacing w:before="40" w:after="40"/>
    </w:pPr>
  </w:style>
  <w:style w:type="character" w:customStyle="1" w:styleId="SpecialBold">
    <w:name w:val="Special Bold"/>
    <w:basedOn w:val="DefaultParagraphFont"/>
    <w:rsid w:val="00406CCD"/>
    <w:rPr>
      <w:b/>
      <w:spacing w:val="0"/>
    </w:rPr>
  </w:style>
  <w:style w:type="paragraph" w:styleId="Header">
    <w:name w:val="header"/>
    <w:basedOn w:val="Normal"/>
    <w:link w:val="HeaderChar"/>
    <w:rsid w:val="00406C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C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6CCD"/>
    <w:pPr>
      <w:spacing w:before="240" w:after="120"/>
      <w:outlineLvl w:val="0"/>
    </w:pPr>
    <w:rPr>
      <w:rFonts w:ascii="Times New Roman" w:hAnsi="Times New Roman"/>
      <w:b/>
      <w:sz w:val="28"/>
    </w:rPr>
  </w:style>
  <w:style w:type="paragraph" w:customStyle="1" w:styleId="AllowPageBreak">
    <w:name w:val="AllowPageBreak"/>
    <w:rsid w:val="00406C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6CCD"/>
    <w:pPr>
      <w:tabs>
        <w:tab w:val="left" w:pos="680"/>
      </w:tabs>
      <w:spacing w:before="60" w:after="60"/>
      <w:ind w:left="680" w:hanging="340"/>
    </w:pPr>
  </w:style>
  <w:style w:type="character" w:customStyle="1" w:styleId="Heading2Char">
    <w:name w:val="Heading 2 Char"/>
    <w:basedOn w:val="DefaultParagraphFont"/>
    <w:link w:val="Heading2"/>
    <w:rsid w:val="00406C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C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C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C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C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C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6C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6CCD"/>
    <w:rPr>
      <w:rFonts w:ascii="Courier New" w:eastAsia="Times New Roman" w:hAnsi="Courier New" w:cs="Times New Roman"/>
      <w:i/>
      <w:szCs w:val="20"/>
      <w:lang w:val="en-US" w:eastAsia="en-US"/>
    </w:rPr>
  </w:style>
  <w:style w:type="paragraph" w:customStyle="1" w:styleId="HeadingBase">
    <w:name w:val="Heading Base"/>
    <w:rsid w:val="00406C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CCD"/>
    <w:pPr>
      <w:tabs>
        <w:tab w:val="right" w:leader="dot" w:pos="9072"/>
      </w:tabs>
      <w:ind w:left="567"/>
    </w:pPr>
    <w:rPr>
      <w:szCs w:val="22"/>
    </w:rPr>
  </w:style>
  <w:style w:type="paragraph" w:customStyle="1" w:styleId="TOCBase">
    <w:name w:val="TOC Base"/>
    <w:rsid w:val="00406C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CCD"/>
    <w:pPr>
      <w:tabs>
        <w:tab w:val="right" w:leader="dot" w:pos="9072"/>
      </w:tabs>
      <w:spacing w:before="40" w:after="40"/>
      <w:ind w:left="284"/>
    </w:pPr>
    <w:rPr>
      <w:rFonts w:ascii="Times New Roman" w:hAnsi="Times New Roman"/>
    </w:rPr>
  </w:style>
  <w:style w:type="paragraph" w:styleId="TOC1">
    <w:name w:val="toc 1"/>
    <w:basedOn w:val="TOCBase"/>
    <w:next w:val="Normal"/>
    <w:rsid w:val="00406C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6CCD"/>
    <w:pPr>
      <w:spacing w:before="5040"/>
      <w:jc w:val="center"/>
    </w:pPr>
    <w:rPr>
      <w:sz w:val="48"/>
      <w:szCs w:val="72"/>
      <w:lang w:val="en-US"/>
    </w:rPr>
  </w:style>
  <w:style w:type="character" w:customStyle="1" w:styleId="TitleChar">
    <w:name w:val="Title Char"/>
    <w:basedOn w:val="DefaultParagraphFont"/>
    <w:link w:val="Title"/>
    <w:rsid w:val="00406C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CCD"/>
    <w:pPr>
      <w:tabs>
        <w:tab w:val="left" w:pos="3600"/>
        <w:tab w:val="left" w:pos="3958"/>
      </w:tabs>
    </w:pPr>
  </w:style>
  <w:style w:type="paragraph" w:customStyle="1" w:styleId="Note">
    <w:name w:val="Note"/>
    <w:basedOn w:val="BodyText"/>
    <w:rsid w:val="00406C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CCD"/>
    <w:pPr>
      <w:framePr w:wrap="auto" w:hAnchor="text" w:y="6049"/>
    </w:pPr>
    <w:rPr>
      <w:color w:val="000000"/>
      <w:sz w:val="40"/>
    </w:rPr>
  </w:style>
  <w:style w:type="paragraph" w:customStyle="1" w:styleId="TOCTitle">
    <w:name w:val="TOCTitle"/>
    <w:basedOn w:val="Heading1"/>
    <w:rsid w:val="00406CCD"/>
    <w:pPr>
      <w:spacing w:after="240"/>
      <w:jc w:val="center"/>
      <w:outlineLvl w:val="9"/>
    </w:pPr>
    <w:rPr>
      <w:caps/>
    </w:rPr>
  </w:style>
  <w:style w:type="paragraph" w:customStyle="1" w:styleId="Version">
    <w:name w:val="Version"/>
    <w:rsid w:val="00406C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6CCD"/>
    <w:pPr>
      <w:numPr>
        <w:numId w:val="13"/>
      </w:numPr>
      <w:tabs>
        <w:tab w:val="clear" w:pos="680"/>
      </w:tabs>
    </w:pPr>
  </w:style>
  <w:style w:type="paragraph" w:styleId="Index1">
    <w:name w:val="index 1"/>
    <w:basedOn w:val="Normal"/>
    <w:next w:val="Normal"/>
    <w:semiHidden/>
    <w:rsid w:val="00406CCD"/>
    <w:pPr>
      <w:keepNext w:val="0"/>
      <w:tabs>
        <w:tab w:val="right" w:pos="4176"/>
      </w:tabs>
      <w:ind w:left="198" w:hanging="198"/>
    </w:pPr>
    <w:rPr>
      <w:rFonts w:ascii="Garamond" w:hAnsi="Garamond"/>
    </w:rPr>
  </w:style>
  <w:style w:type="paragraph" w:styleId="IndexHeading">
    <w:name w:val="index heading"/>
    <w:basedOn w:val="Normal"/>
    <w:next w:val="Index1"/>
    <w:semiHidden/>
    <w:rsid w:val="00406CCD"/>
    <w:pPr>
      <w:spacing w:before="120" w:after="120"/>
    </w:pPr>
    <w:rPr>
      <w:rFonts w:ascii="Arial" w:hAnsi="Arial"/>
      <w:b/>
      <w:color w:val="918585"/>
      <w:sz w:val="24"/>
    </w:rPr>
  </w:style>
  <w:style w:type="paragraph" w:customStyle="1" w:styleId="Chapter">
    <w:name w:val="Chapter"/>
    <w:basedOn w:val="Normal"/>
    <w:rsid w:val="00406CCD"/>
    <w:pPr>
      <w:spacing w:before="240"/>
    </w:pPr>
    <w:rPr>
      <w:rFonts w:ascii="Times New Roman" w:hAnsi="Times New Roman"/>
      <w:smallCaps/>
      <w:spacing w:val="80"/>
      <w:sz w:val="28"/>
    </w:rPr>
  </w:style>
  <w:style w:type="paragraph" w:customStyle="1" w:styleId="InChapter">
    <w:name w:val="InChapter"/>
    <w:basedOn w:val="Heading3"/>
    <w:rsid w:val="00406CCD"/>
    <w:pPr>
      <w:spacing w:after="240"/>
      <w:outlineLvl w:val="9"/>
    </w:pPr>
    <w:rPr>
      <w:noProof/>
    </w:rPr>
  </w:style>
  <w:style w:type="paragraph" w:styleId="Index2">
    <w:name w:val="index 2"/>
    <w:basedOn w:val="Normal"/>
    <w:next w:val="Normal"/>
    <w:semiHidden/>
    <w:rsid w:val="00406CCD"/>
    <w:pPr>
      <w:tabs>
        <w:tab w:val="right" w:pos="4176"/>
      </w:tabs>
      <w:ind w:left="568" w:hanging="284"/>
    </w:pPr>
    <w:rPr>
      <w:rFonts w:ascii="Garamond" w:hAnsi="Garamond"/>
    </w:rPr>
  </w:style>
  <w:style w:type="paragraph" w:customStyle="1" w:styleId="Byline">
    <w:name w:val="Byline"/>
    <w:rsid w:val="00406C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CCD"/>
    <w:pPr>
      <w:tabs>
        <w:tab w:val="clear" w:pos="3600"/>
        <w:tab w:val="clear" w:pos="3958"/>
      </w:tabs>
      <w:jc w:val="right"/>
    </w:pPr>
  </w:style>
  <w:style w:type="character" w:styleId="Emphasis">
    <w:name w:val="Emphasis"/>
    <w:basedOn w:val="DefaultParagraphFont"/>
    <w:qFormat/>
    <w:rsid w:val="00406CCD"/>
    <w:rPr>
      <w:i/>
    </w:rPr>
  </w:style>
  <w:style w:type="paragraph" w:styleId="Caption">
    <w:name w:val="caption"/>
    <w:basedOn w:val="BodyText"/>
    <w:next w:val="Normal"/>
    <w:qFormat/>
    <w:rsid w:val="00406CCD"/>
    <w:pPr>
      <w:framePr w:w="2268" w:hSpace="181" w:vSpace="181" w:wrap="around" w:vAnchor="text" w:hAnchor="page" w:x="1135" w:y="285" w:anchorLock="1"/>
    </w:pPr>
    <w:rPr>
      <w:i/>
    </w:rPr>
  </w:style>
  <w:style w:type="paragraph" w:customStyle="1" w:styleId="MiniTOCTitle">
    <w:name w:val="MiniTOCTitle"/>
    <w:basedOn w:val="Heading4"/>
    <w:rsid w:val="00406CCD"/>
    <w:pPr>
      <w:spacing w:before="240"/>
      <w:outlineLvl w:val="9"/>
    </w:pPr>
    <w:rPr>
      <w:noProof/>
      <w:sz w:val="24"/>
    </w:rPr>
  </w:style>
  <w:style w:type="paragraph" w:customStyle="1" w:styleId="MiniTOCItem">
    <w:name w:val="MiniTOCItem"/>
    <w:basedOn w:val="ListBullet"/>
    <w:rsid w:val="00406CCD"/>
    <w:pPr>
      <w:numPr>
        <w:numId w:val="0"/>
      </w:numPr>
      <w:tabs>
        <w:tab w:val="right" w:leader="dot" w:pos="6521"/>
      </w:tabs>
      <w:spacing w:before="0" w:after="0"/>
    </w:pPr>
  </w:style>
  <w:style w:type="paragraph" w:customStyle="1" w:styleId="TOFTitle">
    <w:name w:val="TOFTitle"/>
    <w:basedOn w:val="TOCTitle"/>
    <w:rsid w:val="00406CCD"/>
  </w:style>
  <w:style w:type="paragraph" w:styleId="TableofFigures">
    <w:name w:val="table of figures"/>
    <w:basedOn w:val="Normal"/>
    <w:next w:val="Normal"/>
    <w:semiHidden/>
    <w:rsid w:val="00406CCD"/>
    <w:pPr>
      <w:tabs>
        <w:tab w:val="right" w:leader="dot" w:pos="9072"/>
      </w:tabs>
      <w:ind w:left="970" w:hanging="403"/>
    </w:pPr>
    <w:rPr>
      <w:rFonts w:ascii="Times New Roman" w:hAnsi="Times New Roman"/>
      <w:b/>
    </w:rPr>
  </w:style>
  <w:style w:type="paragraph" w:styleId="ListNumber">
    <w:name w:val="List Number"/>
    <w:basedOn w:val="List"/>
    <w:rsid w:val="00406CCD"/>
    <w:pPr>
      <w:numPr>
        <w:numId w:val="10"/>
      </w:numPr>
    </w:pPr>
  </w:style>
  <w:style w:type="character" w:customStyle="1" w:styleId="WingdingSymbols">
    <w:name w:val="Wingding Symbols"/>
    <w:rsid w:val="00406CCD"/>
    <w:rPr>
      <w:rFonts w:ascii="Wingdings" w:hAnsi="Wingdings"/>
    </w:rPr>
  </w:style>
  <w:style w:type="paragraph" w:customStyle="1" w:styleId="TableHeading">
    <w:name w:val="Table Heading"/>
    <w:basedOn w:val="HeadingBase"/>
    <w:rsid w:val="00406CCD"/>
    <w:pPr>
      <w:keepLines/>
      <w:pBdr>
        <w:bottom w:val="single" w:sz="6" w:space="1" w:color="918585"/>
      </w:pBdr>
      <w:spacing w:before="240"/>
    </w:pPr>
  </w:style>
  <w:style w:type="character" w:customStyle="1" w:styleId="HotSpot">
    <w:name w:val="HotSpot"/>
    <w:rsid w:val="00406CCD"/>
    <w:rPr>
      <w:color w:val="0033CC"/>
      <w:u w:val="none"/>
    </w:rPr>
  </w:style>
  <w:style w:type="paragraph" w:customStyle="1" w:styleId="BodyTextRight">
    <w:name w:val="Body Text Right"/>
    <w:basedOn w:val="BodyText"/>
    <w:rsid w:val="00406CCD"/>
    <w:pPr>
      <w:spacing w:before="0" w:after="0"/>
      <w:jc w:val="right"/>
    </w:pPr>
  </w:style>
  <w:style w:type="paragraph" w:styleId="Index3">
    <w:name w:val="index 3"/>
    <w:basedOn w:val="ListNumber2"/>
    <w:next w:val="Normal"/>
    <w:semiHidden/>
    <w:rsid w:val="00406CCD"/>
    <w:pPr>
      <w:numPr>
        <w:numId w:val="0"/>
      </w:numPr>
      <w:tabs>
        <w:tab w:val="right" w:leader="dot" w:pos="4176"/>
      </w:tabs>
    </w:pPr>
  </w:style>
  <w:style w:type="paragraph" w:styleId="ListNumber2">
    <w:name w:val="List Number 2"/>
    <w:basedOn w:val="List2"/>
    <w:rsid w:val="00406CCD"/>
    <w:pPr>
      <w:numPr>
        <w:numId w:val="9"/>
      </w:numPr>
      <w:tabs>
        <w:tab w:val="clear" w:pos="1060"/>
      </w:tabs>
    </w:pPr>
  </w:style>
  <w:style w:type="paragraph" w:customStyle="1" w:styleId="MarginNote">
    <w:name w:val="Margin Note"/>
    <w:basedOn w:val="BodyText"/>
    <w:rsid w:val="00406C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C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C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6CCD"/>
    <w:rPr>
      <w:sz w:val="32"/>
    </w:rPr>
  </w:style>
  <w:style w:type="paragraph" w:customStyle="1" w:styleId="HeadingProcedure">
    <w:name w:val="Heading Procedure"/>
    <w:basedOn w:val="HeadingBase"/>
    <w:next w:val="Normal"/>
    <w:rsid w:val="00406CCD"/>
    <w:pPr>
      <w:tabs>
        <w:tab w:val="left" w:pos="0"/>
      </w:tabs>
      <w:spacing w:before="120" w:after="60"/>
    </w:pPr>
    <w:rPr>
      <w:i/>
      <w:color w:val="918585"/>
      <w:sz w:val="22"/>
    </w:rPr>
  </w:style>
  <w:style w:type="paragraph" w:customStyle="1" w:styleId="TableBodyText">
    <w:name w:val="Table Body Text"/>
    <w:basedOn w:val="BodyText"/>
    <w:rsid w:val="00406CCD"/>
    <w:pPr>
      <w:spacing w:before="60" w:after="60"/>
    </w:pPr>
  </w:style>
  <w:style w:type="paragraph" w:styleId="ListContinue">
    <w:name w:val="List Continue"/>
    <w:basedOn w:val="List"/>
    <w:rsid w:val="00406CCD"/>
    <w:pPr>
      <w:ind w:firstLine="0"/>
    </w:pPr>
  </w:style>
  <w:style w:type="paragraph" w:customStyle="1" w:styleId="ListNote">
    <w:name w:val="List Note"/>
    <w:basedOn w:val="List"/>
    <w:rsid w:val="00406CCD"/>
    <w:pPr>
      <w:pBdr>
        <w:top w:val="single" w:sz="6" w:space="2" w:color="918585"/>
        <w:bottom w:val="single" w:sz="6" w:space="2" w:color="918585"/>
      </w:pBdr>
      <w:tabs>
        <w:tab w:val="left" w:pos="1021"/>
      </w:tabs>
      <w:ind w:firstLine="0"/>
    </w:pPr>
  </w:style>
  <w:style w:type="paragraph" w:customStyle="1" w:styleId="Warning">
    <w:name w:val="Warning"/>
    <w:basedOn w:val="BodyText"/>
    <w:rsid w:val="00406CCD"/>
    <w:pPr>
      <w:shd w:val="clear" w:color="auto" w:fill="D9D9D9"/>
      <w:tabs>
        <w:tab w:val="left" w:pos="992"/>
      </w:tabs>
      <w:ind w:left="119" w:right="119"/>
    </w:pPr>
    <w:rPr>
      <w:sz w:val="20"/>
    </w:rPr>
  </w:style>
  <w:style w:type="paragraph" w:customStyle="1" w:styleId="MarginIcons">
    <w:name w:val="Margin Icons"/>
    <w:basedOn w:val="BodyText"/>
    <w:rsid w:val="00406C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CCD"/>
    <w:rPr>
      <w:rFonts w:ascii="Courier New" w:hAnsi="Courier New"/>
    </w:rPr>
  </w:style>
  <w:style w:type="paragraph" w:customStyle="1" w:styleId="NoteBullet">
    <w:name w:val="Note Bullet"/>
    <w:basedOn w:val="Note"/>
    <w:rsid w:val="00406CCD"/>
    <w:pPr>
      <w:tabs>
        <w:tab w:val="clear" w:pos="680"/>
      </w:tabs>
      <w:spacing w:before="60" w:after="60"/>
    </w:pPr>
  </w:style>
  <w:style w:type="paragraph" w:customStyle="1" w:styleId="SubHeading2">
    <w:name w:val="SubHeading2"/>
    <w:basedOn w:val="HeadingBase"/>
    <w:rsid w:val="00406CCD"/>
    <w:pPr>
      <w:spacing w:before="240" w:after="60"/>
    </w:pPr>
    <w:rPr>
      <w:sz w:val="20"/>
    </w:rPr>
  </w:style>
  <w:style w:type="paragraph" w:customStyle="1" w:styleId="SubHeading1">
    <w:name w:val="SubHeading1"/>
    <w:basedOn w:val="HeadingBase"/>
    <w:rsid w:val="00406CCD"/>
    <w:pPr>
      <w:spacing w:before="240" w:after="60"/>
    </w:pPr>
    <w:rPr>
      <w:color w:val="918585"/>
      <w:sz w:val="22"/>
    </w:rPr>
  </w:style>
  <w:style w:type="paragraph" w:customStyle="1" w:styleId="SideHeading">
    <w:name w:val="Side Heading"/>
    <w:basedOn w:val="HeadingBase"/>
    <w:rsid w:val="00406C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CCD"/>
    <w:pPr>
      <w:tabs>
        <w:tab w:val="num" w:pos="360"/>
      </w:tabs>
    </w:pPr>
  </w:style>
  <w:style w:type="paragraph" w:styleId="PlainText">
    <w:name w:val="Plain Text"/>
    <w:basedOn w:val="Normal"/>
    <w:link w:val="PlainTextChar"/>
    <w:rsid w:val="00406CCD"/>
    <w:rPr>
      <w:sz w:val="20"/>
    </w:rPr>
  </w:style>
  <w:style w:type="character" w:customStyle="1" w:styleId="PlainTextChar">
    <w:name w:val="Plain Text Char"/>
    <w:basedOn w:val="DefaultParagraphFont"/>
    <w:link w:val="PlainText"/>
    <w:rsid w:val="00406C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6CCD"/>
    <w:rPr>
      <w:b/>
      <w:smallCaps/>
    </w:rPr>
  </w:style>
  <w:style w:type="paragraph" w:customStyle="1" w:styleId="TableListNumber">
    <w:name w:val="Table List Number"/>
    <w:basedOn w:val="ListNumber"/>
    <w:rsid w:val="00406CCD"/>
    <w:pPr>
      <w:numPr>
        <w:numId w:val="0"/>
      </w:numPr>
    </w:pPr>
  </w:style>
  <w:style w:type="paragraph" w:styleId="TOC4">
    <w:name w:val="toc 4"/>
    <w:basedOn w:val="TOCBase"/>
    <w:next w:val="Normal"/>
    <w:semiHidden/>
    <w:rsid w:val="00406CCD"/>
    <w:pPr>
      <w:tabs>
        <w:tab w:val="right" w:leader="dot" w:pos="9071"/>
      </w:tabs>
      <w:ind w:left="1701"/>
    </w:pPr>
  </w:style>
  <w:style w:type="paragraph" w:customStyle="1" w:styleId="ListAlpha">
    <w:name w:val="List Alpha"/>
    <w:basedOn w:val="List"/>
    <w:rsid w:val="00406CCD"/>
    <w:pPr>
      <w:numPr>
        <w:numId w:val="8"/>
      </w:numPr>
    </w:pPr>
  </w:style>
  <w:style w:type="paragraph" w:customStyle="1" w:styleId="ListAlpha2">
    <w:name w:val="List Alpha 2"/>
    <w:basedOn w:val="List2"/>
    <w:rsid w:val="00406CCD"/>
    <w:pPr>
      <w:numPr>
        <w:numId w:val="7"/>
      </w:numPr>
    </w:pPr>
  </w:style>
  <w:style w:type="paragraph" w:styleId="List3">
    <w:name w:val="List 3"/>
    <w:basedOn w:val="BodyText"/>
    <w:rsid w:val="00406CCD"/>
    <w:pPr>
      <w:tabs>
        <w:tab w:val="left" w:pos="1021"/>
      </w:tabs>
      <w:spacing w:before="60" w:after="60"/>
      <w:ind w:left="1020" w:hanging="340"/>
    </w:pPr>
  </w:style>
  <w:style w:type="paragraph" w:styleId="List4">
    <w:name w:val="List 4"/>
    <w:basedOn w:val="BodyText"/>
    <w:rsid w:val="00406CCD"/>
    <w:pPr>
      <w:tabs>
        <w:tab w:val="left" w:pos="1361"/>
      </w:tabs>
      <w:spacing w:before="60" w:after="60"/>
      <w:ind w:left="1361" w:hanging="340"/>
    </w:pPr>
  </w:style>
  <w:style w:type="paragraph" w:styleId="List5">
    <w:name w:val="List 5"/>
    <w:basedOn w:val="BodyText"/>
    <w:rsid w:val="00406CCD"/>
    <w:pPr>
      <w:tabs>
        <w:tab w:val="left" w:pos="1701"/>
      </w:tabs>
      <w:spacing w:before="60" w:after="60"/>
      <w:ind w:left="1701" w:hanging="340"/>
    </w:pPr>
  </w:style>
  <w:style w:type="paragraph" w:styleId="ListBullet3">
    <w:name w:val="List Bullet 3"/>
    <w:basedOn w:val="List3"/>
    <w:rsid w:val="00406CCD"/>
    <w:pPr>
      <w:numPr>
        <w:numId w:val="14"/>
      </w:numPr>
      <w:tabs>
        <w:tab w:val="clear" w:pos="1021"/>
      </w:tabs>
      <w:ind w:left="1037" w:hanging="357"/>
    </w:pPr>
  </w:style>
  <w:style w:type="paragraph" w:styleId="ListBullet4">
    <w:name w:val="List Bullet 4"/>
    <w:basedOn w:val="List4"/>
    <w:rsid w:val="00406CCD"/>
    <w:pPr>
      <w:numPr>
        <w:numId w:val="2"/>
      </w:numPr>
    </w:pPr>
  </w:style>
  <w:style w:type="paragraph" w:styleId="ListBullet5">
    <w:name w:val="List Bullet 5"/>
    <w:basedOn w:val="List5"/>
    <w:rsid w:val="00406CCD"/>
    <w:pPr>
      <w:numPr>
        <w:numId w:val="3"/>
      </w:numPr>
    </w:pPr>
  </w:style>
  <w:style w:type="paragraph" w:styleId="ListContinue2">
    <w:name w:val="List Continue 2"/>
    <w:basedOn w:val="List2"/>
    <w:rsid w:val="00406CCD"/>
    <w:pPr>
      <w:ind w:firstLine="0"/>
    </w:pPr>
  </w:style>
  <w:style w:type="paragraph" w:styleId="ListContinue3">
    <w:name w:val="List Continue 3"/>
    <w:basedOn w:val="List3"/>
    <w:rsid w:val="00406CCD"/>
    <w:pPr>
      <w:ind w:left="1021" w:firstLine="0"/>
    </w:pPr>
  </w:style>
  <w:style w:type="paragraph" w:styleId="ListContinue4">
    <w:name w:val="List Continue 4"/>
    <w:basedOn w:val="List4"/>
    <w:rsid w:val="00406CCD"/>
    <w:pPr>
      <w:ind w:firstLine="0"/>
    </w:pPr>
  </w:style>
  <w:style w:type="paragraph" w:styleId="ListContinue5">
    <w:name w:val="List Continue 5"/>
    <w:basedOn w:val="List5"/>
    <w:rsid w:val="00406CCD"/>
    <w:pPr>
      <w:ind w:firstLine="0"/>
    </w:pPr>
  </w:style>
  <w:style w:type="paragraph" w:styleId="ListNumber3">
    <w:name w:val="List Number 3"/>
    <w:basedOn w:val="List3"/>
    <w:rsid w:val="00406CCD"/>
    <w:pPr>
      <w:numPr>
        <w:numId w:val="4"/>
      </w:numPr>
    </w:pPr>
  </w:style>
  <w:style w:type="paragraph" w:styleId="ListNumber4">
    <w:name w:val="List Number 4"/>
    <w:basedOn w:val="List4"/>
    <w:rsid w:val="00406CCD"/>
    <w:pPr>
      <w:numPr>
        <w:numId w:val="5"/>
      </w:numPr>
    </w:pPr>
  </w:style>
  <w:style w:type="paragraph" w:styleId="ListNumber5">
    <w:name w:val="List Number 5"/>
    <w:basedOn w:val="List5"/>
    <w:rsid w:val="00406CCD"/>
    <w:pPr>
      <w:numPr>
        <w:numId w:val="6"/>
      </w:numPr>
    </w:pPr>
  </w:style>
  <w:style w:type="paragraph" w:styleId="BlockText">
    <w:name w:val="Block Text"/>
    <w:basedOn w:val="Normal"/>
    <w:rsid w:val="00406CCD"/>
    <w:pPr>
      <w:spacing w:after="120"/>
      <w:ind w:left="1440" w:right="1440"/>
    </w:pPr>
  </w:style>
  <w:style w:type="character" w:customStyle="1" w:styleId="Subscript">
    <w:name w:val="Subscript"/>
    <w:basedOn w:val="DefaultParagraphFont"/>
    <w:rsid w:val="00406CCD"/>
    <w:rPr>
      <w:sz w:val="16"/>
      <w:vertAlign w:val="subscript"/>
    </w:rPr>
  </w:style>
  <w:style w:type="character" w:customStyle="1" w:styleId="Superscript">
    <w:name w:val="Superscript"/>
    <w:basedOn w:val="DefaultParagraphFont"/>
    <w:rsid w:val="00406CCD"/>
    <w:rPr>
      <w:sz w:val="16"/>
      <w:vertAlign w:val="superscript"/>
    </w:rPr>
  </w:style>
  <w:style w:type="character" w:customStyle="1" w:styleId="Symbols">
    <w:name w:val="Symbols"/>
    <w:basedOn w:val="DefaultParagraphFont"/>
    <w:rsid w:val="00406CCD"/>
    <w:rPr>
      <w:rFonts w:ascii="Symbol" w:hAnsi="Symbol"/>
    </w:rPr>
  </w:style>
  <w:style w:type="character" w:customStyle="1" w:styleId="MenuOptions">
    <w:name w:val="Menu Options"/>
    <w:basedOn w:val="DefaultParagraphFont"/>
    <w:rsid w:val="00406CCD"/>
    <w:rPr>
      <w:rFonts w:ascii="Arial Narrow" w:hAnsi="Arial Narrow"/>
      <w:smallCaps/>
    </w:rPr>
  </w:style>
  <w:style w:type="character" w:customStyle="1" w:styleId="Buttons">
    <w:name w:val="Buttons"/>
    <w:basedOn w:val="DefaultParagraphFont"/>
    <w:rsid w:val="00406CCD"/>
    <w:rPr>
      <w:b/>
    </w:rPr>
  </w:style>
  <w:style w:type="character" w:customStyle="1" w:styleId="Underlined">
    <w:name w:val="Underlined"/>
    <w:basedOn w:val="DefaultParagraphFont"/>
    <w:rsid w:val="00406CCD"/>
    <w:rPr>
      <w:u w:val="single"/>
    </w:rPr>
  </w:style>
  <w:style w:type="paragraph" w:customStyle="1" w:styleId="TableBodyTextRight">
    <w:name w:val="Table Body Text Right"/>
    <w:basedOn w:val="TableBodyText"/>
    <w:rsid w:val="00406CCD"/>
    <w:pPr>
      <w:widowControl w:val="0"/>
      <w:autoSpaceDE w:val="0"/>
      <w:autoSpaceDN w:val="0"/>
      <w:adjustRightInd w:val="0"/>
      <w:jc w:val="right"/>
    </w:pPr>
    <w:rPr>
      <w:rFonts w:cs="Arial"/>
      <w:szCs w:val="18"/>
    </w:rPr>
  </w:style>
  <w:style w:type="paragraph" w:customStyle="1" w:styleId="CopyrightText">
    <w:name w:val="Copyright Text"/>
    <w:basedOn w:val="BodyText"/>
    <w:rsid w:val="00406CCD"/>
    <w:rPr>
      <w:sz w:val="18"/>
    </w:rPr>
  </w:style>
  <w:style w:type="paragraph" w:customStyle="1" w:styleId="BodySmallRight">
    <w:name w:val="Body Small Right"/>
    <w:basedOn w:val="BodyTextRight"/>
    <w:rsid w:val="00406CCD"/>
    <w:rPr>
      <w:sz w:val="18"/>
      <w:szCs w:val="18"/>
    </w:rPr>
  </w:style>
  <w:style w:type="paragraph" w:customStyle="1" w:styleId="MarginEdition">
    <w:name w:val="Margin Edition"/>
    <w:basedOn w:val="MarginNote"/>
    <w:rsid w:val="00406CCD"/>
    <w:pPr>
      <w:spacing w:before="0" w:after="0"/>
    </w:pPr>
    <w:rPr>
      <w:rFonts w:ascii="Times New Roman" w:hAnsi="Times New Roman"/>
      <w:color w:val="999999"/>
    </w:rPr>
  </w:style>
  <w:style w:type="paragraph" w:customStyle="1" w:styleId="Spacer">
    <w:name w:val="Spacer"/>
    <w:basedOn w:val="Normal"/>
    <w:rsid w:val="00406CCD"/>
    <w:rPr>
      <w:sz w:val="2"/>
      <w:szCs w:val="2"/>
    </w:rPr>
  </w:style>
  <w:style w:type="character" w:customStyle="1" w:styleId="Small">
    <w:name w:val="Small"/>
    <w:basedOn w:val="DefaultParagraphFont"/>
    <w:rsid w:val="00406CCD"/>
    <w:rPr>
      <w:sz w:val="16"/>
    </w:rPr>
  </w:style>
  <w:style w:type="paragraph" w:customStyle="1" w:styleId="WideTable">
    <w:name w:val="Wide Table"/>
    <w:basedOn w:val="Normal"/>
    <w:rsid w:val="00406CCD"/>
    <w:pPr>
      <w:ind w:left="-1418"/>
    </w:pPr>
    <w:rPr>
      <w:sz w:val="2"/>
      <w:szCs w:val="2"/>
    </w:rPr>
  </w:style>
  <w:style w:type="character" w:styleId="PageNumber">
    <w:name w:val="page number"/>
    <w:basedOn w:val="DefaultParagraphFont"/>
    <w:rsid w:val="00406CCD"/>
  </w:style>
  <w:style w:type="paragraph" w:styleId="Quote">
    <w:name w:val="Quote"/>
    <w:basedOn w:val="Heading1"/>
    <w:link w:val="QuoteChar"/>
    <w:qFormat/>
    <w:rsid w:val="00406CCD"/>
    <w:rPr>
      <w:b w:val="0"/>
      <w:sz w:val="72"/>
      <w:szCs w:val="72"/>
      <w:lang w:val="en-NZ"/>
    </w:rPr>
  </w:style>
  <w:style w:type="character" w:customStyle="1" w:styleId="QuoteChar">
    <w:name w:val="Quote Char"/>
    <w:basedOn w:val="DefaultParagraphFont"/>
    <w:link w:val="Quote"/>
    <w:rsid w:val="00406C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CCD"/>
    <w:pPr>
      <w:pageBreakBefore/>
    </w:pPr>
  </w:style>
  <w:style w:type="paragraph" w:customStyle="1" w:styleId="Border">
    <w:name w:val="Border"/>
    <w:basedOn w:val="Normal"/>
    <w:qFormat/>
    <w:rsid w:val="00406C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CCD"/>
    <w:rPr>
      <w:b/>
      <w:bCs/>
      <w:i/>
      <w:iCs/>
      <w:color w:val="auto"/>
    </w:rPr>
  </w:style>
  <w:style w:type="paragraph" w:styleId="IntenseQuote">
    <w:name w:val="Intense Quote"/>
    <w:basedOn w:val="Normal"/>
    <w:next w:val="Normal"/>
    <w:link w:val="IntenseQuoteChar"/>
    <w:uiPriority w:val="30"/>
    <w:qFormat/>
    <w:rsid w:val="00406C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C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6CCD"/>
    <w:rPr>
      <w:smallCaps/>
      <w:color w:val="auto"/>
      <w:u w:val="single"/>
    </w:rPr>
  </w:style>
  <w:style w:type="character" w:styleId="IntenseReference">
    <w:name w:val="Intense Reference"/>
    <w:basedOn w:val="DefaultParagraphFont"/>
    <w:uiPriority w:val="32"/>
    <w:qFormat/>
    <w:rsid w:val="00406CCD"/>
    <w:rPr>
      <w:b/>
      <w:bCs/>
      <w:smallCaps/>
      <w:color w:val="auto"/>
      <w:spacing w:val="5"/>
      <w:u w:val="single"/>
    </w:rPr>
  </w:style>
  <w:style w:type="paragraph" w:customStyle="1" w:styleId="2ColumnHeading">
    <w:name w:val="2Column Heading"/>
    <w:basedOn w:val="BodyText"/>
    <w:qFormat/>
    <w:rsid w:val="00406CCD"/>
    <w:pPr>
      <w:spacing w:after="60"/>
      <w:ind w:left="-2268"/>
    </w:pPr>
    <w:rPr>
      <w:b/>
    </w:rPr>
  </w:style>
  <w:style w:type="paragraph" w:customStyle="1" w:styleId="Heading1TOC">
    <w:name w:val="Heading1 TOC"/>
    <w:basedOn w:val="Normal"/>
    <w:qFormat/>
    <w:rsid w:val="00406CCD"/>
    <w:pPr>
      <w:spacing w:before="240" w:after="120"/>
    </w:pPr>
    <w:rPr>
      <w:rFonts w:ascii="Times New Roman" w:hAnsi="Times New Roman"/>
      <w:b/>
      <w:sz w:val="32"/>
    </w:rPr>
  </w:style>
  <w:style w:type="paragraph" w:customStyle="1" w:styleId="Heading2TOC">
    <w:name w:val="Heading2 TOC"/>
    <w:basedOn w:val="Normal"/>
    <w:qFormat/>
    <w:rsid w:val="00406CCD"/>
    <w:pPr>
      <w:spacing w:before="240" w:after="60"/>
    </w:pPr>
    <w:rPr>
      <w:rFonts w:ascii="Times New Roman" w:hAnsi="Times New Roman"/>
      <w:b/>
      <w:sz w:val="28"/>
    </w:rPr>
  </w:style>
  <w:style w:type="character" w:customStyle="1" w:styleId="Underline">
    <w:name w:val="Underline"/>
    <w:basedOn w:val="DefaultParagraphFont"/>
    <w:qFormat/>
    <w:rsid w:val="00406CCD"/>
    <w:rPr>
      <w:u w:val="single"/>
    </w:rPr>
  </w:style>
  <w:style w:type="character" w:customStyle="1" w:styleId="BoldandItalics">
    <w:name w:val="Bold and Italics"/>
    <w:qFormat/>
    <w:rsid w:val="00406CCD"/>
    <w:rPr>
      <w:b/>
      <w:i/>
      <w:u w:val="none"/>
    </w:rPr>
  </w:style>
  <w:style w:type="paragraph" w:styleId="BalloonText">
    <w:name w:val="Balloon Text"/>
    <w:basedOn w:val="Normal"/>
    <w:link w:val="BalloonTextChar"/>
    <w:rsid w:val="00406CCD"/>
    <w:rPr>
      <w:rFonts w:ascii="Tahoma" w:hAnsi="Tahoma" w:cs="Tahoma"/>
      <w:sz w:val="16"/>
      <w:szCs w:val="16"/>
    </w:rPr>
  </w:style>
  <w:style w:type="character" w:customStyle="1" w:styleId="BalloonTextChar">
    <w:name w:val="Balloon Text Char"/>
    <w:basedOn w:val="DefaultParagraphFont"/>
    <w:link w:val="BalloonText"/>
    <w:rsid w:val="00406C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6C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6C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1180</Words>
  <Characters>7300</Characters>
  <Application>Microsoft Office Word</Application>
  <DocSecurity>0</DocSecurity>
  <Lines>263</Lines>
  <Paragraphs>120</Paragraphs>
  <ScaleCrop>false</ScaleCrop>
  <Company>Author-it Software Corporation Ltd.</Company>
  <LinksUpToDate>false</LinksUpToDate>
  <CharactersWithSpaces>8424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MEM18033B Perform engine bottom-end overhaul</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2012-05-27T01:53:00Z</dcterms:created>
  <dcterms:modified xsi:type="dcterms:W3CDTF">2012-05-27T01:53:00Z</dcterms:modified>
</cp:coreProperties>
</file>