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355" w:rsidP="00124355">
      <w:pPr>
        <w:pStyle w:val="Title"/>
      </w:pPr>
      <w:r>
        <w:fldChar w:fldCharType="begin"/>
      </w:r>
      <w:r>
        <w:instrText xml:space="preserve"> TITLE   \* MERGEFORMAT </w:instrText>
      </w:r>
      <w:r>
        <w:fldChar w:fldCharType="separate"/>
      </w:r>
      <w:r>
        <w:t>MEM18032B Maintain induction/exhaust systems</w:t>
      </w:r>
      <w:r>
        <w:fldChar w:fldCharType="end"/>
      </w:r>
    </w:p>
    <w:p w:rsidR="00124355" w:rsidP="00124355">
      <w:pPr>
        <w:pStyle w:val="Version"/>
        <w:sectPr w:rsidSect="004F0C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C7D" w:rsidP="004F0C7D">
      <w:pPr>
        <w:pStyle w:val="SuperHeading"/>
      </w:pPr>
      <w:r w:rsidRPr="004F0C7D">
        <w:t>MEM18032B Maintain induction/exhaust systems</w:t>
      </w:r>
    </w:p>
    <w:p w:rsidR="00000000" w:rsidRPr="004F0C7D" w:rsidP="004F0C7D">
      <w:pPr>
        <w:pStyle w:val="Heading1"/>
      </w:pPr>
      <w:bookmarkStart w:id="1" w:name="O_272254"/>
      <w:bookmarkEnd w:id="1"/>
      <w:r w:rsidRPr="004F0C7D">
        <w:t>Modification History</w:t>
      </w:r>
    </w:p>
    <w:p w:rsidR="00000000" w:rsidRPr="004F0C7D" w:rsidP="004F0C7D">
      <w:pPr>
        <w:pStyle w:val="BodyText"/>
      </w:pPr>
      <w:r w:rsidRPr="004F0C7D">
        <w:t>Not Applicable</w:t>
      </w:r>
    </w:p>
    <w:p w:rsidR="00000000" w:rsidRPr="004F0C7D" w:rsidP="004F0C7D">
      <w:pPr>
        <w:pStyle w:val="AllowPageBreak"/>
      </w:pPr>
    </w:p>
    <w:p w:rsidR="00000000" w:rsidRPr="004F0C7D" w:rsidP="004F0C7D">
      <w:pPr>
        <w:pStyle w:val="Heading1"/>
      </w:pPr>
      <w:bookmarkStart w:id="2" w:name="O_212216"/>
      <w:bookmarkEnd w:id="2"/>
      <w:r w:rsidRPr="004F0C7D">
        <w:t>Unit Descriptor</w:t>
      </w:r>
    </w:p>
    <w:tbl>
      <w:tblPr>
        <w:tblW w:w="0" w:type="auto"/>
        <w:tblLayout w:type="fixed"/>
        <w:tblCellMar>
          <w:left w:w="62" w:type="dxa"/>
          <w:right w:w="62" w:type="dxa"/>
        </w:tblCellMar>
        <w:tblLook w:val="0000"/>
      </w:tblPr>
      <w:tblGrid>
        <w:gridCol w:w="2659"/>
        <w:gridCol w:w="5863"/>
      </w:tblGrid>
      <w:tr w:rsidTr="00124355">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This unit covers assessing induction/exhaust system operation and repairing or replacing faulty components</w:t>
            </w:r>
            <w:r w:rsidRPr="004F0C7D">
              <w:t>.</w:t>
            </w:r>
          </w:p>
        </w:tc>
      </w:tr>
    </w:tbl>
    <w:p w:rsidR="00124355" w:rsidP="004F0C7D">
      <w:pPr>
        <w:pStyle w:val="BodyText"/>
      </w:pPr>
    </w:p>
    <w:p w:rsidR="00124355" w:rsidP="004F0C7D">
      <w:pPr>
        <w:pStyle w:val="BodyText"/>
      </w:pPr>
    </w:p>
    <w:p w:rsidR="00000000" w:rsidRPr="004F0C7D" w:rsidP="004F0C7D">
      <w:pPr>
        <w:pStyle w:val="Heading1"/>
      </w:pPr>
      <w:bookmarkStart w:id="3" w:name="O_212220"/>
      <w:bookmarkEnd w:id="3"/>
      <w:r w:rsidRPr="004F0C7D">
        <w:t>Application of the Unit</w:t>
      </w:r>
    </w:p>
    <w:tbl>
      <w:tblPr>
        <w:tblW w:w="0" w:type="auto"/>
        <w:tblLayout w:type="fixed"/>
        <w:tblCellMar>
          <w:left w:w="62" w:type="dxa"/>
          <w:right w:w="62" w:type="dxa"/>
        </w:tblCellMar>
        <w:tblLook w:val="0000"/>
      </w:tblPr>
      <w:tblGrid>
        <w:gridCol w:w="2745"/>
        <w:gridCol w:w="5777"/>
      </w:tblGrid>
      <w:tr w:rsidTr="0012435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 xml:space="preserve">Testing procedures would typically require the person to understand the operation of the apparatus installed to balance fuel injection to boost </w:t>
            </w:r>
            <w:r w:rsidRPr="004F0C7D">
              <w:t>pressure; and control devices installed to prevent excessive turbocharger RPM and/or boost pressure. Typical faults would be associated with excessive air inlet restrictions, excessive exhaust back pressures, too much/little boost pressure, ineffective int</w:t>
            </w:r>
            <w:r w:rsidRPr="004F0C7D">
              <w:t>er/after cooling, etc.</w:t>
            </w:r>
          </w:p>
          <w:p w:rsidR="00000000" w:rsidRPr="004F0C7D" w:rsidP="004F0C7D">
            <w:pPr>
              <w:pStyle w:val="BodyText"/>
            </w:pPr>
          </w:p>
          <w:p w:rsidR="00000000" w:rsidRPr="004F0C7D" w:rsidP="004F0C7D">
            <w:pPr>
              <w:pStyle w:val="BodyText"/>
            </w:pPr>
            <w:r w:rsidRPr="004F0C7D">
              <w:rPr>
                <w:rStyle w:val="SpecialBold"/>
              </w:rPr>
              <w:t>Band</w:t>
            </w:r>
            <w:r w:rsidRPr="004F0C7D">
              <w:t>:</w:t>
            </w:r>
            <w:r w:rsidRPr="004F0C7D">
              <w:tab/>
            </w:r>
            <w:r w:rsidRPr="004F0C7D">
              <w:rPr>
                <w:rStyle w:val="SpecialBold"/>
              </w:rPr>
              <w:t>A</w:t>
            </w:r>
          </w:p>
          <w:p w:rsidR="00000000" w:rsidRPr="004F0C7D" w:rsidP="004F0C7D">
            <w:pPr>
              <w:pStyle w:val="BodyText"/>
            </w:pPr>
            <w:r w:rsidRPr="004F0C7D">
              <w:rPr>
                <w:rStyle w:val="SpecialBold"/>
              </w:rPr>
              <w:t>Unit Weight</w:t>
            </w:r>
            <w:r w:rsidRPr="004F0C7D">
              <w:t>:</w:t>
            </w:r>
            <w:r w:rsidRPr="004F0C7D">
              <w:tab/>
            </w:r>
            <w:r w:rsidRPr="004F0C7D">
              <w:rPr>
                <w:rStyle w:val="SpecialBold"/>
              </w:rPr>
              <w:t>4</w:t>
            </w:r>
          </w:p>
        </w:tc>
      </w:tr>
    </w:tbl>
    <w:p w:rsidR="00124355" w:rsidP="004F0C7D">
      <w:pPr>
        <w:pStyle w:val="BodyText"/>
      </w:pPr>
    </w:p>
    <w:p w:rsidR="00124355" w:rsidP="004F0C7D">
      <w:pPr>
        <w:pStyle w:val="BodyText"/>
      </w:pPr>
    </w:p>
    <w:p w:rsidR="00000000" w:rsidRPr="004F0C7D" w:rsidP="004F0C7D">
      <w:pPr>
        <w:pStyle w:val="Heading1"/>
      </w:pPr>
      <w:bookmarkStart w:id="4" w:name="O_280514"/>
      <w:bookmarkEnd w:id="4"/>
      <w:r w:rsidRPr="004F0C7D">
        <w:t>Licensing/Regulatory Information</w:t>
      </w:r>
    </w:p>
    <w:p w:rsidR="00000000" w:rsidRPr="004F0C7D" w:rsidP="004F0C7D">
      <w:pPr>
        <w:pStyle w:val="BodyText"/>
      </w:pPr>
      <w:r w:rsidRPr="004F0C7D">
        <w:t>Not Applicable</w:t>
      </w:r>
    </w:p>
    <w:p w:rsidR="00000000" w:rsidRPr="004F0C7D" w:rsidP="004F0C7D">
      <w:pPr>
        <w:pStyle w:val="AllowPageBreak"/>
      </w:pPr>
    </w:p>
    <w:p w:rsidR="00000000" w:rsidRPr="004F0C7D" w:rsidP="004F0C7D">
      <w:pPr>
        <w:pStyle w:val="Heading1"/>
      </w:pPr>
      <w:bookmarkStart w:id="5" w:name="O_212218"/>
      <w:bookmarkEnd w:id="5"/>
      <w:r w:rsidRPr="004F0C7D">
        <w:t>Pre-Requisites</w:t>
      </w:r>
    </w:p>
    <w:tbl>
      <w:tblPr>
        <w:tblW w:w="0" w:type="auto"/>
        <w:tblLayout w:type="fixed"/>
        <w:tblCellMar>
          <w:left w:w="62" w:type="dxa"/>
          <w:right w:w="62" w:type="dxa"/>
        </w:tblCellMar>
        <w:tblLook w:val="0000"/>
      </w:tblPr>
      <w:tblGrid>
        <w:gridCol w:w="2706"/>
        <w:gridCol w:w="2207"/>
        <w:gridCol w:w="3609"/>
      </w:tblGrid>
      <w:tr w:rsidTr="00124355">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p>
        </w:tc>
      </w:tr>
      <w:tr w:rsidTr="0012435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Path 1</w:t>
            </w:r>
            <w:r w:rsidRPr="004F0C7D">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Interpret technical drawing</w:t>
            </w:r>
          </w:p>
        </w:tc>
      </w:tr>
      <w:tr w:rsidTr="0012435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Perform engineering measurements</w:t>
            </w:r>
          </w:p>
        </w:tc>
      </w:tr>
      <w:tr w:rsidTr="0012435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Use hand tools</w:t>
            </w:r>
          </w:p>
        </w:tc>
      </w:tr>
      <w:tr w:rsidTr="0012435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Use power tools/hand held operations</w:t>
            </w:r>
          </w:p>
        </w:tc>
      </w:tr>
      <w:tr w:rsidTr="0012435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Dismantle, replace and assemble engineering components</w:t>
            </w:r>
          </w:p>
        </w:tc>
      </w:tr>
    </w:tbl>
    <w:p w:rsidR="00124355" w:rsidP="004F0C7D">
      <w:pPr>
        <w:pStyle w:val="BodyText"/>
      </w:pPr>
    </w:p>
    <w:p w:rsidR="00124355" w:rsidP="004F0C7D">
      <w:pPr>
        <w:pStyle w:val="BodyText"/>
      </w:pPr>
    </w:p>
    <w:p w:rsidR="00000000" w:rsidRPr="004F0C7D" w:rsidP="004F0C7D">
      <w:pPr>
        <w:pStyle w:val="Heading1"/>
      </w:pPr>
      <w:bookmarkStart w:id="6" w:name="O_212217"/>
      <w:bookmarkEnd w:id="6"/>
      <w:r w:rsidRPr="004F0C7D">
        <w:t>Employability Skills Information</w:t>
      </w:r>
    </w:p>
    <w:tbl>
      <w:tblPr>
        <w:tblW w:w="0" w:type="auto"/>
        <w:tblLayout w:type="fixed"/>
        <w:tblCellMar>
          <w:left w:w="62" w:type="dxa"/>
          <w:right w:w="62" w:type="dxa"/>
        </w:tblCellMar>
        <w:tblLook w:val="0000"/>
      </w:tblPr>
      <w:tblGrid>
        <w:gridCol w:w="2802"/>
        <w:gridCol w:w="5720"/>
      </w:tblGrid>
      <w:tr w:rsidTr="001243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This unit contains employability skills.</w:t>
            </w:r>
          </w:p>
        </w:tc>
      </w:tr>
    </w:tbl>
    <w:p w:rsidR="00124355" w:rsidP="004F0C7D">
      <w:pPr>
        <w:pStyle w:val="BodyText"/>
      </w:pPr>
    </w:p>
    <w:p w:rsidR="00124355" w:rsidP="004F0C7D">
      <w:pPr>
        <w:pStyle w:val="BodyText"/>
      </w:pPr>
    </w:p>
    <w:p w:rsidR="00000000" w:rsidRPr="004F0C7D" w:rsidP="004F0C7D">
      <w:pPr>
        <w:pStyle w:val="Heading1"/>
      </w:pPr>
      <w:bookmarkStart w:id="7" w:name="O_290300"/>
      <w:bookmarkEnd w:id="7"/>
      <w:r w:rsidRPr="004F0C7D">
        <w:t>Elements and Performance Criteria Pre-Content</w:t>
      </w:r>
    </w:p>
    <w:tbl>
      <w:tblPr>
        <w:tblW w:w="0" w:type="auto"/>
        <w:tblLayout w:type="fixed"/>
        <w:tblCellMar>
          <w:left w:w="62" w:type="dxa"/>
          <w:right w:w="62" w:type="dxa"/>
        </w:tblCellMar>
        <w:tblLook w:val="0000"/>
      </w:tblPr>
      <w:tblGrid>
        <w:gridCol w:w="2615"/>
        <w:gridCol w:w="5907"/>
      </w:tblGrid>
      <w:tr w:rsidTr="00124355">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Performance criteria describe the performance needed to demonstrate achievement of the element. Where bold italicised text is used, further information is detailed in the required skills and knowledge section and the range statement. Assessment of performa</w:t>
            </w:r>
            <w:r w:rsidRPr="004F0C7D">
              <w:t>nce is to be consistent with the evidence guide.</w:t>
            </w:r>
          </w:p>
        </w:tc>
      </w:tr>
    </w:tbl>
    <w:p w:rsidR="00000000" w:rsidRPr="004F0C7D" w:rsidP="004F0C7D">
      <w:pPr>
        <w:pStyle w:val="BodyText"/>
      </w:pPr>
    </w:p>
    <w:p w:rsidR="00000000" w:rsidRPr="004F0C7D" w:rsidP="004F0C7D">
      <w:pPr>
        <w:pStyle w:val="AllowPageBreak"/>
      </w:pPr>
    </w:p>
    <w:p w:rsidR="00000000" w:rsidRPr="004F0C7D" w:rsidP="004F0C7D">
      <w:pPr>
        <w:pStyle w:val="Heading1"/>
      </w:pPr>
      <w:bookmarkStart w:id="8" w:name="O_236967"/>
      <w:bookmarkEnd w:id="8"/>
      <w:r w:rsidRPr="004F0C7D">
        <w:t>Elements and Performance Criteria</w:t>
      </w:r>
    </w:p>
    <w:tbl>
      <w:tblPr>
        <w:tblW w:w="0" w:type="auto"/>
        <w:tblLayout w:type="fixed"/>
        <w:tblCellMar>
          <w:left w:w="62" w:type="dxa"/>
          <w:right w:w="62" w:type="dxa"/>
        </w:tblCellMar>
        <w:tblLook w:val="0000"/>
      </w:tblPr>
      <w:tblGrid>
        <w:gridCol w:w="2615"/>
        <w:gridCol w:w="5907"/>
      </w:tblGrid>
      <w:tr w:rsidTr="0012435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PERFORMANCE CRITERIA</w:t>
            </w:r>
          </w:p>
        </w:tc>
      </w:tr>
      <w:tr w:rsidTr="00124355">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List"/>
              <w:rPr>
                <w:lang w:val="en-NZ"/>
              </w:rPr>
            </w:pPr>
            <w:r w:rsidRPr="004F0C7D">
              <w:t>1.</w:t>
            </w:r>
            <w:r w:rsidRPr="004F0C7D">
              <w:tab/>
              <w:t xml:space="preserve">Assess induction/exhaust system operation </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List2"/>
            </w:pPr>
            <w:r w:rsidRPr="004F0C7D">
              <w:t>1.1.</w:t>
            </w:r>
            <w:r w:rsidRPr="004F0C7D">
              <w:tab/>
              <w:t>Superchar</w:t>
            </w:r>
            <w:r w:rsidRPr="004F0C7D">
              <w:t>ging, filtering, inter/after cooling principles, terminology and applications are understood.</w:t>
            </w:r>
          </w:p>
          <w:p w:rsidR="00000000" w:rsidRPr="004F0C7D" w:rsidP="004F0C7D">
            <w:pPr>
              <w:pStyle w:val="List2"/>
            </w:pPr>
            <w:r w:rsidRPr="004F0C7D">
              <w:t>1.2.</w:t>
            </w:r>
            <w:r w:rsidRPr="004F0C7D">
              <w:tab/>
              <w:t>Relevant information is obtained and correctly interpreted prior to any testing.</w:t>
            </w:r>
          </w:p>
          <w:p w:rsidR="00000000" w:rsidRPr="004F0C7D" w:rsidP="004F0C7D">
            <w:pPr>
              <w:pStyle w:val="List2"/>
            </w:pPr>
            <w:r w:rsidRPr="004F0C7D">
              <w:t>1.3.</w:t>
            </w:r>
            <w:r w:rsidRPr="004F0C7D">
              <w:tab/>
              <w:t>Checks are undertaken safely and to prescribed procedures.</w:t>
            </w:r>
          </w:p>
          <w:p w:rsidR="00000000" w:rsidRPr="004F0C7D" w:rsidP="004F0C7D">
            <w:pPr>
              <w:pStyle w:val="List2"/>
            </w:pPr>
            <w:r w:rsidRPr="004F0C7D">
              <w:t>1.4.</w:t>
            </w:r>
            <w:r w:rsidRPr="004F0C7D">
              <w:tab/>
              <w:t xml:space="preserve">Flows, </w:t>
            </w:r>
            <w:r w:rsidRPr="004F0C7D">
              <w:t>pressures and temperatures are correctly determined and recorded.</w:t>
            </w:r>
          </w:p>
          <w:p w:rsidR="00000000" w:rsidRPr="004F0C7D" w:rsidP="004F0C7D">
            <w:pPr>
              <w:pStyle w:val="List2"/>
            </w:pPr>
            <w:r w:rsidRPr="004F0C7D">
              <w:t>1.5.</w:t>
            </w:r>
            <w:r w:rsidRPr="004F0C7D">
              <w:tab/>
              <w:t>Faults are correctly isolated to component level and appropriate corrective action is determined.</w:t>
            </w:r>
          </w:p>
          <w:p w:rsidR="00000000" w:rsidP="004F0C7D">
            <w:pPr>
              <w:pStyle w:val="List2"/>
              <w:rPr>
                <w:lang w:val="en-NZ"/>
              </w:rPr>
            </w:pPr>
            <w:r w:rsidRPr="004F0C7D">
              <w:t>1.6.</w:t>
            </w:r>
            <w:r w:rsidRPr="004F0C7D">
              <w:tab/>
              <w:t>Test instruments and equipment are used correctly.</w:t>
            </w:r>
          </w:p>
        </w:tc>
      </w:tr>
      <w:tr w:rsidTr="00124355">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List"/>
              <w:rPr>
                <w:lang w:val="en-NZ"/>
              </w:rPr>
            </w:pPr>
            <w:r w:rsidRPr="004F0C7D">
              <w:t>2.</w:t>
            </w:r>
            <w:r w:rsidRPr="004F0C7D">
              <w:tab/>
              <w:t>Rectify faulty components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List2"/>
            </w:pPr>
            <w:r w:rsidRPr="004F0C7D">
              <w:t>2</w:t>
            </w:r>
            <w:r w:rsidRPr="004F0C7D">
              <w:t>.1.</w:t>
            </w:r>
            <w:r w:rsidRPr="004F0C7D">
              <w:tab/>
              <w:t>Component wear and clearances are correctly determined using manufacturers' recommendations.</w:t>
            </w:r>
          </w:p>
          <w:p w:rsidR="00000000" w:rsidRPr="004F0C7D" w:rsidP="004F0C7D">
            <w:pPr>
              <w:pStyle w:val="List2"/>
            </w:pPr>
            <w:r w:rsidRPr="004F0C7D">
              <w:t>2.2.</w:t>
            </w:r>
            <w:r w:rsidRPr="004F0C7D">
              <w:tab/>
              <w:t>Replacement components are correctly selected using manufacturers' data.</w:t>
            </w:r>
          </w:p>
          <w:p w:rsidR="00000000" w:rsidRPr="004F0C7D" w:rsidP="004F0C7D">
            <w:pPr>
              <w:pStyle w:val="List2"/>
            </w:pPr>
            <w:r w:rsidRPr="004F0C7D">
              <w:t>2.3.</w:t>
            </w:r>
            <w:r w:rsidRPr="004F0C7D">
              <w:tab/>
              <w:t>Components are removed and refitted to engine following prescribed procedure</w:t>
            </w:r>
            <w:r w:rsidRPr="004F0C7D">
              <w:t>s.</w:t>
            </w:r>
          </w:p>
          <w:p w:rsidR="00000000" w:rsidRPr="004F0C7D" w:rsidP="004F0C7D">
            <w:pPr>
              <w:pStyle w:val="List2"/>
            </w:pPr>
            <w:r w:rsidRPr="004F0C7D">
              <w:t>2.4.</w:t>
            </w:r>
            <w:r w:rsidRPr="004F0C7D">
              <w:tab/>
              <w:t>Test and rectification activities are accurately recorded.</w:t>
            </w:r>
          </w:p>
          <w:p w:rsidR="00000000" w:rsidRPr="004F0C7D" w:rsidP="004F0C7D">
            <w:pPr>
              <w:pStyle w:val="List2"/>
            </w:pPr>
            <w:r w:rsidRPr="004F0C7D">
              <w:t>2.5.</w:t>
            </w:r>
            <w:r w:rsidRPr="004F0C7D">
              <w:tab/>
              <w:t>Engine is free of air/exhaust leaks after repair work is carried out.</w:t>
            </w:r>
          </w:p>
        </w:tc>
      </w:tr>
    </w:tbl>
    <w:p w:rsidR="00124355" w:rsidP="004F0C7D">
      <w:pPr>
        <w:pStyle w:val="BodyText"/>
      </w:pPr>
    </w:p>
    <w:p w:rsidR="00124355" w:rsidP="004F0C7D">
      <w:pPr>
        <w:pStyle w:val="BodyText"/>
      </w:pPr>
    </w:p>
    <w:p w:rsidR="00000000" w:rsidRPr="004F0C7D" w:rsidP="004F0C7D">
      <w:pPr>
        <w:pStyle w:val="Heading1"/>
      </w:pPr>
      <w:bookmarkStart w:id="9" w:name="O_260917"/>
      <w:bookmarkEnd w:id="9"/>
      <w:r w:rsidRPr="004F0C7D">
        <w:t>Required Skills and Knowledge</w:t>
      </w:r>
    </w:p>
    <w:tbl>
      <w:tblPr>
        <w:tblW w:w="0" w:type="auto"/>
        <w:tblLayout w:type="fixed"/>
        <w:tblCellMar>
          <w:left w:w="62" w:type="dxa"/>
          <w:right w:w="62" w:type="dxa"/>
        </w:tblCellMar>
        <w:tblLook w:val="0000"/>
      </w:tblPr>
      <w:tblGrid>
        <w:gridCol w:w="8522"/>
      </w:tblGrid>
      <w:tr w:rsidTr="001243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REQUIRED SKILLS AND KNOWLEDGE</w:t>
            </w:r>
          </w:p>
        </w:tc>
      </w:tr>
      <w:tr w:rsidTr="001243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This section describes the skills and knowledge required for this unit.</w:t>
            </w:r>
          </w:p>
        </w:tc>
      </w:tr>
      <w:tr w:rsidTr="00124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Required skills</w:t>
            </w:r>
          </w:p>
        </w:tc>
      </w:tr>
      <w:tr w:rsidTr="00124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Look for evidence that confirms skills in:</w:t>
            </w:r>
          </w:p>
          <w:p w:rsidR="00000000" w:rsidRPr="004F0C7D" w:rsidP="004F0C7D">
            <w:pPr>
              <w:pStyle w:val="ListBullet"/>
            </w:pPr>
            <w:r w:rsidRPr="004F0C7D">
              <w:t>reading, interpreting and following information on written job instructions, specifications, standard operating procedures</w:t>
            </w:r>
            <w:r w:rsidRPr="004F0C7D">
              <w:t>, charts, lists, drawings and other applicable reference documents</w:t>
            </w:r>
          </w:p>
          <w:p w:rsidR="00000000" w:rsidRPr="004F0C7D" w:rsidP="004F0C7D">
            <w:pPr>
              <w:pStyle w:val="ListBullet"/>
            </w:pPr>
            <w:r w:rsidRPr="004F0C7D">
              <w:t>planning and sequencing operations</w:t>
            </w:r>
          </w:p>
          <w:p w:rsidR="00000000" w:rsidRPr="004F0C7D" w:rsidP="004F0C7D">
            <w:pPr>
              <w:pStyle w:val="ListBullet"/>
            </w:pPr>
            <w:r w:rsidRPr="004F0C7D">
              <w:t>checking task-related information</w:t>
            </w:r>
          </w:p>
          <w:p w:rsidR="00000000" w:rsidRPr="004F0C7D" w:rsidP="004F0C7D">
            <w:pPr>
              <w:pStyle w:val="ListBullet"/>
            </w:pPr>
            <w:r w:rsidRPr="004F0C7D">
              <w:t>checking for conformance to specification</w:t>
            </w:r>
          </w:p>
          <w:p w:rsidR="00000000" w:rsidRPr="004F0C7D" w:rsidP="004F0C7D">
            <w:pPr>
              <w:pStyle w:val="ListBullet"/>
            </w:pPr>
            <w:r w:rsidRPr="004F0C7D">
              <w:t xml:space="preserve">identifying a variety of applications of supercharging, filtering inter and after cooling </w:t>
            </w:r>
          </w:p>
          <w:p w:rsidR="00000000" w:rsidRPr="004F0C7D" w:rsidP="004F0C7D">
            <w:pPr>
              <w:pStyle w:val="ListBullet"/>
            </w:pPr>
            <w:r w:rsidRPr="004F0C7D">
              <w:t>checking the induction/exhaust system for correct operation in accordance with standard operating procedures</w:t>
            </w:r>
          </w:p>
          <w:p w:rsidR="00000000" w:rsidRPr="004F0C7D" w:rsidP="004F0C7D">
            <w:pPr>
              <w:pStyle w:val="ListBullet"/>
            </w:pPr>
            <w:r w:rsidRPr="004F0C7D">
              <w:t>determining the flows, pressures and temperatures of the</w:t>
            </w:r>
            <w:r w:rsidRPr="004F0C7D">
              <w:t xml:space="preserve"> given induction/exhaust system using appropriate techniques and equipment </w:t>
            </w:r>
          </w:p>
          <w:p w:rsidR="00000000" w:rsidRPr="004F0C7D" w:rsidP="004F0C7D">
            <w:pPr>
              <w:pStyle w:val="ListBullet"/>
            </w:pPr>
            <w:r w:rsidRPr="004F0C7D">
              <w:t>isolating faulty component in accordance with standard operating procedures</w:t>
            </w:r>
          </w:p>
          <w:p w:rsidR="00000000" w:rsidRPr="004F0C7D" w:rsidP="004F0C7D">
            <w:pPr>
              <w:pStyle w:val="ListBullet"/>
            </w:pPr>
            <w:r w:rsidRPr="004F0C7D">
              <w:t xml:space="preserve">using all test instruments and equipment </w:t>
            </w:r>
          </w:p>
          <w:p w:rsidR="00000000" w:rsidRPr="004F0C7D" w:rsidP="004F0C7D">
            <w:pPr>
              <w:pStyle w:val="ListBullet"/>
            </w:pPr>
            <w:r w:rsidRPr="004F0C7D">
              <w:t xml:space="preserve">visually and dimensionally checking component parts for wear </w:t>
            </w:r>
          </w:p>
          <w:p w:rsidR="00000000" w:rsidRPr="004F0C7D" w:rsidP="004F0C7D">
            <w:pPr>
              <w:pStyle w:val="ListBullet"/>
            </w:pPr>
            <w:r w:rsidRPr="004F0C7D">
              <w:t>using supplier catalogues to select component parts</w:t>
            </w:r>
          </w:p>
          <w:p w:rsidR="00000000" w:rsidRPr="004F0C7D" w:rsidP="004F0C7D">
            <w:pPr>
              <w:pStyle w:val="ListBullet"/>
            </w:pPr>
            <w:r w:rsidRPr="004F0C7D">
              <w:t xml:space="preserve">removing components and fitting to engines </w:t>
            </w:r>
          </w:p>
          <w:p w:rsidR="00000000" w:rsidRPr="004F0C7D" w:rsidP="004F0C7D">
            <w:pPr>
              <w:pStyle w:val="ListBullet"/>
            </w:pPr>
            <w:r w:rsidRPr="004F0C7D">
              <w:t>recording all test and, where appropriate, repair activities</w:t>
            </w:r>
          </w:p>
          <w:p w:rsidR="00000000" w:rsidRPr="004F0C7D" w:rsidP="004F0C7D">
            <w:pPr>
              <w:pStyle w:val="ListBullet"/>
            </w:pPr>
            <w:r w:rsidRPr="004F0C7D">
              <w:t xml:space="preserve">checking the induction/exhaust system for leaks </w:t>
            </w:r>
          </w:p>
          <w:p w:rsidR="00000000" w:rsidP="004F0C7D">
            <w:pPr>
              <w:pStyle w:val="ListBullet"/>
              <w:rPr>
                <w:lang w:val="en-NZ"/>
              </w:rPr>
            </w:pPr>
            <w:r w:rsidRPr="004F0C7D">
              <w:t xml:space="preserve">undertaking calculations and numerical operations </w:t>
            </w:r>
            <w:r w:rsidRPr="004F0C7D">
              <w:t>within the scope of this unit</w:t>
            </w:r>
          </w:p>
        </w:tc>
      </w:tr>
      <w:tr w:rsidTr="00124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Required knowledge</w:t>
            </w:r>
          </w:p>
        </w:tc>
      </w:tr>
      <w:tr w:rsidTr="00124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Look for evidence that confirms knowledge of:</w:t>
            </w:r>
          </w:p>
          <w:p w:rsidR="00000000" w:rsidRPr="004F0C7D" w:rsidP="004F0C7D">
            <w:pPr>
              <w:pStyle w:val="ListBullet"/>
            </w:pPr>
            <w:r w:rsidRPr="004F0C7D">
              <w:t xml:space="preserve">the principles and terminology of supercharging, filtering, inter and after cooling </w:t>
            </w:r>
          </w:p>
          <w:p w:rsidR="00000000" w:rsidRPr="004F0C7D" w:rsidP="004F0C7D">
            <w:pPr>
              <w:pStyle w:val="ListBullet"/>
            </w:pPr>
            <w:r w:rsidRPr="004F0C7D">
              <w:t xml:space="preserve">the performance and operational specifications of the induction/exhaust system </w:t>
            </w:r>
          </w:p>
          <w:p w:rsidR="00000000" w:rsidRPr="004F0C7D" w:rsidP="004F0C7D">
            <w:pPr>
              <w:pStyle w:val="ListBullet"/>
            </w:pPr>
            <w:r w:rsidRPr="004F0C7D">
              <w:t xml:space="preserve">the procedures and safety precautions for testing induction/exhaust systems for correct operation </w:t>
            </w:r>
          </w:p>
          <w:p w:rsidR="00000000" w:rsidRPr="004F0C7D" w:rsidP="004F0C7D">
            <w:pPr>
              <w:pStyle w:val="ListBullet"/>
            </w:pPr>
            <w:r w:rsidRPr="004F0C7D">
              <w:t>the equipment and procedures necessary to test flows, pressures and temperatu</w:t>
            </w:r>
            <w:r w:rsidRPr="004F0C7D">
              <w:t xml:space="preserve">res associated with induction/exhaust systems </w:t>
            </w:r>
          </w:p>
          <w:p w:rsidR="00000000" w:rsidRPr="004F0C7D" w:rsidP="004F0C7D">
            <w:pPr>
              <w:pStyle w:val="ListBullet"/>
            </w:pPr>
            <w:r w:rsidRPr="004F0C7D">
              <w:t xml:space="preserve">the procedures for recording flows, pressures and temperatures </w:t>
            </w:r>
          </w:p>
          <w:p w:rsidR="00000000" w:rsidRPr="004F0C7D" w:rsidP="004F0C7D">
            <w:pPr>
              <w:pStyle w:val="ListBullet"/>
            </w:pPr>
            <w:r w:rsidRPr="004F0C7D">
              <w:t>common faults associated with induction/exhaust systems and causes of those faults</w:t>
            </w:r>
          </w:p>
          <w:p w:rsidR="00000000" w:rsidRPr="004F0C7D" w:rsidP="004F0C7D">
            <w:pPr>
              <w:pStyle w:val="ListBullet"/>
            </w:pPr>
            <w:r w:rsidRPr="004F0C7D">
              <w:t>the appropriate action and procedures for correcting common fa</w:t>
            </w:r>
            <w:r w:rsidRPr="004F0C7D">
              <w:t xml:space="preserve">ults in induction/exhaust systems </w:t>
            </w:r>
          </w:p>
          <w:p w:rsidR="00000000" w:rsidRPr="004F0C7D" w:rsidP="004F0C7D">
            <w:pPr>
              <w:pStyle w:val="ListBullet"/>
            </w:pPr>
            <w:r w:rsidRPr="004F0C7D">
              <w:t xml:space="preserve">the component specifications/tolerances and actions to be taken if the components are outside of specification </w:t>
            </w:r>
          </w:p>
          <w:p w:rsidR="00000000" w:rsidRPr="004F0C7D" w:rsidP="004F0C7D">
            <w:pPr>
              <w:pStyle w:val="ListBullet"/>
            </w:pPr>
            <w:r w:rsidRPr="004F0C7D">
              <w:t xml:space="preserve">the action to be taken if the components are 'just' within specification </w:t>
            </w:r>
          </w:p>
          <w:p w:rsidR="00000000" w:rsidRPr="004F0C7D" w:rsidP="004F0C7D">
            <w:pPr>
              <w:pStyle w:val="ListBullet"/>
            </w:pPr>
            <w:r w:rsidRPr="004F0C7D">
              <w:t>the measuring instruments to be use</w:t>
            </w:r>
            <w:r w:rsidRPr="004F0C7D">
              <w:t xml:space="preserve">d to carry out dimensional checks on components </w:t>
            </w:r>
          </w:p>
          <w:p w:rsidR="00000000" w:rsidRPr="004F0C7D" w:rsidP="004F0C7D">
            <w:pPr>
              <w:pStyle w:val="ListBullet"/>
            </w:pPr>
            <w:r w:rsidRPr="004F0C7D">
              <w:t xml:space="preserve">the procedures and safety precautions for removing/fitting components to engines </w:t>
            </w:r>
          </w:p>
          <w:p w:rsidR="00000000" w:rsidRPr="004F0C7D" w:rsidP="004F0C7D">
            <w:pPr>
              <w:pStyle w:val="ListBullet"/>
            </w:pPr>
            <w:r w:rsidRPr="004F0C7D">
              <w:t xml:space="preserve">the procedures for recording test and repair activities undertaken on induction/exhaust systems </w:t>
            </w:r>
          </w:p>
          <w:p w:rsidR="00000000" w:rsidRPr="004F0C7D" w:rsidP="004F0C7D">
            <w:pPr>
              <w:pStyle w:val="ListBullet"/>
            </w:pPr>
            <w:r w:rsidRPr="004F0C7D">
              <w:t>the consequences of air/exha</w:t>
            </w:r>
            <w:r w:rsidRPr="004F0C7D">
              <w:t xml:space="preserve">ust leaks on the safe operation of the induction/exhaust system and procedures for testing for leaks in induction/exhaust systems </w:t>
            </w:r>
          </w:p>
          <w:p w:rsidR="00000000" w:rsidRPr="004F0C7D" w:rsidP="004F0C7D">
            <w:pPr>
              <w:pStyle w:val="ListBullet"/>
            </w:pPr>
            <w:r w:rsidRPr="004F0C7D">
              <w:t>hazards and control measures associate with maintaining and rectifying induction/exhaust systems, including housekeeping</w:t>
            </w:r>
          </w:p>
          <w:p w:rsidR="00000000" w:rsidRPr="004F0C7D" w:rsidP="004F0C7D">
            <w:pPr>
              <w:pStyle w:val="ListBullet"/>
            </w:pPr>
            <w:r w:rsidRPr="004F0C7D">
              <w:t>safe work practices and procedures</w:t>
            </w:r>
          </w:p>
        </w:tc>
      </w:tr>
    </w:tbl>
    <w:p w:rsidR="00124355" w:rsidP="004F0C7D">
      <w:pPr>
        <w:pStyle w:val="BodyText"/>
      </w:pPr>
    </w:p>
    <w:p w:rsidR="00124355" w:rsidP="004F0C7D">
      <w:pPr>
        <w:pStyle w:val="BodyText"/>
      </w:pPr>
    </w:p>
    <w:p w:rsidR="00000000" w:rsidRPr="004F0C7D" w:rsidP="004F0C7D">
      <w:pPr>
        <w:pStyle w:val="AllowPageBreak"/>
      </w:pPr>
    </w:p>
    <w:p w:rsidR="00000000" w:rsidRPr="004F0C7D" w:rsidP="004F0C7D">
      <w:pPr>
        <w:pStyle w:val="Heading1"/>
      </w:pPr>
      <w:bookmarkStart w:id="10" w:name="O_244951"/>
      <w:bookmarkEnd w:id="10"/>
      <w:r w:rsidRPr="004F0C7D">
        <w:t>Evidence Guide</w:t>
      </w:r>
    </w:p>
    <w:tbl>
      <w:tblPr>
        <w:tblW w:w="9570" w:type="dxa"/>
        <w:tblLayout w:type="fixed"/>
        <w:tblCellMar>
          <w:left w:w="62" w:type="dxa"/>
          <w:right w:w="62" w:type="dxa"/>
        </w:tblCellMar>
        <w:tblLook w:val="0000"/>
      </w:tblPr>
      <w:tblGrid>
        <w:gridCol w:w="3908"/>
        <w:gridCol w:w="5662"/>
      </w:tblGrid>
      <w:tr w:rsidTr="001243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EVIDENCE GUIDE</w:t>
            </w:r>
          </w:p>
        </w:tc>
      </w:tr>
      <w:tr w:rsidTr="001243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 xml:space="preserve">The evidence guide provides advice on assessment and must be read in conjunction with the performance criteria, required skills and knowledge, </w:t>
            </w:r>
            <w:r w:rsidRPr="004F0C7D">
              <w:t>range statement and the Assessment Guidelines for the Training Package.</w:t>
            </w:r>
          </w:p>
        </w:tc>
      </w:tr>
      <w:tr w:rsidTr="001243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 xml:space="preserve">A person who demonstrates competency in this unit must be able to maintain and rectify induction/exhaust systems. Competency in this unit cannot </w:t>
            </w:r>
            <w:r w:rsidRPr="004F0C7D">
              <w:t>be claimed until all prerequisites have been satisfied.</w:t>
            </w:r>
          </w:p>
        </w:tc>
      </w:tr>
      <w:tr w:rsidTr="001243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Assessors must be satisfied that the candidate can competently and consistently perform all elements of th</w:t>
            </w:r>
            <w:r w:rsidRPr="004F0C7D">
              <w:t>e unit as specified by the criteria, including required knowledge, and be capable of applying the competency in new and different situations and contexts.</w:t>
            </w:r>
          </w:p>
        </w:tc>
      </w:tr>
      <w:tr w:rsidTr="001243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This unit may be assessed on the job, off the job o</w:t>
            </w:r>
            <w:r w:rsidRPr="004F0C7D">
              <w:t>r a combination of both on and off the job. Where assessment occurs off the job, that is the candidate is not in productive work, then an appropriate simulation must be used where the range of conditions reflects realistic workplace situations. The compete</w:t>
            </w:r>
            <w:r w:rsidRPr="004F0C7D">
              <w:t xml:space="preserve">ncies covered by this unit would be demonstrated by an individual working alone or as part of a team. The assessment environment should not disadvantage the candidate. </w:t>
            </w:r>
          </w:p>
          <w:p w:rsidR="00000000" w:rsidP="004F0C7D">
            <w:pPr>
              <w:pStyle w:val="BodyText"/>
              <w:rPr>
                <w:lang w:val="en-NZ"/>
              </w:rPr>
            </w:pPr>
            <w:r w:rsidRPr="004F0C7D">
              <w:t xml:space="preserve">This unit could be assessed in conjunction with any other units addressing the safety, </w:t>
            </w:r>
            <w:r w:rsidRPr="004F0C7D">
              <w:t>quality, communication, materials handling, recording and reporting associated with maintaining and rectifying induction/exhaust systems, or other units requiring the exercise of the skills and knowledge covered by this unit.</w:t>
            </w:r>
          </w:p>
        </w:tc>
      </w:tr>
      <w:tr w:rsidTr="001243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Assessor</w:t>
            </w:r>
            <w:r w:rsidRPr="004F0C7D">
              <w:t>s should gather a range of evidence that is valid, sufficient, current and authentic. Evidence can be gathered through a variety of ways including direct observation, supervisor's reports, project work, samples and questioning. Questioning techniques shoul</w:t>
            </w:r>
            <w:r w:rsidRPr="004F0C7D">
              <w:t>d not require language, literacy and numeracy skills beyond those required in this unit of competency. The candidate must have access to all tools, equipment, materials and documentation required. The candidate must be permitted to refer to any relevant wo</w:t>
            </w:r>
            <w:r w:rsidRPr="004F0C7D">
              <w:t>rkplace procedures, product and manufacturing specifications, codes, standards, manuals and reference materials.</w:t>
            </w:r>
          </w:p>
        </w:tc>
      </w:tr>
      <w:tr w:rsidTr="001243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p>
        </w:tc>
      </w:tr>
    </w:tbl>
    <w:p w:rsidR="00124355" w:rsidP="004F0C7D">
      <w:pPr>
        <w:pStyle w:val="BodyText"/>
      </w:pPr>
    </w:p>
    <w:p w:rsidR="00124355" w:rsidP="004F0C7D">
      <w:pPr>
        <w:pStyle w:val="BodyText"/>
      </w:pPr>
    </w:p>
    <w:p w:rsidR="00000000" w:rsidRPr="004F0C7D" w:rsidP="004F0C7D">
      <w:pPr>
        <w:pStyle w:val="Heading1"/>
      </w:pPr>
      <w:bookmarkStart w:id="11" w:name="O_252934"/>
      <w:bookmarkEnd w:id="11"/>
      <w:r w:rsidRPr="004F0C7D">
        <w:t>Range Statement</w:t>
      </w:r>
    </w:p>
    <w:tbl>
      <w:tblPr>
        <w:tblW w:w="0" w:type="auto"/>
        <w:tblLayout w:type="fixed"/>
        <w:tblCellMar>
          <w:left w:w="62" w:type="dxa"/>
          <w:right w:w="62" w:type="dxa"/>
        </w:tblCellMar>
        <w:tblLook w:val="0000"/>
      </w:tblPr>
      <w:tblGrid>
        <w:gridCol w:w="3544"/>
        <w:gridCol w:w="4978"/>
      </w:tblGrid>
      <w:tr w:rsidTr="001243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RANGE STATEMENT</w:t>
            </w:r>
          </w:p>
        </w:tc>
      </w:tr>
      <w:tr w:rsidTr="001243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t>The range statement relates to the unit of competency as a whole. It allows for different work environments and situations that may affect performance. Bold italicised wording, if used in the performance criteria, is detailed below. Essential operating con</w:t>
            </w:r>
            <w:r w:rsidRPr="004F0C7D">
              <w:t>ditions that may be present with training and assessment (depending on the work situation, needs of the candidate, accessibility of the item, and local industry and regional contexts) may also be included.</w:t>
            </w:r>
          </w:p>
        </w:tc>
      </w:tr>
      <w:tr w:rsidTr="00124355">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Supercharging</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Supercharging apparatus includes t</w:t>
            </w:r>
            <w:r w:rsidRPr="004F0C7D">
              <w:t>urbo charging equipment</w:t>
            </w:r>
          </w:p>
        </w:tc>
      </w:tr>
    </w:tbl>
    <w:p w:rsidR="00124355" w:rsidP="004F0C7D">
      <w:pPr>
        <w:pStyle w:val="BodyText"/>
      </w:pPr>
    </w:p>
    <w:p w:rsidR="00124355" w:rsidP="004F0C7D">
      <w:pPr>
        <w:pStyle w:val="BodyText"/>
      </w:pPr>
    </w:p>
    <w:p w:rsidR="00000000" w:rsidRPr="004F0C7D" w:rsidP="004F0C7D">
      <w:pPr>
        <w:pStyle w:val="Heading1"/>
      </w:pPr>
      <w:bookmarkStart w:id="12" w:name="O_212222"/>
      <w:bookmarkEnd w:id="12"/>
      <w:r w:rsidRPr="004F0C7D">
        <w:t>Unit Sector(s)</w:t>
      </w:r>
    </w:p>
    <w:tbl>
      <w:tblPr>
        <w:tblW w:w="0" w:type="auto"/>
        <w:tblLayout w:type="fixed"/>
        <w:tblCellMar>
          <w:left w:w="62" w:type="dxa"/>
          <w:right w:w="62" w:type="dxa"/>
        </w:tblCellMar>
        <w:tblLook w:val="0000"/>
      </w:tblPr>
      <w:tblGrid>
        <w:gridCol w:w="2654"/>
        <w:gridCol w:w="5868"/>
      </w:tblGrid>
      <w:tr w:rsidTr="0012435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p>
        </w:tc>
      </w:tr>
    </w:tbl>
    <w:p w:rsidR="00124355" w:rsidP="004F0C7D">
      <w:pPr>
        <w:pStyle w:val="BodyText"/>
      </w:pPr>
    </w:p>
    <w:p w:rsidR="00124355" w:rsidP="004F0C7D">
      <w:pPr>
        <w:pStyle w:val="BodyText"/>
      </w:pPr>
    </w:p>
    <w:p w:rsidR="00000000" w:rsidRPr="004F0C7D" w:rsidP="004F0C7D">
      <w:pPr>
        <w:pStyle w:val="Heading1"/>
      </w:pPr>
      <w:bookmarkStart w:id="13" w:name="O_212219"/>
      <w:bookmarkEnd w:id="13"/>
      <w:r w:rsidRPr="004F0C7D">
        <w:t>Co-requisite units</w:t>
      </w:r>
    </w:p>
    <w:tbl>
      <w:tblPr>
        <w:tblW w:w="0" w:type="auto"/>
        <w:tblLayout w:type="fixed"/>
        <w:tblCellMar>
          <w:left w:w="62" w:type="dxa"/>
          <w:right w:w="62" w:type="dxa"/>
        </w:tblCellMar>
        <w:tblLook w:val="0000"/>
      </w:tblPr>
      <w:tblGrid>
        <w:gridCol w:w="2641"/>
        <w:gridCol w:w="1322"/>
        <w:gridCol w:w="4559"/>
      </w:tblGrid>
      <w:tr w:rsidTr="001243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p>
        </w:tc>
      </w:tr>
      <w:tr w:rsidTr="001243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p>
        </w:tc>
      </w:tr>
      <w:tr w:rsidTr="001243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p>
        </w:tc>
      </w:tr>
    </w:tbl>
    <w:p w:rsidR="00124355" w:rsidP="004F0C7D">
      <w:pPr>
        <w:pStyle w:val="BodyText"/>
      </w:pPr>
    </w:p>
    <w:p w:rsidR="00124355" w:rsidP="004F0C7D">
      <w:pPr>
        <w:pStyle w:val="BodyText"/>
      </w:pPr>
    </w:p>
    <w:p w:rsidR="00000000" w:rsidRPr="004F0C7D" w:rsidP="004F0C7D">
      <w:pPr>
        <w:pStyle w:val="Heading1"/>
      </w:pPr>
      <w:bookmarkStart w:id="14" w:name="O_212221"/>
      <w:bookmarkEnd w:id="14"/>
      <w:r w:rsidRPr="004F0C7D">
        <w:t>Competency field</w:t>
      </w:r>
    </w:p>
    <w:tbl>
      <w:tblPr>
        <w:tblW w:w="0" w:type="auto"/>
        <w:tblLayout w:type="fixed"/>
        <w:tblCellMar>
          <w:left w:w="62" w:type="dxa"/>
          <w:right w:w="62" w:type="dxa"/>
        </w:tblCellMar>
        <w:tblLook w:val="0000"/>
      </w:tblPr>
      <w:tblGrid>
        <w:gridCol w:w="2775"/>
        <w:gridCol w:w="5747"/>
      </w:tblGrid>
      <w:tr w:rsidTr="001243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C7D">
            <w:pPr>
              <w:pStyle w:val="BodyText"/>
              <w:rPr>
                <w:lang w:val="en-NZ"/>
              </w:rPr>
            </w:pPr>
            <w:r w:rsidRPr="004F0C7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C7D" w:rsidP="004F0C7D">
            <w:pPr>
              <w:pStyle w:val="BodyText"/>
            </w:pPr>
            <w:r w:rsidRPr="004F0C7D">
              <w:t>Maintenance and diagnostics</w:t>
            </w:r>
          </w:p>
        </w:tc>
      </w:tr>
    </w:tbl>
    <w:p w:rsidR="00124355" w:rsidP="004F0C7D">
      <w:pPr>
        <w:pStyle w:val="BodyText"/>
      </w:pPr>
    </w:p>
    <w:p w:rsidR="00124355" w:rsidP="004F0C7D">
      <w:pPr>
        <w:pStyle w:val="BodyText"/>
      </w:pPr>
    </w:p>
    <w:p w:rsidR="00000000" w:rsidRPr="004F0C7D" w:rsidP="004F0C7D"/>
    <w:sectPr w:rsidSect="004F0C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355" w:rsidP="001243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55" w:rsidP="004F0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4355" w:rsidP="004F0C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4355" w:rsidP="004F0C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355" w:rsidP="001243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355" w:rsidP="004F0C7D">
    <w:pPr>
      <w:pStyle w:val="Header"/>
      <w:framePr w:wrap="around"/>
    </w:pPr>
    <w:r>
      <w:fldChar w:fldCharType="begin"/>
    </w:r>
    <w:r>
      <w:instrText xml:space="preserve"> TITLE   \* MERGEFORMAT </w:instrText>
    </w:r>
    <w:r>
      <w:fldChar w:fldCharType="separate"/>
    </w:r>
    <w:r>
      <w:t>MEM18032B Maintain induction/exhaust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4355" w:rsidP="004F0C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CC9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AE1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C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C7D"/>
    <w:pPr>
      <w:spacing w:before="360" w:after="60"/>
      <w:outlineLvl w:val="0"/>
    </w:pPr>
    <w:rPr>
      <w:sz w:val="32"/>
    </w:rPr>
  </w:style>
  <w:style w:type="paragraph" w:styleId="Heading2">
    <w:name w:val="heading 2"/>
    <w:basedOn w:val="HeadingBase"/>
    <w:next w:val="BodyText"/>
    <w:link w:val="Heading2Char"/>
    <w:qFormat/>
    <w:rsid w:val="004F0C7D"/>
    <w:pPr>
      <w:keepLines/>
      <w:spacing w:before="240" w:after="120"/>
      <w:outlineLvl w:val="1"/>
    </w:pPr>
    <w:rPr>
      <w:sz w:val="28"/>
      <w:szCs w:val="40"/>
    </w:rPr>
  </w:style>
  <w:style w:type="paragraph" w:styleId="Heading3">
    <w:name w:val="heading 3"/>
    <w:basedOn w:val="HeadingBase"/>
    <w:next w:val="BodyText"/>
    <w:link w:val="Heading3Char"/>
    <w:qFormat/>
    <w:rsid w:val="004F0C7D"/>
    <w:pPr>
      <w:spacing w:before="180" w:after="120"/>
      <w:outlineLvl w:val="2"/>
    </w:pPr>
    <w:rPr>
      <w:spacing w:val="-10"/>
      <w:kern w:val="32"/>
    </w:rPr>
  </w:style>
  <w:style w:type="paragraph" w:styleId="Heading4">
    <w:name w:val="heading 4"/>
    <w:basedOn w:val="HeadingBase"/>
    <w:next w:val="BodyText"/>
    <w:link w:val="Heading4Char"/>
    <w:qFormat/>
    <w:rsid w:val="004F0C7D"/>
    <w:pPr>
      <w:spacing w:before="160" w:after="120"/>
      <w:outlineLvl w:val="3"/>
    </w:pPr>
    <w:rPr>
      <w:sz w:val="22"/>
    </w:rPr>
  </w:style>
  <w:style w:type="paragraph" w:styleId="Heading5">
    <w:name w:val="heading 5"/>
    <w:basedOn w:val="HeadingBase"/>
    <w:next w:val="Normal"/>
    <w:link w:val="Heading5Char"/>
    <w:qFormat/>
    <w:rsid w:val="004F0C7D"/>
    <w:pPr>
      <w:spacing w:before="80"/>
      <w:outlineLvl w:val="4"/>
    </w:pPr>
    <w:rPr>
      <w:color w:val="918585"/>
      <w:sz w:val="20"/>
    </w:rPr>
  </w:style>
  <w:style w:type="paragraph" w:styleId="Heading6">
    <w:name w:val="heading 6"/>
    <w:basedOn w:val="HeadingBase"/>
    <w:next w:val="Normal"/>
    <w:link w:val="Heading6Char"/>
    <w:qFormat/>
    <w:rsid w:val="004F0C7D"/>
    <w:pPr>
      <w:spacing w:before="60"/>
      <w:outlineLvl w:val="5"/>
    </w:pPr>
    <w:rPr>
      <w:color w:val="918585"/>
      <w:sz w:val="20"/>
    </w:rPr>
  </w:style>
  <w:style w:type="paragraph" w:styleId="Heading7">
    <w:name w:val="heading 7"/>
    <w:basedOn w:val="Normal"/>
    <w:next w:val="Normal"/>
    <w:link w:val="Heading7Char"/>
    <w:qFormat/>
    <w:rsid w:val="004F0C7D"/>
    <w:pPr>
      <w:ind w:left="720"/>
      <w:outlineLvl w:val="6"/>
    </w:pPr>
    <w:rPr>
      <w:i/>
    </w:rPr>
  </w:style>
  <w:style w:type="paragraph" w:styleId="Heading8">
    <w:name w:val="heading 8"/>
    <w:basedOn w:val="Normal"/>
    <w:next w:val="Normal"/>
    <w:link w:val="Heading8Char"/>
    <w:qFormat/>
    <w:rsid w:val="004F0C7D"/>
    <w:pPr>
      <w:ind w:left="720"/>
      <w:outlineLvl w:val="7"/>
    </w:pPr>
    <w:rPr>
      <w:i/>
    </w:rPr>
  </w:style>
  <w:style w:type="paragraph" w:styleId="Heading9">
    <w:name w:val="heading 9"/>
    <w:basedOn w:val="Normal"/>
    <w:next w:val="Normal"/>
    <w:link w:val="Heading9Char"/>
    <w:qFormat/>
    <w:rsid w:val="004F0C7D"/>
    <w:pPr>
      <w:ind w:left="720"/>
      <w:outlineLvl w:val="8"/>
    </w:pPr>
    <w:rPr>
      <w:i/>
    </w:rPr>
  </w:style>
  <w:style w:type="character" w:default="1" w:styleId="DefaultParagraphFont">
    <w:name w:val="Default Paragraph Font"/>
    <w:uiPriority w:val="1"/>
    <w:unhideWhenUsed/>
    <w:rsid w:val="004F0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C7D"/>
  </w:style>
  <w:style w:type="character" w:customStyle="1" w:styleId="Heading1Char">
    <w:name w:val="Heading 1 Char"/>
    <w:basedOn w:val="DefaultParagraphFont"/>
    <w:link w:val="Heading1"/>
    <w:rsid w:val="004F0C7D"/>
    <w:rPr>
      <w:rFonts w:ascii="Times New Roman" w:eastAsia="Times New Roman" w:hAnsi="Times New Roman" w:cs="Times New Roman"/>
      <w:b/>
      <w:sz w:val="32"/>
      <w:szCs w:val="20"/>
      <w:lang w:eastAsia="en-US"/>
    </w:rPr>
  </w:style>
  <w:style w:type="paragraph" w:styleId="BodyText">
    <w:name w:val="Body Text"/>
    <w:basedOn w:val="Normal"/>
    <w:link w:val="BodyTextChar"/>
    <w:rsid w:val="004F0C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C7D"/>
    <w:rPr>
      <w:rFonts w:ascii="Times New Roman" w:eastAsia="Times New Roman" w:hAnsi="Times New Roman" w:cs="Times New Roman"/>
      <w:sz w:val="24"/>
      <w:lang w:val="en-US" w:eastAsia="en-US"/>
    </w:rPr>
  </w:style>
  <w:style w:type="paragraph" w:styleId="Footer">
    <w:name w:val="footer"/>
    <w:basedOn w:val="Normal"/>
    <w:link w:val="FooterChar"/>
    <w:rsid w:val="004F0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C7D"/>
    <w:rPr>
      <w:rFonts w:ascii="Times New Roman" w:eastAsia="Times New Roman" w:hAnsi="Times New Roman" w:cs="Times New Roman"/>
      <w:sz w:val="16"/>
      <w:lang w:val="en-US" w:eastAsia="en-US"/>
    </w:rPr>
  </w:style>
  <w:style w:type="paragraph" w:styleId="List">
    <w:name w:val="List"/>
    <w:basedOn w:val="BodyText"/>
    <w:next w:val="BodyText"/>
    <w:rsid w:val="004F0C7D"/>
    <w:pPr>
      <w:tabs>
        <w:tab w:val="left" w:pos="340"/>
      </w:tabs>
      <w:spacing w:before="60" w:after="60"/>
      <w:ind w:left="340" w:hanging="340"/>
    </w:pPr>
  </w:style>
  <w:style w:type="paragraph" w:styleId="ListBullet">
    <w:name w:val="List Bullet"/>
    <w:basedOn w:val="List"/>
    <w:rsid w:val="004F0C7D"/>
    <w:pPr>
      <w:numPr>
        <w:numId w:val="12"/>
      </w:numPr>
      <w:tabs>
        <w:tab w:val="clear" w:pos="340"/>
      </w:tabs>
      <w:spacing w:before="40" w:after="40"/>
    </w:pPr>
  </w:style>
  <w:style w:type="character" w:customStyle="1" w:styleId="SpecialBold">
    <w:name w:val="Special Bold"/>
    <w:basedOn w:val="DefaultParagraphFont"/>
    <w:rsid w:val="004F0C7D"/>
    <w:rPr>
      <w:b/>
      <w:spacing w:val="0"/>
    </w:rPr>
  </w:style>
  <w:style w:type="paragraph" w:styleId="Header">
    <w:name w:val="header"/>
    <w:basedOn w:val="Normal"/>
    <w:link w:val="HeaderChar"/>
    <w:rsid w:val="004F0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C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C7D"/>
    <w:pPr>
      <w:spacing w:before="240" w:after="120"/>
      <w:outlineLvl w:val="0"/>
    </w:pPr>
    <w:rPr>
      <w:rFonts w:ascii="Times New Roman" w:hAnsi="Times New Roman"/>
      <w:b/>
      <w:sz w:val="28"/>
    </w:rPr>
  </w:style>
  <w:style w:type="paragraph" w:customStyle="1" w:styleId="AllowPageBreak">
    <w:name w:val="AllowPageBreak"/>
    <w:rsid w:val="004F0C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C7D"/>
    <w:pPr>
      <w:tabs>
        <w:tab w:val="left" w:pos="680"/>
      </w:tabs>
      <w:spacing w:before="60" w:after="60"/>
      <w:ind w:left="680" w:hanging="340"/>
    </w:pPr>
  </w:style>
  <w:style w:type="character" w:customStyle="1" w:styleId="Heading2Char">
    <w:name w:val="Heading 2 Char"/>
    <w:basedOn w:val="DefaultParagraphFont"/>
    <w:link w:val="Heading2"/>
    <w:rsid w:val="004F0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C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C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C7D"/>
    <w:rPr>
      <w:rFonts w:ascii="Courier New" w:eastAsia="Times New Roman" w:hAnsi="Courier New" w:cs="Times New Roman"/>
      <w:i/>
      <w:szCs w:val="20"/>
      <w:lang w:val="en-US" w:eastAsia="en-US"/>
    </w:rPr>
  </w:style>
  <w:style w:type="paragraph" w:customStyle="1" w:styleId="HeadingBase">
    <w:name w:val="Heading Base"/>
    <w:rsid w:val="004F0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C7D"/>
    <w:pPr>
      <w:tabs>
        <w:tab w:val="right" w:leader="dot" w:pos="9072"/>
      </w:tabs>
      <w:ind w:left="567"/>
    </w:pPr>
    <w:rPr>
      <w:szCs w:val="22"/>
    </w:rPr>
  </w:style>
  <w:style w:type="paragraph" w:customStyle="1" w:styleId="TOCBase">
    <w:name w:val="TOC Base"/>
    <w:rsid w:val="004F0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C7D"/>
    <w:pPr>
      <w:tabs>
        <w:tab w:val="right" w:leader="dot" w:pos="9072"/>
      </w:tabs>
      <w:spacing w:before="40" w:after="40"/>
      <w:ind w:left="284"/>
    </w:pPr>
    <w:rPr>
      <w:rFonts w:ascii="Times New Roman" w:hAnsi="Times New Roman"/>
    </w:rPr>
  </w:style>
  <w:style w:type="paragraph" w:styleId="TOC1">
    <w:name w:val="toc 1"/>
    <w:basedOn w:val="TOCBase"/>
    <w:next w:val="Normal"/>
    <w:rsid w:val="004F0C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C7D"/>
    <w:pPr>
      <w:spacing w:before="5040"/>
      <w:jc w:val="center"/>
    </w:pPr>
    <w:rPr>
      <w:sz w:val="48"/>
      <w:szCs w:val="72"/>
      <w:lang w:val="en-US"/>
    </w:rPr>
  </w:style>
  <w:style w:type="character" w:customStyle="1" w:styleId="TitleChar">
    <w:name w:val="Title Char"/>
    <w:basedOn w:val="DefaultParagraphFont"/>
    <w:link w:val="Title"/>
    <w:rsid w:val="004F0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C7D"/>
    <w:pPr>
      <w:tabs>
        <w:tab w:val="left" w:pos="3600"/>
        <w:tab w:val="left" w:pos="3958"/>
      </w:tabs>
    </w:pPr>
  </w:style>
  <w:style w:type="paragraph" w:customStyle="1" w:styleId="Note">
    <w:name w:val="Note"/>
    <w:basedOn w:val="BodyText"/>
    <w:rsid w:val="004F0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C7D"/>
    <w:pPr>
      <w:framePr w:wrap="auto" w:hAnchor="text" w:y="6049"/>
    </w:pPr>
    <w:rPr>
      <w:color w:val="000000"/>
      <w:sz w:val="40"/>
    </w:rPr>
  </w:style>
  <w:style w:type="paragraph" w:customStyle="1" w:styleId="TOCTitle">
    <w:name w:val="TOCTitle"/>
    <w:basedOn w:val="Heading1"/>
    <w:rsid w:val="004F0C7D"/>
    <w:pPr>
      <w:spacing w:after="240"/>
      <w:jc w:val="center"/>
      <w:outlineLvl w:val="9"/>
    </w:pPr>
    <w:rPr>
      <w:caps/>
    </w:rPr>
  </w:style>
  <w:style w:type="paragraph" w:customStyle="1" w:styleId="Version">
    <w:name w:val="Version"/>
    <w:rsid w:val="004F0C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C7D"/>
    <w:pPr>
      <w:numPr>
        <w:numId w:val="13"/>
      </w:numPr>
      <w:tabs>
        <w:tab w:val="clear" w:pos="680"/>
      </w:tabs>
    </w:pPr>
  </w:style>
  <w:style w:type="paragraph" w:styleId="Index1">
    <w:name w:val="index 1"/>
    <w:basedOn w:val="Normal"/>
    <w:next w:val="Normal"/>
    <w:semiHidden/>
    <w:rsid w:val="004F0C7D"/>
    <w:pPr>
      <w:keepNext w:val="0"/>
      <w:tabs>
        <w:tab w:val="right" w:pos="4176"/>
      </w:tabs>
      <w:ind w:left="198" w:hanging="198"/>
    </w:pPr>
    <w:rPr>
      <w:rFonts w:ascii="Garamond" w:hAnsi="Garamond"/>
    </w:rPr>
  </w:style>
  <w:style w:type="paragraph" w:styleId="IndexHeading">
    <w:name w:val="index heading"/>
    <w:basedOn w:val="Normal"/>
    <w:next w:val="Index1"/>
    <w:semiHidden/>
    <w:rsid w:val="004F0C7D"/>
    <w:pPr>
      <w:spacing w:before="120" w:after="120"/>
    </w:pPr>
    <w:rPr>
      <w:rFonts w:ascii="Arial" w:hAnsi="Arial"/>
      <w:b/>
      <w:color w:val="918585"/>
      <w:sz w:val="24"/>
    </w:rPr>
  </w:style>
  <w:style w:type="paragraph" w:customStyle="1" w:styleId="Chapter">
    <w:name w:val="Chapter"/>
    <w:basedOn w:val="Normal"/>
    <w:rsid w:val="004F0C7D"/>
    <w:pPr>
      <w:spacing w:before="240"/>
    </w:pPr>
    <w:rPr>
      <w:rFonts w:ascii="Times New Roman" w:hAnsi="Times New Roman"/>
      <w:smallCaps/>
      <w:spacing w:val="80"/>
      <w:sz w:val="28"/>
    </w:rPr>
  </w:style>
  <w:style w:type="paragraph" w:customStyle="1" w:styleId="InChapter">
    <w:name w:val="InChapter"/>
    <w:basedOn w:val="Heading3"/>
    <w:rsid w:val="004F0C7D"/>
    <w:pPr>
      <w:spacing w:after="240"/>
      <w:outlineLvl w:val="9"/>
    </w:pPr>
    <w:rPr>
      <w:noProof/>
    </w:rPr>
  </w:style>
  <w:style w:type="paragraph" w:styleId="Index2">
    <w:name w:val="index 2"/>
    <w:basedOn w:val="Normal"/>
    <w:next w:val="Normal"/>
    <w:semiHidden/>
    <w:rsid w:val="004F0C7D"/>
    <w:pPr>
      <w:tabs>
        <w:tab w:val="right" w:pos="4176"/>
      </w:tabs>
      <w:ind w:left="568" w:hanging="284"/>
    </w:pPr>
    <w:rPr>
      <w:rFonts w:ascii="Garamond" w:hAnsi="Garamond"/>
    </w:rPr>
  </w:style>
  <w:style w:type="paragraph" w:customStyle="1" w:styleId="Byline">
    <w:name w:val="Byline"/>
    <w:rsid w:val="004F0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C7D"/>
    <w:pPr>
      <w:tabs>
        <w:tab w:val="clear" w:pos="3600"/>
        <w:tab w:val="clear" w:pos="3958"/>
      </w:tabs>
      <w:jc w:val="right"/>
    </w:pPr>
  </w:style>
  <w:style w:type="character" w:styleId="Emphasis">
    <w:name w:val="Emphasis"/>
    <w:basedOn w:val="DefaultParagraphFont"/>
    <w:qFormat/>
    <w:rsid w:val="004F0C7D"/>
    <w:rPr>
      <w:i/>
    </w:rPr>
  </w:style>
  <w:style w:type="paragraph" w:styleId="Caption">
    <w:name w:val="caption"/>
    <w:basedOn w:val="BodyText"/>
    <w:next w:val="Normal"/>
    <w:qFormat/>
    <w:rsid w:val="004F0C7D"/>
    <w:pPr>
      <w:framePr w:w="2268" w:hSpace="181" w:vSpace="181" w:wrap="around" w:vAnchor="text" w:hAnchor="page" w:x="1135" w:y="285" w:anchorLock="1"/>
    </w:pPr>
    <w:rPr>
      <w:i/>
    </w:rPr>
  </w:style>
  <w:style w:type="paragraph" w:customStyle="1" w:styleId="MiniTOCTitle">
    <w:name w:val="MiniTOCTitle"/>
    <w:basedOn w:val="Heading4"/>
    <w:rsid w:val="004F0C7D"/>
    <w:pPr>
      <w:spacing w:before="240"/>
      <w:outlineLvl w:val="9"/>
    </w:pPr>
    <w:rPr>
      <w:noProof/>
      <w:sz w:val="24"/>
    </w:rPr>
  </w:style>
  <w:style w:type="paragraph" w:customStyle="1" w:styleId="MiniTOCItem">
    <w:name w:val="MiniTOCItem"/>
    <w:basedOn w:val="ListBullet"/>
    <w:rsid w:val="004F0C7D"/>
    <w:pPr>
      <w:numPr>
        <w:numId w:val="0"/>
      </w:numPr>
      <w:tabs>
        <w:tab w:val="right" w:leader="dot" w:pos="6521"/>
      </w:tabs>
      <w:spacing w:before="0" w:after="0"/>
    </w:pPr>
  </w:style>
  <w:style w:type="paragraph" w:customStyle="1" w:styleId="TOFTitle">
    <w:name w:val="TOFTitle"/>
    <w:basedOn w:val="TOCTitle"/>
    <w:rsid w:val="004F0C7D"/>
  </w:style>
  <w:style w:type="paragraph" w:styleId="TableofFigures">
    <w:name w:val="table of figures"/>
    <w:basedOn w:val="Normal"/>
    <w:next w:val="Normal"/>
    <w:semiHidden/>
    <w:rsid w:val="004F0C7D"/>
    <w:pPr>
      <w:tabs>
        <w:tab w:val="right" w:leader="dot" w:pos="9072"/>
      </w:tabs>
      <w:ind w:left="970" w:hanging="403"/>
    </w:pPr>
    <w:rPr>
      <w:rFonts w:ascii="Times New Roman" w:hAnsi="Times New Roman"/>
      <w:b/>
    </w:rPr>
  </w:style>
  <w:style w:type="paragraph" w:styleId="ListNumber">
    <w:name w:val="List Number"/>
    <w:basedOn w:val="List"/>
    <w:rsid w:val="004F0C7D"/>
    <w:pPr>
      <w:numPr>
        <w:numId w:val="10"/>
      </w:numPr>
    </w:pPr>
  </w:style>
  <w:style w:type="character" w:customStyle="1" w:styleId="WingdingSymbols">
    <w:name w:val="Wingding Symbols"/>
    <w:rsid w:val="004F0C7D"/>
    <w:rPr>
      <w:rFonts w:ascii="Wingdings" w:hAnsi="Wingdings"/>
    </w:rPr>
  </w:style>
  <w:style w:type="paragraph" w:customStyle="1" w:styleId="TableHeading">
    <w:name w:val="Table Heading"/>
    <w:basedOn w:val="HeadingBase"/>
    <w:rsid w:val="004F0C7D"/>
    <w:pPr>
      <w:keepLines/>
      <w:pBdr>
        <w:bottom w:val="single" w:sz="6" w:space="1" w:color="918585"/>
      </w:pBdr>
      <w:spacing w:before="240"/>
    </w:pPr>
  </w:style>
  <w:style w:type="character" w:customStyle="1" w:styleId="HotSpot">
    <w:name w:val="HotSpot"/>
    <w:rsid w:val="004F0C7D"/>
    <w:rPr>
      <w:color w:val="0033CC"/>
      <w:u w:val="none"/>
    </w:rPr>
  </w:style>
  <w:style w:type="paragraph" w:customStyle="1" w:styleId="BodyTextRight">
    <w:name w:val="Body Text Right"/>
    <w:basedOn w:val="BodyText"/>
    <w:rsid w:val="004F0C7D"/>
    <w:pPr>
      <w:spacing w:before="0" w:after="0"/>
      <w:jc w:val="right"/>
    </w:pPr>
  </w:style>
  <w:style w:type="paragraph" w:styleId="Index3">
    <w:name w:val="index 3"/>
    <w:basedOn w:val="ListNumber2"/>
    <w:next w:val="Normal"/>
    <w:semiHidden/>
    <w:rsid w:val="004F0C7D"/>
    <w:pPr>
      <w:numPr>
        <w:numId w:val="0"/>
      </w:numPr>
      <w:tabs>
        <w:tab w:val="right" w:leader="dot" w:pos="4176"/>
      </w:tabs>
    </w:pPr>
  </w:style>
  <w:style w:type="paragraph" w:styleId="ListNumber2">
    <w:name w:val="List Number 2"/>
    <w:basedOn w:val="List2"/>
    <w:rsid w:val="004F0C7D"/>
    <w:pPr>
      <w:numPr>
        <w:numId w:val="9"/>
      </w:numPr>
      <w:tabs>
        <w:tab w:val="clear" w:pos="1060"/>
      </w:tabs>
    </w:pPr>
  </w:style>
  <w:style w:type="paragraph" w:customStyle="1" w:styleId="MarginNote">
    <w:name w:val="Margin Note"/>
    <w:basedOn w:val="BodyText"/>
    <w:rsid w:val="004F0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C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C7D"/>
    <w:rPr>
      <w:sz w:val="32"/>
    </w:rPr>
  </w:style>
  <w:style w:type="paragraph" w:customStyle="1" w:styleId="HeadingProcedure">
    <w:name w:val="Heading Procedure"/>
    <w:basedOn w:val="HeadingBase"/>
    <w:next w:val="Normal"/>
    <w:rsid w:val="004F0C7D"/>
    <w:pPr>
      <w:tabs>
        <w:tab w:val="left" w:pos="0"/>
      </w:tabs>
      <w:spacing w:before="120" w:after="60"/>
    </w:pPr>
    <w:rPr>
      <w:i/>
      <w:color w:val="918585"/>
      <w:sz w:val="22"/>
    </w:rPr>
  </w:style>
  <w:style w:type="paragraph" w:customStyle="1" w:styleId="TableBodyText">
    <w:name w:val="Table Body Text"/>
    <w:basedOn w:val="BodyText"/>
    <w:rsid w:val="004F0C7D"/>
    <w:pPr>
      <w:spacing w:before="60" w:after="60"/>
    </w:pPr>
  </w:style>
  <w:style w:type="paragraph" w:styleId="ListContinue">
    <w:name w:val="List Continue"/>
    <w:basedOn w:val="List"/>
    <w:rsid w:val="004F0C7D"/>
    <w:pPr>
      <w:ind w:firstLine="0"/>
    </w:pPr>
  </w:style>
  <w:style w:type="paragraph" w:customStyle="1" w:styleId="ListNote">
    <w:name w:val="List Note"/>
    <w:basedOn w:val="List"/>
    <w:rsid w:val="004F0C7D"/>
    <w:pPr>
      <w:pBdr>
        <w:top w:val="single" w:sz="6" w:space="2" w:color="918585"/>
        <w:bottom w:val="single" w:sz="6" w:space="2" w:color="918585"/>
      </w:pBdr>
      <w:tabs>
        <w:tab w:val="left" w:pos="1021"/>
      </w:tabs>
      <w:ind w:firstLine="0"/>
    </w:pPr>
  </w:style>
  <w:style w:type="paragraph" w:customStyle="1" w:styleId="Warning">
    <w:name w:val="Warning"/>
    <w:basedOn w:val="BodyText"/>
    <w:rsid w:val="004F0C7D"/>
    <w:pPr>
      <w:shd w:val="clear" w:color="auto" w:fill="D9D9D9"/>
      <w:tabs>
        <w:tab w:val="left" w:pos="992"/>
      </w:tabs>
      <w:ind w:left="119" w:right="119"/>
    </w:pPr>
    <w:rPr>
      <w:sz w:val="20"/>
    </w:rPr>
  </w:style>
  <w:style w:type="paragraph" w:customStyle="1" w:styleId="MarginIcons">
    <w:name w:val="Margin Icons"/>
    <w:basedOn w:val="BodyText"/>
    <w:rsid w:val="004F0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C7D"/>
    <w:rPr>
      <w:rFonts w:ascii="Courier New" w:hAnsi="Courier New"/>
    </w:rPr>
  </w:style>
  <w:style w:type="paragraph" w:customStyle="1" w:styleId="NoteBullet">
    <w:name w:val="Note Bullet"/>
    <w:basedOn w:val="Note"/>
    <w:rsid w:val="004F0C7D"/>
    <w:pPr>
      <w:tabs>
        <w:tab w:val="clear" w:pos="680"/>
      </w:tabs>
      <w:spacing w:before="60" w:after="60"/>
    </w:pPr>
  </w:style>
  <w:style w:type="paragraph" w:customStyle="1" w:styleId="SubHeading2">
    <w:name w:val="SubHeading2"/>
    <w:basedOn w:val="HeadingBase"/>
    <w:rsid w:val="004F0C7D"/>
    <w:pPr>
      <w:spacing w:before="240" w:after="60"/>
    </w:pPr>
    <w:rPr>
      <w:sz w:val="20"/>
    </w:rPr>
  </w:style>
  <w:style w:type="paragraph" w:customStyle="1" w:styleId="SubHeading1">
    <w:name w:val="SubHeading1"/>
    <w:basedOn w:val="HeadingBase"/>
    <w:rsid w:val="004F0C7D"/>
    <w:pPr>
      <w:spacing w:before="240" w:after="60"/>
    </w:pPr>
    <w:rPr>
      <w:color w:val="918585"/>
      <w:sz w:val="22"/>
    </w:rPr>
  </w:style>
  <w:style w:type="paragraph" w:customStyle="1" w:styleId="SideHeading">
    <w:name w:val="Side Heading"/>
    <w:basedOn w:val="HeadingBase"/>
    <w:rsid w:val="004F0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C7D"/>
    <w:pPr>
      <w:tabs>
        <w:tab w:val="num" w:pos="360"/>
      </w:tabs>
    </w:pPr>
  </w:style>
  <w:style w:type="paragraph" w:styleId="PlainText">
    <w:name w:val="Plain Text"/>
    <w:basedOn w:val="Normal"/>
    <w:link w:val="PlainTextChar"/>
    <w:rsid w:val="004F0C7D"/>
    <w:rPr>
      <w:sz w:val="20"/>
    </w:rPr>
  </w:style>
  <w:style w:type="character" w:customStyle="1" w:styleId="PlainTextChar">
    <w:name w:val="Plain Text Char"/>
    <w:basedOn w:val="DefaultParagraphFont"/>
    <w:link w:val="PlainText"/>
    <w:rsid w:val="004F0C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C7D"/>
    <w:rPr>
      <w:b/>
      <w:smallCaps/>
    </w:rPr>
  </w:style>
  <w:style w:type="paragraph" w:customStyle="1" w:styleId="TableListNumber">
    <w:name w:val="Table List Number"/>
    <w:basedOn w:val="ListNumber"/>
    <w:rsid w:val="004F0C7D"/>
    <w:pPr>
      <w:numPr>
        <w:numId w:val="0"/>
      </w:numPr>
    </w:pPr>
  </w:style>
  <w:style w:type="paragraph" w:styleId="TOC4">
    <w:name w:val="toc 4"/>
    <w:basedOn w:val="TOCBase"/>
    <w:next w:val="Normal"/>
    <w:semiHidden/>
    <w:rsid w:val="004F0C7D"/>
    <w:pPr>
      <w:tabs>
        <w:tab w:val="right" w:leader="dot" w:pos="9071"/>
      </w:tabs>
      <w:ind w:left="1701"/>
    </w:pPr>
  </w:style>
  <w:style w:type="paragraph" w:customStyle="1" w:styleId="ListAlpha">
    <w:name w:val="List Alpha"/>
    <w:basedOn w:val="List"/>
    <w:rsid w:val="004F0C7D"/>
    <w:pPr>
      <w:numPr>
        <w:numId w:val="8"/>
      </w:numPr>
    </w:pPr>
  </w:style>
  <w:style w:type="paragraph" w:customStyle="1" w:styleId="ListAlpha2">
    <w:name w:val="List Alpha 2"/>
    <w:basedOn w:val="List2"/>
    <w:rsid w:val="004F0C7D"/>
    <w:pPr>
      <w:numPr>
        <w:numId w:val="7"/>
      </w:numPr>
    </w:pPr>
  </w:style>
  <w:style w:type="paragraph" w:styleId="List3">
    <w:name w:val="List 3"/>
    <w:basedOn w:val="BodyText"/>
    <w:rsid w:val="004F0C7D"/>
    <w:pPr>
      <w:tabs>
        <w:tab w:val="left" w:pos="1021"/>
      </w:tabs>
      <w:spacing w:before="60" w:after="60"/>
      <w:ind w:left="1020" w:hanging="340"/>
    </w:pPr>
  </w:style>
  <w:style w:type="paragraph" w:styleId="List4">
    <w:name w:val="List 4"/>
    <w:basedOn w:val="BodyText"/>
    <w:rsid w:val="004F0C7D"/>
    <w:pPr>
      <w:tabs>
        <w:tab w:val="left" w:pos="1361"/>
      </w:tabs>
      <w:spacing w:before="60" w:after="60"/>
      <w:ind w:left="1361" w:hanging="340"/>
    </w:pPr>
  </w:style>
  <w:style w:type="paragraph" w:styleId="List5">
    <w:name w:val="List 5"/>
    <w:basedOn w:val="BodyText"/>
    <w:rsid w:val="004F0C7D"/>
    <w:pPr>
      <w:tabs>
        <w:tab w:val="left" w:pos="1701"/>
      </w:tabs>
      <w:spacing w:before="60" w:after="60"/>
      <w:ind w:left="1701" w:hanging="340"/>
    </w:pPr>
  </w:style>
  <w:style w:type="paragraph" w:styleId="ListBullet3">
    <w:name w:val="List Bullet 3"/>
    <w:basedOn w:val="List3"/>
    <w:rsid w:val="004F0C7D"/>
    <w:pPr>
      <w:numPr>
        <w:numId w:val="14"/>
      </w:numPr>
      <w:tabs>
        <w:tab w:val="clear" w:pos="1021"/>
      </w:tabs>
      <w:ind w:left="1037" w:hanging="357"/>
    </w:pPr>
  </w:style>
  <w:style w:type="paragraph" w:styleId="ListBullet4">
    <w:name w:val="List Bullet 4"/>
    <w:basedOn w:val="List4"/>
    <w:rsid w:val="004F0C7D"/>
    <w:pPr>
      <w:numPr>
        <w:numId w:val="2"/>
      </w:numPr>
    </w:pPr>
  </w:style>
  <w:style w:type="paragraph" w:styleId="ListBullet5">
    <w:name w:val="List Bullet 5"/>
    <w:basedOn w:val="List5"/>
    <w:rsid w:val="004F0C7D"/>
    <w:pPr>
      <w:numPr>
        <w:numId w:val="3"/>
      </w:numPr>
    </w:pPr>
  </w:style>
  <w:style w:type="paragraph" w:styleId="ListContinue2">
    <w:name w:val="List Continue 2"/>
    <w:basedOn w:val="List2"/>
    <w:rsid w:val="004F0C7D"/>
    <w:pPr>
      <w:ind w:firstLine="0"/>
    </w:pPr>
  </w:style>
  <w:style w:type="paragraph" w:styleId="ListContinue3">
    <w:name w:val="List Continue 3"/>
    <w:basedOn w:val="List3"/>
    <w:rsid w:val="004F0C7D"/>
    <w:pPr>
      <w:ind w:left="1021" w:firstLine="0"/>
    </w:pPr>
  </w:style>
  <w:style w:type="paragraph" w:styleId="ListContinue4">
    <w:name w:val="List Continue 4"/>
    <w:basedOn w:val="List4"/>
    <w:rsid w:val="004F0C7D"/>
    <w:pPr>
      <w:ind w:firstLine="0"/>
    </w:pPr>
  </w:style>
  <w:style w:type="paragraph" w:styleId="ListContinue5">
    <w:name w:val="List Continue 5"/>
    <w:basedOn w:val="List5"/>
    <w:rsid w:val="004F0C7D"/>
    <w:pPr>
      <w:ind w:firstLine="0"/>
    </w:pPr>
  </w:style>
  <w:style w:type="paragraph" w:styleId="ListNumber3">
    <w:name w:val="List Number 3"/>
    <w:basedOn w:val="List3"/>
    <w:rsid w:val="004F0C7D"/>
    <w:pPr>
      <w:numPr>
        <w:numId w:val="4"/>
      </w:numPr>
    </w:pPr>
  </w:style>
  <w:style w:type="paragraph" w:styleId="ListNumber4">
    <w:name w:val="List Number 4"/>
    <w:basedOn w:val="List4"/>
    <w:rsid w:val="004F0C7D"/>
    <w:pPr>
      <w:numPr>
        <w:numId w:val="5"/>
      </w:numPr>
    </w:pPr>
  </w:style>
  <w:style w:type="paragraph" w:styleId="ListNumber5">
    <w:name w:val="List Number 5"/>
    <w:basedOn w:val="List5"/>
    <w:rsid w:val="004F0C7D"/>
    <w:pPr>
      <w:numPr>
        <w:numId w:val="6"/>
      </w:numPr>
    </w:pPr>
  </w:style>
  <w:style w:type="paragraph" w:styleId="BlockText">
    <w:name w:val="Block Text"/>
    <w:basedOn w:val="Normal"/>
    <w:rsid w:val="004F0C7D"/>
    <w:pPr>
      <w:spacing w:after="120"/>
      <w:ind w:left="1440" w:right="1440"/>
    </w:pPr>
  </w:style>
  <w:style w:type="character" w:customStyle="1" w:styleId="Subscript">
    <w:name w:val="Subscript"/>
    <w:basedOn w:val="DefaultParagraphFont"/>
    <w:rsid w:val="004F0C7D"/>
    <w:rPr>
      <w:sz w:val="16"/>
      <w:vertAlign w:val="subscript"/>
    </w:rPr>
  </w:style>
  <w:style w:type="character" w:customStyle="1" w:styleId="Superscript">
    <w:name w:val="Superscript"/>
    <w:basedOn w:val="DefaultParagraphFont"/>
    <w:rsid w:val="004F0C7D"/>
    <w:rPr>
      <w:sz w:val="16"/>
      <w:vertAlign w:val="superscript"/>
    </w:rPr>
  </w:style>
  <w:style w:type="character" w:customStyle="1" w:styleId="Symbols">
    <w:name w:val="Symbols"/>
    <w:basedOn w:val="DefaultParagraphFont"/>
    <w:rsid w:val="004F0C7D"/>
    <w:rPr>
      <w:rFonts w:ascii="Symbol" w:hAnsi="Symbol"/>
    </w:rPr>
  </w:style>
  <w:style w:type="character" w:customStyle="1" w:styleId="MenuOptions">
    <w:name w:val="Menu Options"/>
    <w:basedOn w:val="DefaultParagraphFont"/>
    <w:rsid w:val="004F0C7D"/>
    <w:rPr>
      <w:rFonts w:ascii="Arial Narrow" w:hAnsi="Arial Narrow"/>
      <w:smallCaps/>
    </w:rPr>
  </w:style>
  <w:style w:type="character" w:customStyle="1" w:styleId="Buttons">
    <w:name w:val="Buttons"/>
    <w:basedOn w:val="DefaultParagraphFont"/>
    <w:rsid w:val="004F0C7D"/>
    <w:rPr>
      <w:b/>
    </w:rPr>
  </w:style>
  <w:style w:type="character" w:customStyle="1" w:styleId="Underlined">
    <w:name w:val="Underlined"/>
    <w:basedOn w:val="DefaultParagraphFont"/>
    <w:rsid w:val="004F0C7D"/>
    <w:rPr>
      <w:u w:val="single"/>
    </w:rPr>
  </w:style>
  <w:style w:type="paragraph" w:customStyle="1" w:styleId="TableBodyTextRight">
    <w:name w:val="Table Body Text Right"/>
    <w:basedOn w:val="TableBodyText"/>
    <w:rsid w:val="004F0C7D"/>
    <w:pPr>
      <w:widowControl w:val="0"/>
      <w:autoSpaceDE w:val="0"/>
      <w:autoSpaceDN w:val="0"/>
      <w:adjustRightInd w:val="0"/>
      <w:jc w:val="right"/>
    </w:pPr>
    <w:rPr>
      <w:rFonts w:cs="Arial"/>
      <w:szCs w:val="18"/>
    </w:rPr>
  </w:style>
  <w:style w:type="paragraph" w:customStyle="1" w:styleId="CopyrightText">
    <w:name w:val="Copyright Text"/>
    <w:basedOn w:val="BodyText"/>
    <w:rsid w:val="004F0C7D"/>
    <w:rPr>
      <w:sz w:val="18"/>
    </w:rPr>
  </w:style>
  <w:style w:type="paragraph" w:customStyle="1" w:styleId="BodySmallRight">
    <w:name w:val="Body Small Right"/>
    <w:basedOn w:val="BodyTextRight"/>
    <w:rsid w:val="004F0C7D"/>
    <w:rPr>
      <w:sz w:val="18"/>
      <w:szCs w:val="18"/>
    </w:rPr>
  </w:style>
  <w:style w:type="paragraph" w:customStyle="1" w:styleId="MarginEdition">
    <w:name w:val="Margin Edition"/>
    <w:basedOn w:val="MarginNote"/>
    <w:rsid w:val="004F0C7D"/>
    <w:pPr>
      <w:spacing w:before="0" w:after="0"/>
    </w:pPr>
    <w:rPr>
      <w:rFonts w:ascii="Times New Roman" w:hAnsi="Times New Roman"/>
      <w:color w:val="999999"/>
    </w:rPr>
  </w:style>
  <w:style w:type="paragraph" w:customStyle="1" w:styleId="Spacer">
    <w:name w:val="Spacer"/>
    <w:basedOn w:val="Normal"/>
    <w:rsid w:val="004F0C7D"/>
    <w:rPr>
      <w:sz w:val="2"/>
      <w:szCs w:val="2"/>
    </w:rPr>
  </w:style>
  <w:style w:type="character" w:customStyle="1" w:styleId="Small">
    <w:name w:val="Small"/>
    <w:basedOn w:val="DefaultParagraphFont"/>
    <w:rsid w:val="004F0C7D"/>
    <w:rPr>
      <w:sz w:val="16"/>
    </w:rPr>
  </w:style>
  <w:style w:type="paragraph" w:customStyle="1" w:styleId="WideTable">
    <w:name w:val="Wide Table"/>
    <w:basedOn w:val="Normal"/>
    <w:rsid w:val="004F0C7D"/>
    <w:pPr>
      <w:ind w:left="-1418"/>
    </w:pPr>
    <w:rPr>
      <w:sz w:val="2"/>
      <w:szCs w:val="2"/>
    </w:rPr>
  </w:style>
  <w:style w:type="character" w:styleId="PageNumber">
    <w:name w:val="page number"/>
    <w:basedOn w:val="DefaultParagraphFont"/>
    <w:rsid w:val="004F0C7D"/>
  </w:style>
  <w:style w:type="paragraph" w:styleId="Quote">
    <w:name w:val="Quote"/>
    <w:basedOn w:val="Heading1"/>
    <w:link w:val="QuoteChar"/>
    <w:qFormat/>
    <w:rsid w:val="004F0C7D"/>
    <w:rPr>
      <w:b w:val="0"/>
      <w:sz w:val="72"/>
      <w:szCs w:val="72"/>
      <w:lang w:val="en-NZ"/>
    </w:rPr>
  </w:style>
  <w:style w:type="character" w:customStyle="1" w:styleId="QuoteChar">
    <w:name w:val="Quote Char"/>
    <w:basedOn w:val="DefaultParagraphFont"/>
    <w:link w:val="Quote"/>
    <w:rsid w:val="004F0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C7D"/>
    <w:pPr>
      <w:pageBreakBefore/>
    </w:pPr>
  </w:style>
  <w:style w:type="paragraph" w:customStyle="1" w:styleId="Border">
    <w:name w:val="Border"/>
    <w:basedOn w:val="Normal"/>
    <w:qFormat/>
    <w:rsid w:val="004F0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C7D"/>
    <w:rPr>
      <w:b/>
      <w:bCs/>
      <w:i/>
      <w:iCs/>
      <w:color w:val="auto"/>
    </w:rPr>
  </w:style>
  <w:style w:type="paragraph" w:styleId="IntenseQuote">
    <w:name w:val="Intense Quote"/>
    <w:basedOn w:val="Normal"/>
    <w:next w:val="Normal"/>
    <w:link w:val="IntenseQuoteChar"/>
    <w:uiPriority w:val="30"/>
    <w:qFormat/>
    <w:rsid w:val="004F0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C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C7D"/>
    <w:rPr>
      <w:smallCaps/>
      <w:color w:val="auto"/>
      <w:u w:val="single"/>
    </w:rPr>
  </w:style>
  <w:style w:type="character" w:styleId="IntenseReference">
    <w:name w:val="Intense Reference"/>
    <w:basedOn w:val="DefaultParagraphFont"/>
    <w:uiPriority w:val="32"/>
    <w:qFormat/>
    <w:rsid w:val="004F0C7D"/>
    <w:rPr>
      <w:b/>
      <w:bCs/>
      <w:smallCaps/>
      <w:color w:val="auto"/>
      <w:spacing w:val="5"/>
      <w:u w:val="single"/>
    </w:rPr>
  </w:style>
  <w:style w:type="paragraph" w:customStyle="1" w:styleId="2ColumnHeading">
    <w:name w:val="2Column Heading"/>
    <w:basedOn w:val="BodyText"/>
    <w:qFormat/>
    <w:rsid w:val="004F0C7D"/>
    <w:pPr>
      <w:spacing w:after="60"/>
      <w:ind w:left="-2268"/>
    </w:pPr>
    <w:rPr>
      <w:b/>
    </w:rPr>
  </w:style>
  <w:style w:type="paragraph" w:customStyle="1" w:styleId="Heading1TOC">
    <w:name w:val="Heading1 TOC"/>
    <w:basedOn w:val="Normal"/>
    <w:qFormat/>
    <w:rsid w:val="004F0C7D"/>
    <w:pPr>
      <w:spacing w:before="240" w:after="120"/>
    </w:pPr>
    <w:rPr>
      <w:rFonts w:ascii="Times New Roman" w:hAnsi="Times New Roman"/>
      <w:b/>
      <w:sz w:val="32"/>
    </w:rPr>
  </w:style>
  <w:style w:type="paragraph" w:customStyle="1" w:styleId="Heading2TOC">
    <w:name w:val="Heading2 TOC"/>
    <w:basedOn w:val="Normal"/>
    <w:qFormat/>
    <w:rsid w:val="004F0C7D"/>
    <w:pPr>
      <w:spacing w:before="240" w:after="60"/>
    </w:pPr>
    <w:rPr>
      <w:rFonts w:ascii="Times New Roman" w:hAnsi="Times New Roman"/>
      <w:b/>
      <w:sz w:val="28"/>
    </w:rPr>
  </w:style>
  <w:style w:type="character" w:customStyle="1" w:styleId="Underline">
    <w:name w:val="Underline"/>
    <w:basedOn w:val="DefaultParagraphFont"/>
    <w:qFormat/>
    <w:rsid w:val="004F0C7D"/>
    <w:rPr>
      <w:u w:val="single"/>
    </w:rPr>
  </w:style>
  <w:style w:type="character" w:customStyle="1" w:styleId="BoldandItalics">
    <w:name w:val="Bold and Italics"/>
    <w:qFormat/>
    <w:rsid w:val="004F0C7D"/>
    <w:rPr>
      <w:b/>
      <w:i/>
      <w:u w:val="none"/>
    </w:rPr>
  </w:style>
  <w:style w:type="paragraph" w:styleId="BalloonText">
    <w:name w:val="Balloon Text"/>
    <w:basedOn w:val="Normal"/>
    <w:link w:val="BalloonTextChar"/>
    <w:rsid w:val="004F0C7D"/>
    <w:rPr>
      <w:rFonts w:ascii="Tahoma" w:hAnsi="Tahoma" w:cs="Tahoma"/>
      <w:sz w:val="16"/>
      <w:szCs w:val="16"/>
    </w:rPr>
  </w:style>
  <w:style w:type="character" w:customStyle="1" w:styleId="BalloonTextChar">
    <w:name w:val="Balloon Text Char"/>
    <w:basedOn w:val="DefaultParagraphFont"/>
    <w:link w:val="BalloonText"/>
    <w:rsid w:val="004F0C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C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C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1126</Words>
  <Characters>7300</Characters>
  <Application>Microsoft Office Word</Application>
  <DocSecurity>0</DocSecurity>
  <Lines>245</Lines>
  <Paragraphs>112</Paragraphs>
  <ScaleCrop>false</ScaleCrop>
  <Company>Author-it Software Corporation Ltd.</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MEM18032B Maintain induction/exhaust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