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6568" w:rsidP="00EA6568">
      <w:pPr>
        <w:pStyle w:val="Title"/>
      </w:pPr>
      <w:r>
        <w:fldChar w:fldCharType="begin"/>
      </w:r>
      <w:r>
        <w:instrText xml:space="preserve"> TITLE   \* MERGEFORMAT </w:instrText>
      </w:r>
      <w:r>
        <w:fldChar w:fldCharType="separate"/>
      </w:r>
      <w:r>
        <w:t>MEM18013B Perform gland packing</w:t>
      </w:r>
      <w:r>
        <w:fldChar w:fldCharType="end"/>
      </w:r>
    </w:p>
    <w:p w:rsidR="00EA6568" w:rsidP="00EA6568">
      <w:pPr>
        <w:pStyle w:val="Version"/>
        <w:sectPr w:rsidSect="003F7B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BB2" w:rsidP="003F7BB2">
      <w:pPr>
        <w:pStyle w:val="SuperHeading"/>
      </w:pPr>
      <w:r w:rsidRPr="003F7BB2">
        <w:t>MEM18013B Perform gland packing</w:t>
      </w:r>
    </w:p>
    <w:p w:rsidR="00000000" w:rsidRPr="003F7BB2" w:rsidP="003F7BB2">
      <w:pPr>
        <w:pStyle w:val="Heading1"/>
      </w:pPr>
      <w:bookmarkStart w:id="1" w:name="O_272235"/>
      <w:bookmarkEnd w:id="1"/>
      <w:r w:rsidRPr="003F7BB2">
        <w:t>Modification History</w:t>
      </w:r>
    </w:p>
    <w:p w:rsidR="00000000" w:rsidRPr="003F7BB2" w:rsidP="003F7BB2">
      <w:pPr>
        <w:pStyle w:val="BodyText"/>
      </w:pPr>
      <w:r w:rsidRPr="003F7BB2">
        <w:t>Not Applicable</w:t>
      </w:r>
    </w:p>
    <w:p w:rsidR="00000000" w:rsidRPr="003F7BB2" w:rsidP="003F7BB2">
      <w:pPr>
        <w:pStyle w:val="AllowPageBreak"/>
      </w:pPr>
    </w:p>
    <w:p w:rsidR="00000000" w:rsidRPr="003F7BB2" w:rsidP="003F7BB2">
      <w:pPr>
        <w:pStyle w:val="Heading1"/>
      </w:pPr>
      <w:bookmarkStart w:id="2" w:name="O_212083"/>
      <w:bookmarkEnd w:id="2"/>
      <w:r w:rsidRPr="003F7BB2">
        <w:t>Unit Descriptor</w:t>
      </w:r>
    </w:p>
    <w:tbl>
      <w:tblPr>
        <w:tblW w:w="0" w:type="auto"/>
        <w:tblLayout w:type="fixed"/>
        <w:tblCellMar>
          <w:left w:w="62" w:type="dxa"/>
          <w:right w:w="62" w:type="dxa"/>
        </w:tblCellMar>
        <w:tblLook w:val="0000"/>
      </w:tblPr>
      <w:tblGrid>
        <w:gridCol w:w="2673"/>
        <w:gridCol w:w="5849"/>
      </w:tblGrid>
      <w:tr w:rsidTr="00EA656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This unit covers inspecting glands and gland packing, and removing and replacing or topping up gland packing.</w:t>
            </w:r>
          </w:p>
        </w:tc>
      </w:tr>
    </w:tbl>
    <w:p w:rsidR="00EA6568" w:rsidP="003F7BB2">
      <w:pPr>
        <w:pStyle w:val="BodyText"/>
      </w:pPr>
    </w:p>
    <w:p w:rsidR="00EA6568" w:rsidP="003F7BB2">
      <w:pPr>
        <w:pStyle w:val="BodyText"/>
      </w:pPr>
    </w:p>
    <w:p w:rsidR="00000000" w:rsidRPr="003F7BB2" w:rsidP="003F7BB2">
      <w:pPr>
        <w:pStyle w:val="Heading1"/>
      </w:pPr>
      <w:bookmarkStart w:id="3" w:name="O_212087"/>
      <w:bookmarkEnd w:id="3"/>
      <w:r w:rsidRPr="003F7BB2">
        <w:t>Application of the Unit</w:t>
      </w:r>
    </w:p>
    <w:tbl>
      <w:tblPr>
        <w:tblW w:w="0" w:type="auto"/>
        <w:tblLayout w:type="fixed"/>
        <w:tblCellMar>
          <w:left w:w="62" w:type="dxa"/>
          <w:right w:w="62" w:type="dxa"/>
        </w:tblCellMar>
        <w:tblLook w:val="0000"/>
      </w:tblPr>
      <w:tblGrid>
        <w:gridCol w:w="2745"/>
        <w:gridCol w:w="5777"/>
      </w:tblGrid>
      <w:tr w:rsidTr="00EA656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This unit applies to, but is not limited to, packing for  high or low temperatures and pressures, solids, gases, liquids.</w:t>
            </w:r>
          </w:p>
          <w:p w:rsidR="00000000" w:rsidRPr="003F7BB2" w:rsidP="003F7BB2">
            <w:pPr>
              <w:pStyle w:val="BodyText"/>
            </w:pPr>
            <w:r w:rsidRPr="003F7BB2">
              <w:t>Skills that relate to maintaining simple gland top-ups in non-critical</w:t>
            </w:r>
            <w:r w:rsidRPr="003F7BB2">
              <w:t xml:space="preserve"> applications and routine gland maintenance are covered by Unit MEM18006C (Repair and fit engineering components).</w:t>
            </w:r>
          </w:p>
          <w:p w:rsidR="00000000" w:rsidRPr="003F7BB2" w:rsidP="003F7BB2">
            <w:pPr>
              <w:pStyle w:val="BodyText"/>
            </w:pPr>
          </w:p>
          <w:p w:rsidR="00000000" w:rsidRPr="003F7BB2" w:rsidP="003F7BB2">
            <w:pPr>
              <w:pStyle w:val="BodyText"/>
            </w:pPr>
            <w:r w:rsidRPr="003F7BB2">
              <w:rPr>
                <w:rStyle w:val="SpecialBold"/>
              </w:rPr>
              <w:t>Band</w:t>
            </w:r>
            <w:r w:rsidRPr="003F7BB2">
              <w:t>:</w:t>
            </w:r>
            <w:r w:rsidRPr="003F7BB2">
              <w:tab/>
            </w:r>
            <w:r w:rsidRPr="003F7BB2">
              <w:rPr>
                <w:rStyle w:val="SpecialBold"/>
              </w:rPr>
              <w:t>A</w:t>
            </w:r>
          </w:p>
          <w:p w:rsidR="00000000" w:rsidRPr="003F7BB2" w:rsidP="003F7BB2">
            <w:pPr>
              <w:pStyle w:val="BodyText"/>
            </w:pPr>
            <w:r w:rsidRPr="003F7BB2">
              <w:rPr>
                <w:rStyle w:val="SpecialBold"/>
              </w:rPr>
              <w:t>Unit Weight</w:t>
            </w:r>
            <w:r w:rsidRPr="003F7BB2">
              <w:t>:</w:t>
            </w:r>
            <w:r w:rsidRPr="003F7BB2">
              <w:tab/>
            </w:r>
            <w:r w:rsidRPr="003F7BB2">
              <w:rPr>
                <w:rStyle w:val="SpecialBold"/>
              </w:rPr>
              <w:t>2</w:t>
            </w:r>
          </w:p>
        </w:tc>
      </w:tr>
    </w:tbl>
    <w:p w:rsidR="00EA6568" w:rsidP="003F7BB2">
      <w:pPr>
        <w:pStyle w:val="BodyText"/>
      </w:pPr>
    </w:p>
    <w:p w:rsidR="00EA6568" w:rsidP="003F7BB2">
      <w:pPr>
        <w:pStyle w:val="BodyText"/>
      </w:pPr>
    </w:p>
    <w:p w:rsidR="00000000" w:rsidRPr="003F7BB2" w:rsidP="003F7BB2">
      <w:pPr>
        <w:pStyle w:val="Heading1"/>
      </w:pPr>
      <w:bookmarkStart w:id="4" w:name="O_280495"/>
      <w:bookmarkEnd w:id="4"/>
      <w:r w:rsidRPr="003F7BB2">
        <w:t>Licensing/Regulatory Information</w:t>
      </w:r>
    </w:p>
    <w:p w:rsidR="00000000" w:rsidRPr="003F7BB2" w:rsidP="003F7BB2">
      <w:pPr>
        <w:pStyle w:val="BodyText"/>
      </w:pPr>
      <w:r w:rsidRPr="003F7BB2">
        <w:t>Not Applicable</w:t>
      </w:r>
    </w:p>
    <w:p w:rsidR="00000000" w:rsidRPr="003F7BB2" w:rsidP="003F7BB2">
      <w:pPr>
        <w:pStyle w:val="AllowPageBreak"/>
      </w:pPr>
    </w:p>
    <w:p w:rsidR="00000000" w:rsidRPr="003F7BB2" w:rsidP="003F7BB2">
      <w:pPr>
        <w:pStyle w:val="Heading1"/>
      </w:pPr>
      <w:bookmarkStart w:id="5" w:name="O_212085"/>
      <w:bookmarkEnd w:id="5"/>
      <w:r w:rsidRPr="003F7BB2">
        <w:t>Pre-Requisites</w:t>
      </w:r>
    </w:p>
    <w:tbl>
      <w:tblPr>
        <w:tblW w:w="0" w:type="auto"/>
        <w:tblLayout w:type="fixed"/>
        <w:tblCellMar>
          <w:left w:w="62" w:type="dxa"/>
          <w:right w:w="62" w:type="dxa"/>
        </w:tblCellMar>
        <w:tblLook w:val="0000"/>
      </w:tblPr>
      <w:tblGrid>
        <w:gridCol w:w="2713"/>
        <w:gridCol w:w="2207"/>
        <w:gridCol w:w="3602"/>
      </w:tblGrid>
      <w:tr w:rsidTr="00EA6568">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p>
        </w:tc>
      </w:tr>
      <w:tr w:rsidTr="00EA6568">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Use hand tools</w:t>
            </w:r>
          </w:p>
        </w:tc>
      </w:tr>
      <w:tr w:rsidTr="00EA6568">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MEM12023A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Perform engineering measurements</w:t>
            </w:r>
          </w:p>
        </w:tc>
      </w:tr>
    </w:tbl>
    <w:p w:rsidR="00EA6568" w:rsidP="003F7BB2">
      <w:pPr>
        <w:pStyle w:val="BodyText"/>
      </w:pPr>
    </w:p>
    <w:p w:rsidR="00EA6568" w:rsidP="003F7BB2">
      <w:pPr>
        <w:pStyle w:val="BodyText"/>
      </w:pPr>
    </w:p>
    <w:p w:rsidR="00000000" w:rsidRPr="003F7BB2" w:rsidP="003F7BB2">
      <w:pPr>
        <w:pStyle w:val="Heading1"/>
      </w:pPr>
      <w:bookmarkStart w:id="6" w:name="O_212084"/>
      <w:bookmarkEnd w:id="6"/>
      <w:r w:rsidRPr="003F7BB2">
        <w:t>Employability Skills Information</w:t>
      </w:r>
    </w:p>
    <w:tbl>
      <w:tblPr>
        <w:tblW w:w="0" w:type="auto"/>
        <w:tblLayout w:type="fixed"/>
        <w:tblCellMar>
          <w:left w:w="62" w:type="dxa"/>
          <w:right w:w="62" w:type="dxa"/>
        </w:tblCellMar>
        <w:tblLook w:val="0000"/>
      </w:tblPr>
      <w:tblGrid>
        <w:gridCol w:w="2802"/>
        <w:gridCol w:w="5720"/>
      </w:tblGrid>
      <w:tr w:rsidTr="00EA656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This unit contains employability skills.</w:t>
            </w:r>
          </w:p>
        </w:tc>
      </w:tr>
    </w:tbl>
    <w:p w:rsidR="00EA6568" w:rsidP="003F7BB2">
      <w:pPr>
        <w:pStyle w:val="BodyText"/>
      </w:pPr>
    </w:p>
    <w:p w:rsidR="00EA6568" w:rsidP="003F7BB2">
      <w:pPr>
        <w:pStyle w:val="BodyText"/>
      </w:pPr>
    </w:p>
    <w:p w:rsidR="00000000" w:rsidRPr="003F7BB2" w:rsidP="003F7BB2">
      <w:pPr>
        <w:pStyle w:val="Heading1"/>
      </w:pPr>
      <w:bookmarkStart w:id="7" w:name="O_290281"/>
      <w:bookmarkEnd w:id="7"/>
      <w:r w:rsidRPr="003F7BB2">
        <w:t>Elements and Performance Criteria Pre-Content</w:t>
      </w:r>
    </w:p>
    <w:tbl>
      <w:tblPr>
        <w:tblW w:w="0" w:type="auto"/>
        <w:tblLayout w:type="fixed"/>
        <w:tblCellMar>
          <w:left w:w="62" w:type="dxa"/>
          <w:right w:w="62" w:type="dxa"/>
        </w:tblCellMar>
        <w:tblLook w:val="0000"/>
      </w:tblPr>
      <w:tblGrid>
        <w:gridCol w:w="2555"/>
        <w:gridCol w:w="5967"/>
      </w:tblGrid>
      <w:tr w:rsidTr="00EA6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Performance criteria describe the performance needed to demonstrate achievement of the element. Where bold italicised text is used, further info</w:t>
            </w:r>
            <w:r w:rsidRPr="003F7BB2">
              <w:t>rmation is detailed in the required skills and knowledge section and the range statement. Assessment of performance is to be consistent with the evidence guide.</w:t>
            </w:r>
          </w:p>
        </w:tc>
      </w:tr>
    </w:tbl>
    <w:p w:rsidR="00000000" w:rsidRPr="003F7BB2" w:rsidP="003F7BB2">
      <w:pPr>
        <w:pStyle w:val="BodyText"/>
      </w:pPr>
    </w:p>
    <w:p w:rsidR="00000000" w:rsidRPr="003F7BB2" w:rsidP="003F7BB2">
      <w:pPr>
        <w:pStyle w:val="AllowPageBreak"/>
      </w:pPr>
    </w:p>
    <w:p w:rsidR="00000000" w:rsidRPr="003F7BB2" w:rsidP="003F7BB2">
      <w:pPr>
        <w:pStyle w:val="Heading1"/>
      </w:pPr>
      <w:bookmarkStart w:id="8" w:name="O_236948"/>
      <w:bookmarkEnd w:id="8"/>
      <w:r w:rsidRPr="003F7BB2">
        <w:t>Elements and Performance Criteria</w:t>
      </w:r>
    </w:p>
    <w:tbl>
      <w:tblPr>
        <w:tblW w:w="0" w:type="auto"/>
        <w:tblLayout w:type="fixed"/>
        <w:tblCellMar>
          <w:left w:w="62" w:type="dxa"/>
          <w:right w:w="62" w:type="dxa"/>
        </w:tblCellMar>
        <w:tblLook w:val="0000"/>
      </w:tblPr>
      <w:tblGrid>
        <w:gridCol w:w="2555"/>
        <w:gridCol w:w="5967"/>
      </w:tblGrid>
      <w:tr w:rsidTr="00EA656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PERFORMANCE CRITERIA</w:t>
            </w:r>
          </w:p>
        </w:tc>
      </w:tr>
      <w:tr w:rsidTr="00EA6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List"/>
              <w:rPr>
                <w:lang w:val="en-NZ"/>
              </w:rPr>
            </w:pPr>
            <w:r w:rsidRPr="003F7BB2">
              <w:t>1.</w:t>
            </w:r>
            <w:r w:rsidRPr="003F7BB2">
              <w:tab/>
            </w:r>
            <w:r w:rsidRPr="003F7BB2">
              <w:t>Inspect glands and gland packing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List2"/>
            </w:pPr>
            <w:r w:rsidRPr="003F7BB2">
              <w:t>1.1.</w:t>
            </w:r>
            <w:r w:rsidRPr="003F7BB2">
              <w:tab/>
              <w:t>Principles of gland packing are applied.</w:t>
            </w:r>
          </w:p>
          <w:p w:rsidR="00000000" w:rsidP="003F7BB2">
            <w:pPr>
              <w:pStyle w:val="List2"/>
              <w:rPr>
                <w:lang w:val="en-NZ"/>
              </w:rPr>
            </w:pPr>
            <w:r w:rsidRPr="003F7BB2">
              <w:t>1.2.</w:t>
            </w:r>
            <w:r w:rsidRPr="003F7BB2">
              <w:tab/>
              <w:t>Stuffing box assembly and gland packing are inspected and job requirements are determined.</w:t>
            </w:r>
          </w:p>
        </w:tc>
      </w:tr>
      <w:tr w:rsidTr="00EA6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List"/>
              <w:rPr>
                <w:lang w:val="en-NZ"/>
              </w:rPr>
            </w:pPr>
            <w:r w:rsidRPr="003F7BB2">
              <w:t>2.</w:t>
            </w:r>
            <w:r w:rsidRPr="003F7BB2">
              <w:tab/>
              <w:t>Remove gland packing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List2"/>
              <w:rPr>
                <w:lang w:val="en-NZ"/>
              </w:rPr>
            </w:pPr>
            <w:r w:rsidRPr="003F7BB2">
              <w:t>2.1.</w:t>
            </w:r>
            <w:r w:rsidRPr="003F7BB2">
              <w:tab/>
            </w:r>
            <w:r w:rsidRPr="003F7BB2">
              <w:t>Using appropriate engineering techniques, tools and equipment, gland is extracted or removed.</w:t>
            </w:r>
          </w:p>
        </w:tc>
      </w:tr>
      <w:tr w:rsidTr="00EA656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List"/>
              <w:rPr>
                <w:lang w:val="en-NZ"/>
              </w:rPr>
            </w:pPr>
            <w:r w:rsidRPr="003F7BB2">
              <w:t>3.</w:t>
            </w:r>
            <w:r w:rsidRPr="003F7BB2">
              <w:tab/>
              <w:t>Replace or top up gland packing</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List2"/>
            </w:pPr>
            <w:r w:rsidRPr="003F7BB2">
              <w:t>3.1.</w:t>
            </w:r>
            <w:r w:rsidRPr="003F7BB2">
              <w:tab/>
              <w:t>Correct and appropriate gland packing is selected and cut to size and shape to conform with application and/or specificat</w:t>
            </w:r>
            <w:r w:rsidRPr="003F7BB2">
              <w:t>ions.</w:t>
            </w:r>
          </w:p>
          <w:p w:rsidR="00000000" w:rsidRPr="003F7BB2" w:rsidP="003F7BB2">
            <w:pPr>
              <w:pStyle w:val="List2"/>
            </w:pPr>
            <w:r w:rsidRPr="003F7BB2">
              <w:t>3.2.</w:t>
            </w:r>
            <w:r w:rsidRPr="003F7BB2">
              <w:tab/>
              <w:t>The stuffing box is filled with packing material and the gland is reassembled using standard operating procedures or manufacturers' recommended procedures.</w:t>
            </w:r>
          </w:p>
        </w:tc>
      </w:tr>
    </w:tbl>
    <w:p w:rsidR="00EA6568" w:rsidP="003F7BB2">
      <w:pPr>
        <w:pStyle w:val="BodyText"/>
      </w:pPr>
    </w:p>
    <w:p w:rsidR="00EA6568" w:rsidP="003F7BB2">
      <w:pPr>
        <w:pStyle w:val="BodyText"/>
      </w:pPr>
    </w:p>
    <w:p w:rsidR="00000000" w:rsidRPr="003F7BB2" w:rsidP="003F7BB2">
      <w:pPr>
        <w:pStyle w:val="Heading1"/>
      </w:pPr>
      <w:bookmarkStart w:id="9" w:name="O_260898"/>
      <w:bookmarkEnd w:id="9"/>
      <w:r w:rsidRPr="003F7BB2">
        <w:t>Required Skills and Knowledge</w:t>
      </w:r>
    </w:p>
    <w:tbl>
      <w:tblPr>
        <w:tblW w:w="0" w:type="auto"/>
        <w:tblLayout w:type="fixed"/>
        <w:tblCellMar>
          <w:left w:w="62" w:type="dxa"/>
          <w:right w:w="62" w:type="dxa"/>
        </w:tblCellMar>
        <w:tblLook w:val="0000"/>
      </w:tblPr>
      <w:tblGrid>
        <w:gridCol w:w="8522"/>
      </w:tblGrid>
      <w:tr w:rsidTr="00EA656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REQUIRED SKILLS AND KNOWLEDGE</w:t>
            </w:r>
          </w:p>
        </w:tc>
      </w:tr>
      <w:tr w:rsidTr="00EA656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This section describes the skills and knowledge required for this unit.</w:t>
            </w:r>
          </w:p>
        </w:tc>
      </w:tr>
      <w:tr w:rsidTr="00EA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Required skills</w:t>
            </w:r>
          </w:p>
        </w:tc>
      </w:tr>
      <w:tr w:rsidTr="00EA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Look for evidence that confirms skills in:</w:t>
            </w:r>
          </w:p>
          <w:p w:rsidR="00000000" w:rsidRPr="003F7BB2" w:rsidP="003F7BB2">
            <w:pPr>
              <w:pStyle w:val="ListBullet"/>
            </w:pPr>
            <w:r w:rsidRPr="003F7BB2">
              <w:t>checking and clarifying task-related information</w:t>
            </w:r>
          </w:p>
          <w:p w:rsidR="00000000" w:rsidRPr="003F7BB2" w:rsidP="003F7BB2">
            <w:pPr>
              <w:pStyle w:val="ListBullet"/>
            </w:pPr>
            <w:r w:rsidRPr="003F7BB2">
              <w:t>inspecting glands and gland packing</w:t>
            </w:r>
          </w:p>
          <w:p w:rsidR="00000000" w:rsidRPr="003F7BB2" w:rsidP="003F7BB2">
            <w:pPr>
              <w:pStyle w:val="ListBullet"/>
            </w:pPr>
            <w:r w:rsidRPr="003F7BB2">
              <w:t>removing gland packing</w:t>
            </w:r>
          </w:p>
          <w:p w:rsidR="00000000" w:rsidRPr="003F7BB2" w:rsidP="003F7BB2">
            <w:pPr>
              <w:pStyle w:val="ListBullet"/>
            </w:pPr>
            <w:r w:rsidRPr="003F7BB2">
              <w:t>cutting gland packing to size and shape</w:t>
            </w:r>
          </w:p>
          <w:p w:rsidR="00000000" w:rsidRPr="003F7BB2" w:rsidP="003F7BB2">
            <w:pPr>
              <w:pStyle w:val="ListBullet"/>
            </w:pPr>
            <w:r w:rsidRPr="003F7BB2">
              <w:t>replacing or topping up gland packing</w:t>
            </w:r>
          </w:p>
          <w:p w:rsidR="00000000" w:rsidRPr="003F7BB2" w:rsidP="003F7BB2">
            <w:pPr>
              <w:pStyle w:val="ListBullet"/>
            </w:pPr>
            <w:r w:rsidRPr="003F7BB2">
              <w:t>reading and interpreting routine information on written job instructions, specifications and standard operating procedures. May include drawings</w:t>
            </w:r>
          </w:p>
          <w:p w:rsidR="00000000" w:rsidRPr="003F7BB2" w:rsidP="003F7BB2">
            <w:pPr>
              <w:pStyle w:val="ListBullet"/>
            </w:pPr>
            <w:r w:rsidRPr="003F7BB2">
              <w:t xml:space="preserve">following </w:t>
            </w:r>
            <w:r w:rsidRPr="003F7BB2">
              <w:t>oral instructions</w:t>
            </w:r>
          </w:p>
          <w:p w:rsidR="00000000" w:rsidP="003F7BB2">
            <w:pPr>
              <w:pStyle w:val="ListBullet"/>
              <w:rPr>
                <w:lang w:val="en-NZ"/>
              </w:rPr>
            </w:pPr>
            <w:r w:rsidRPr="003F7BB2">
              <w:t>entering routine and familiar information onto proformas and standard workplace forms</w:t>
            </w:r>
          </w:p>
        </w:tc>
      </w:tr>
      <w:tr w:rsidTr="00EA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Required knowledge</w:t>
            </w:r>
          </w:p>
        </w:tc>
      </w:tr>
      <w:tr w:rsidTr="00EA656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Look for evidence that confirms knowledge of:</w:t>
            </w:r>
          </w:p>
          <w:p w:rsidR="00000000" w:rsidRPr="003F7BB2" w:rsidP="003F7BB2">
            <w:pPr>
              <w:pStyle w:val="ListBullet"/>
            </w:pPr>
            <w:r w:rsidRPr="003F7BB2">
              <w:t>principles of gland packing</w:t>
            </w:r>
          </w:p>
          <w:p w:rsidR="00000000" w:rsidRPr="003F7BB2" w:rsidP="003F7BB2">
            <w:pPr>
              <w:pStyle w:val="ListBullet"/>
            </w:pPr>
            <w:r w:rsidRPr="003F7BB2">
              <w:t>tools, techniques and equipment required to remove gland</w:t>
            </w:r>
            <w:r w:rsidRPr="003F7BB2">
              <w:t xml:space="preserve"> packing</w:t>
            </w:r>
          </w:p>
          <w:p w:rsidR="00000000" w:rsidRPr="003F7BB2" w:rsidP="003F7BB2">
            <w:pPr>
              <w:pStyle w:val="ListBullet"/>
            </w:pPr>
            <w:r w:rsidRPr="003F7BB2">
              <w:t>various types of gland packing</w:t>
            </w:r>
          </w:p>
          <w:p w:rsidR="00000000" w:rsidRPr="003F7BB2" w:rsidP="003F7BB2">
            <w:pPr>
              <w:pStyle w:val="ListBullet"/>
            </w:pPr>
            <w:r w:rsidRPr="003F7BB2">
              <w:t>reasons for selecting gland packing</w:t>
            </w:r>
          </w:p>
          <w:p w:rsidR="00000000" w:rsidRPr="003F7BB2" w:rsidP="003F7BB2">
            <w:pPr>
              <w:pStyle w:val="ListBullet"/>
            </w:pPr>
            <w:r w:rsidRPr="003F7BB2">
              <w:t>methods of cutting gland packing to size and shape</w:t>
            </w:r>
          </w:p>
          <w:p w:rsidR="00000000" w:rsidRPr="003F7BB2" w:rsidP="003F7BB2">
            <w:pPr>
              <w:pStyle w:val="ListBullet"/>
            </w:pPr>
            <w:r w:rsidRPr="003F7BB2">
              <w:t>reassembling procedures</w:t>
            </w:r>
          </w:p>
          <w:p w:rsidR="00000000" w:rsidRPr="003F7BB2" w:rsidP="003F7BB2">
            <w:pPr>
              <w:pStyle w:val="ListBullet"/>
            </w:pPr>
            <w:r w:rsidRPr="003F7BB2">
              <w:t>hazards and control measures associated with gland packing, including housekeeping</w:t>
            </w:r>
          </w:p>
          <w:p w:rsidR="00000000" w:rsidRPr="003F7BB2" w:rsidP="003F7BB2">
            <w:pPr>
              <w:pStyle w:val="ListBullet"/>
            </w:pPr>
            <w:r w:rsidRPr="003F7BB2">
              <w:t>safe work practices</w:t>
            </w:r>
          </w:p>
        </w:tc>
      </w:tr>
    </w:tbl>
    <w:p w:rsidR="00EA6568" w:rsidP="003F7BB2">
      <w:pPr>
        <w:pStyle w:val="BodyText"/>
      </w:pPr>
    </w:p>
    <w:p w:rsidR="00EA6568" w:rsidP="003F7BB2">
      <w:pPr>
        <w:pStyle w:val="BodyText"/>
      </w:pPr>
    </w:p>
    <w:p w:rsidR="00000000" w:rsidRPr="003F7BB2" w:rsidP="003F7BB2">
      <w:pPr>
        <w:pStyle w:val="AllowPageBreak"/>
      </w:pPr>
    </w:p>
    <w:p w:rsidR="00000000" w:rsidRPr="003F7BB2" w:rsidP="003F7BB2">
      <w:pPr>
        <w:pStyle w:val="Heading1"/>
      </w:pPr>
      <w:bookmarkStart w:id="10" w:name="O_244932"/>
      <w:bookmarkEnd w:id="10"/>
      <w:r w:rsidRPr="003F7BB2">
        <w:t>Evidence Guide</w:t>
      </w:r>
    </w:p>
    <w:tbl>
      <w:tblPr>
        <w:tblW w:w="9570" w:type="dxa"/>
        <w:tblLayout w:type="fixed"/>
        <w:tblCellMar>
          <w:left w:w="62" w:type="dxa"/>
          <w:right w:w="62" w:type="dxa"/>
        </w:tblCellMar>
        <w:tblLook w:val="0000"/>
      </w:tblPr>
      <w:tblGrid>
        <w:gridCol w:w="3908"/>
        <w:gridCol w:w="5662"/>
      </w:tblGrid>
      <w:tr w:rsidTr="00EA656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EVIDENCE GUIDE</w:t>
            </w:r>
          </w:p>
        </w:tc>
      </w:tr>
      <w:tr w:rsidTr="00EA656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 xml:space="preserve">The evidence guide provides advice on assessment and must be read in conjunction with the performance criteria, required skills and knowledge, </w:t>
            </w:r>
            <w:r w:rsidRPr="003F7BB2">
              <w:t>range statement and the Assessment Guidelines for the Training Package.</w:t>
            </w:r>
          </w:p>
        </w:tc>
      </w:tr>
      <w:tr w:rsidTr="00EA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 xml:space="preserve">A person who demonstrates competency in this unit must be able to pack glands. Competency in this unit cannot be claimed until all prerequisites </w:t>
            </w:r>
            <w:r w:rsidRPr="003F7BB2">
              <w:t>have been satisfied.</w:t>
            </w:r>
          </w:p>
        </w:tc>
      </w:tr>
      <w:tr w:rsidTr="00EA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Assessors must be satisfied that the candidate can competently and consistently perform all elements of the unit as specified by the criteria</w:t>
            </w:r>
            <w:r w:rsidRPr="003F7BB2">
              <w:t>, including required knowledge, and be capable of applying the competency in new and different situations and contexts.</w:t>
            </w:r>
          </w:p>
        </w:tc>
      </w:tr>
      <w:tr w:rsidTr="00EA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 xml:space="preserve">This unit may be assessed on the job, off the job or a combination of both on and off </w:t>
            </w:r>
            <w:r w:rsidRPr="003F7BB2">
              <w:t>the job. Where assessment occurs off the job, that is the candidate is not in productive work, then an appropriate simulation must be used where the range of conditions reflects realistic workplace situations. The competencies covered by this unit would be</w:t>
            </w:r>
            <w:r w:rsidRPr="003F7BB2">
              <w:t xml:space="preserve"> demonstrated by an individual working alone or as part of a team. The assessment environment should not disadvantage the candidate. </w:t>
            </w:r>
          </w:p>
          <w:p w:rsidR="00000000" w:rsidP="003F7BB2">
            <w:pPr>
              <w:pStyle w:val="BodyText"/>
              <w:rPr>
                <w:lang w:val="en-NZ"/>
              </w:rPr>
            </w:pPr>
            <w:r w:rsidRPr="003F7BB2">
              <w:t>This unit could be assessed in conjunction with any other units addressing the safety, quality, communication, materials h</w:t>
            </w:r>
            <w:r w:rsidRPr="003F7BB2">
              <w:t>andling, recording and reporting associated with gland packing or other units requiring the exercise of the skills and knowledge covered by this unit.</w:t>
            </w:r>
          </w:p>
        </w:tc>
      </w:tr>
      <w:tr w:rsidTr="00EA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 xml:space="preserve">Assessors should gather a range of evidence that is valid, sufficient, current and </w:t>
            </w:r>
            <w:r w:rsidRPr="003F7BB2">
              <w:t xml:space="preserve">authentic. Evidence can be gathered through a variety of ways including direct observation, supervisor's reports, project work, samples and questioning. Questioning techniques should not require language, literacy and numeracy skills beyond those required </w:t>
            </w:r>
            <w:r w:rsidRPr="003F7BB2">
              <w:t>in this unit of competency. The candidate must have access to all tools, equipment, materials and documentation required. The candidate must be permitted to refer to any relevant workplace procedures, product and manufacturing specifications, codes, standa</w:t>
            </w:r>
            <w:r w:rsidRPr="003F7BB2">
              <w:t>rds, manuals and reference materials.</w:t>
            </w:r>
          </w:p>
        </w:tc>
      </w:tr>
      <w:tr w:rsidTr="00EA656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p>
        </w:tc>
      </w:tr>
    </w:tbl>
    <w:p w:rsidR="00EA6568" w:rsidP="003F7BB2">
      <w:pPr>
        <w:pStyle w:val="BodyText"/>
      </w:pPr>
    </w:p>
    <w:p w:rsidR="00EA6568" w:rsidP="003F7BB2">
      <w:pPr>
        <w:pStyle w:val="BodyText"/>
      </w:pPr>
    </w:p>
    <w:p w:rsidR="00000000" w:rsidRPr="003F7BB2" w:rsidP="003F7BB2">
      <w:pPr>
        <w:pStyle w:val="Heading1"/>
      </w:pPr>
      <w:bookmarkStart w:id="11" w:name="O_252915"/>
      <w:bookmarkEnd w:id="11"/>
      <w:r w:rsidRPr="003F7BB2">
        <w:t>Range Statement</w:t>
      </w:r>
    </w:p>
    <w:tbl>
      <w:tblPr>
        <w:tblW w:w="0" w:type="auto"/>
        <w:tblLayout w:type="fixed"/>
        <w:tblCellMar>
          <w:left w:w="62" w:type="dxa"/>
          <w:right w:w="62" w:type="dxa"/>
        </w:tblCellMar>
        <w:tblLook w:val="0000"/>
      </w:tblPr>
      <w:tblGrid>
        <w:gridCol w:w="3498"/>
        <w:gridCol w:w="5024"/>
      </w:tblGrid>
      <w:tr w:rsidTr="00EA656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RANGE STATEMENT</w:t>
            </w:r>
          </w:p>
        </w:tc>
      </w:tr>
      <w:tr w:rsidTr="00EA656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t>The range statement relates to the unit of competency as a whole. It allows for different work environments and situations that may affect performance. Bold italicised wording, if used in the performance criteria, is detailed below. Essential operating con</w:t>
            </w:r>
            <w:r w:rsidRPr="003F7BB2">
              <w:t>ditions that may be present with training and assessment (depending on the work situation, needs of the candidate, accessibility of the item, and local industry and regional contexts) may also be included.</w:t>
            </w:r>
          </w:p>
        </w:tc>
      </w:tr>
      <w:tr w:rsidTr="00EA656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Packing material</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 xml:space="preserve">Carbon, hemp, rubber, leather, </w:t>
            </w:r>
            <w:r w:rsidRPr="003F7BB2">
              <w:t>teflon, felt, neoprene etc. that are flat, ribbon, square, round, moulded, dry and lubricated, etc.</w:t>
            </w:r>
          </w:p>
        </w:tc>
      </w:tr>
    </w:tbl>
    <w:p w:rsidR="00EA6568" w:rsidP="003F7BB2">
      <w:pPr>
        <w:pStyle w:val="BodyText"/>
      </w:pPr>
    </w:p>
    <w:p w:rsidR="00EA6568" w:rsidP="003F7BB2">
      <w:pPr>
        <w:pStyle w:val="BodyText"/>
      </w:pPr>
    </w:p>
    <w:p w:rsidR="00000000" w:rsidRPr="003F7BB2" w:rsidP="003F7BB2">
      <w:pPr>
        <w:pStyle w:val="Heading1"/>
      </w:pPr>
      <w:bookmarkStart w:id="12" w:name="O_212089"/>
      <w:bookmarkEnd w:id="12"/>
      <w:r w:rsidRPr="003F7BB2">
        <w:t>Unit Sector(s)</w:t>
      </w:r>
    </w:p>
    <w:tbl>
      <w:tblPr>
        <w:tblW w:w="0" w:type="auto"/>
        <w:tblLayout w:type="fixed"/>
        <w:tblCellMar>
          <w:left w:w="62" w:type="dxa"/>
          <w:right w:w="62" w:type="dxa"/>
        </w:tblCellMar>
        <w:tblLook w:val="0000"/>
      </w:tblPr>
      <w:tblGrid>
        <w:gridCol w:w="2654"/>
        <w:gridCol w:w="5868"/>
      </w:tblGrid>
      <w:tr w:rsidTr="00EA656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p>
        </w:tc>
      </w:tr>
    </w:tbl>
    <w:p w:rsidR="00EA6568" w:rsidP="003F7BB2">
      <w:pPr>
        <w:pStyle w:val="BodyText"/>
      </w:pPr>
    </w:p>
    <w:p w:rsidR="00EA6568" w:rsidP="003F7BB2">
      <w:pPr>
        <w:pStyle w:val="BodyText"/>
      </w:pPr>
    </w:p>
    <w:p w:rsidR="00000000" w:rsidRPr="003F7BB2" w:rsidP="003F7BB2">
      <w:pPr>
        <w:pStyle w:val="Heading1"/>
      </w:pPr>
      <w:bookmarkStart w:id="13" w:name="O_212086"/>
      <w:bookmarkEnd w:id="13"/>
      <w:r w:rsidRPr="003F7BB2">
        <w:t>Co-requisite units</w:t>
      </w:r>
    </w:p>
    <w:tbl>
      <w:tblPr>
        <w:tblW w:w="0" w:type="auto"/>
        <w:tblLayout w:type="fixed"/>
        <w:tblCellMar>
          <w:left w:w="62" w:type="dxa"/>
          <w:right w:w="62" w:type="dxa"/>
        </w:tblCellMar>
        <w:tblLook w:val="0000"/>
      </w:tblPr>
      <w:tblGrid>
        <w:gridCol w:w="2641"/>
        <w:gridCol w:w="1322"/>
        <w:gridCol w:w="4559"/>
      </w:tblGrid>
      <w:tr w:rsidTr="00EA656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p>
        </w:tc>
      </w:tr>
      <w:tr w:rsidTr="00EA65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p>
        </w:tc>
      </w:tr>
      <w:tr w:rsidTr="00EA656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p>
        </w:tc>
      </w:tr>
    </w:tbl>
    <w:p w:rsidR="00EA6568" w:rsidP="003F7BB2">
      <w:pPr>
        <w:pStyle w:val="BodyText"/>
      </w:pPr>
    </w:p>
    <w:p w:rsidR="00EA6568" w:rsidP="003F7BB2">
      <w:pPr>
        <w:pStyle w:val="BodyText"/>
      </w:pPr>
    </w:p>
    <w:p w:rsidR="00000000" w:rsidRPr="003F7BB2" w:rsidP="003F7BB2">
      <w:pPr>
        <w:pStyle w:val="Heading1"/>
      </w:pPr>
      <w:bookmarkStart w:id="14" w:name="O_212088"/>
      <w:bookmarkEnd w:id="14"/>
      <w:r w:rsidRPr="003F7BB2">
        <w:t>Competency field</w:t>
      </w:r>
    </w:p>
    <w:tbl>
      <w:tblPr>
        <w:tblW w:w="0" w:type="auto"/>
        <w:tblLayout w:type="fixed"/>
        <w:tblCellMar>
          <w:left w:w="62" w:type="dxa"/>
          <w:right w:w="62" w:type="dxa"/>
        </w:tblCellMar>
        <w:tblLook w:val="0000"/>
      </w:tblPr>
      <w:tblGrid>
        <w:gridCol w:w="2775"/>
        <w:gridCol w:w="5747"/>
      </w:tblGrid>
      <w:tr w:rsidTr="00EA656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7BB2">
            <w:pPr>
              <w:pStyle w:val="BodyText"/>
              <w:rPr>
                <w:lang w:val="en-NZ"/>
              </w:rPr>
            </w:pPr>
            <w:r w:rsidRPr="003F7BB2">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7BB2" w:rsidP="003F7BB2">
            <w:pPr>
              <w:pStyle w:val="BodyText"/>
            </w:pPr>
            <w:r w:rsidRPr="003F7BB2">
              <w:t>Maintenance and diagnostics</w:t>
            </w:r>
          </w:p>
        </w:tc>
      </w:tr>
    </w:tbl>
    <w:p w:rsidR="00EA6568" w:rsidP="003F7BB2">
      <w:pPr>
        <w:pStyle w:val="BodyText"/>
      </w:pPr>
    </w:p>
    <w:p w:rsidR="00EA6568" w:rsidP="003F7BB2">
      <w:pPr>
        <w:pStyle w:val="BodyText"/>
      </w:pPr>
    </w:p>
    <w:p w:rsidR="00000000" w:rsidRPr="003F7BB2" w:rsidP="003F7BB2"/>
    <w:sectPr w:rsidSect="003F7B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568" w:rsidP="00EA6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8" w:rsidP="003F7B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6568" w:rsidP="003F7B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6568" w:rsidP="003F7B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6568" w:rsidP="00EA65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B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568" w:rsidP="003F7BB2">
    <w:pPr>
      <w:pStyle w:val="Header"/>
      <w:framePr w:wrap="around"/>
    </w:pPr>
    <w:r>
      <w:fldChar w:fldCharType="begin"/>
    </w:r>
    <w:r>
      <w:instrText xml:space="preserve"> TITLE   \* MERGEFORMAT </w:instrText>
    </w:r>
    <w:r>
      <w:fldChar w:fldCharType="separate"/>
    </w:r>
    <w:r>
      <w:t>MEM18013B Perform gland packing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6568" w:rsidP="003F7B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FCE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F6FF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B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7BB2"/>
    <w:pPr>
      <w:spacing w:before="360" w:after="60"/>
      <w:outlineLvl w:val="0"/>
    </w:pPr>
    <w:rPr>
      <w:sz w:val="32"/>
    </w:rPr>
  </w:style>
  <w:style w:type="paragraph" w:styleId="Heading2">
    <w:name w:val="heading 2"/>
    <w:basedOn w:val="HeadingBase"/>
    <w:next w:val="BodyText"/>
    <w:link w:val="Heading2Char"/>
    <w:qFormat/>
    <w:rsid w:val="003F7BB2"/>
    <w:pPr>
      <w:keepLines/>
      <w:spacing w:before="240" w:after="120"/>
      <w:outlineLvl w:val="1"/>
    </w:pPr>
    <w:rPr>
      <w:sz w:val="28"/>
      <w:szCs w:val="40"/>
    </w:rPr>
  </w:style>
  <w:style w:type="paragraph" w:styleId="Heading3">
    <w:name w:val="heading 3"/>
    <w:basedOn w:val="HeadingBase"/>
    <w:next w:val="BodyText"/>
    <w:link w:val="Heading3Char"/>
    <w:qFormat/>
    <w:rsid w:val="003F7BB2"/>
    <w:pPr>
      <w:spacing w:before="180" w:after="120"/>
      <w:outlineLvl w:val="2"/>
    </w:pPr>
    <w:rPr>
      <w:spacing w:val="-10"/>
      <w:kern w:val="32"/>
    </w:rPr>
  </w:style>
  <w:style w:type="paragraph" w:styleId="Heading4">
    <w:name w:val="heading 4"/>
    <w:basedOn w:val="HeadingBase"/>
    <w:next w:val="BodyText"/>
    <w:link w:val="Heading4Char"/>
    <w:qFormat/>
    <w:rsid w:val="003F7BB2"/>
    <w:pPr>
      <w:spacing w:before="160" w:after="120"/>
      <w:outlineLvl w:val="3"/>
    </w:pPr>
    <w:rPr>
      <w:sz w:val="22"/>
    </w:rPr>
  </w:style>
  <w:style w:type="paragraph" w:styleId="Heading5">
    <w:name w:val="heading 5"/>
    <w:basedOn w:val="HeadingBase"/>
    <w:next w:val="Normal"/>
    <w:link w:val="Heading5Char"/>
    <w:qFormat/>
    <w:rsid w:val="003F7BB2"/>
    <w:pPr>
      <w:spacing w:before="80"/>
      <w:outlineLvl w:val="4"/>
    </w:pPr>
    <w:rPr>
      <w:color w:val="918585"/>
      <w:sz w:val="20"/>
    </w:rPr>
  </w:style>
  <w:style w:type="paragraph" w:styleId="Heading6">
    <w:name w:val="heading 6"/>
    <w:basedOn w:val="HeadingBase"/>
    <w:next w:val="Normal"/>
    <w:link w:val="Heading6Char"/>
    <w:qFormat/>
    <w:rsid w:val="003F7BB2"/>
    <w:pPr>
      <w:spacing w:before="60"/>
      <w:outlineLvl w:val="5"/>
    </w:pPr>
    <w:rPr>
      <w:color w:val="918585"/>
      <w:sz w:val="20"/>
    </w:rPr>
  </w:style>
  <w:style w:type="paragraph" w:styleId="Heading7">
    <w:name w:val="heading 7"/>
    <w:basedOn w:val="Normal"/>
    <w:next w:val="Normal"/>
    <w:link w:val="Heading7Char"/>
    <w:qFormat/>
    <w:rsid w:val="003F7BB2"/>
    <w:pPr>
      <w:ind w:left="720"/>
      <w:outlineLvl w:val="6"/>
    </w:pPr>
    <w:rPr>
      <w:i/>
    </w:rPr>
  </w:style>
  <w:style w:type="paragraph" w:styleId="Heading8">
    <w:name w:val="heading 8"/>
    <w:basedOn w:val="Normal"/>
    <w:next w:val="Normal"/>
    <w:link w:val="Heading8Char"/>
    <w:qFormat/>
    <w:rsid w:val="003F7BB2"/>
    <w:pPr>
      <w:ind w:left="720"/>
      <w:outlineLvl w:val="7"/>
    </w:pPr>
    <w:rPr>
      <w:i/>
    </w:rPr>
  </w:style>
  <w:style w:type="paragraph" w:styleId="Heading9">
    <w:name w:val="heading 9"/>
    <w:basedOn w:val="Normal"/>
    <w:next w:val="Normal"/>
    <w:link w:val="Heading9Char"/>
    <w:qFormat/>
    <w:rsid w:val="003F7BB2"/>
    <w:pPr>
      <w:ind w:left="720"/>
      <w:outlineLvl w:val="8"/>
    </w:pPr>
    <w:rPr>
      <w:i/>
    </w:rPr>
  </w:style>
  <w:style w:type="character" w:default="1" w:styleId="DefaultParagraphFont">
    <w:name w:val="Default Paragraph Font"/>
    <w:uiPriority w:val="1"/>
    <w:unhideWhenUsed/>
    <w:rsid w:val="003F7B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BB2"/>
  </w:style>
  <w:style w:type="character" w:customStyle="1" w:styleId="Heading1Char">
    <w:name w:val="Heading 1 Char"/>
    <w:basedOn w:val="DefaultParagraphFont"/>
    <w:link w:val="Heading1"/>
    <w:rsid w:val="003F7BB2"/>
    <w:rPr>
      <w:rFonts w:ascii="Times New Roman" w:eastAsia="Times New Roman" w:hAnsi="Times New Roman" w:cs="Times New Roman"/>
      <w:b/>
      <w:sz w:val="32"/>
      <w:szCs w:val="20"/>
      <w:lang w:eastAsia="en-US"/>
    </w:rPr>
  </w:style>
  <w:style w:type="paragraph" w:styleId="BodyText">
    <w:name w:val="Body Text"/>
    <w:basedOn w:val="Normal"/>
    <w:link w:val="BodyTextChar"/>
    <w:rsid w:val="003F7B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7BB2"/>
    <w:rPr>
      <w:rFonts w:ascii="Times New Roman" w:eastAsia="Times New Roman" w:hAnsi="Times New Roman" w:cs="Times New Roman"/>
      <w:sz w:val="24"/>
      <w:lang w:val="en-US" w:eastAsia="en-US"/>
    </w:rPr>
  </w:style>
  <w:style w:type="paragraph" w:styleId="Footer">
    <w:name w:val="footer"/>
    <w:basedOn w:val="Normal"/>
    <w:link w:val="FooterChar"/>
    <w:rsid w:val="003F7B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BB2"/>
    <w:rPr>
      <w:rFonts w:ascii="Times New Roman" w:eastAsia="Times New Roman" w:hAnsi="Times New Roman" w:cs="Times New Roman"/>
      <w:sz w:val="16"/>
      <w:lang w:val="en-US" w:eastAsia="en-US"/>
    </w:rPr>
  </w:style>
  <w:style w:type="paragraph" w:styleId="List">
    <w:name w:val="List"/>
    <w:basedOn w:val="BodyText"/>
    <w:next w:val="BodyText"/>
    <w:rsid w:val="003F7BB2"/>
    <w:pPr>
      <w:tabs>
        <w:tab w:val="left" w:pos="340"/>
      </w:tabs>
      <w:spacing w:before="60" w:after="60"/>
      <w:ind w:left="340" w:hanging="340"/>
    </w:pPr>
  </w:style>
  <w:style w:type="paragraph" w:styleId="ListBullet">
    <w:name w:val="List Bullet"/>
    <w:basedOn w:val="List"/>
    <w:rsid w:val="003F7BB2"/>
    <w:pPr>
      <w:numPr>
        <w:numId w:val="12"/>
      </w:numPr>
      <w:tabs>
        <w:tab w:val="clear" w:pos="340"/>
      </w:tabs>
      <w:spacing w:before="40" w:after="40"/>
    </w:pPr>
  </w:style>
  <w:style w:type="character" w:customStyle="1" w:styleId="SpecialBold">
    <w:name w:val="Special Bold"/>
    <w:basedOn w:val="DefaultParagraphFont"/>
    <w:rsid w:val="003F7BB2"/>
    <w:rPr>
      <w:b/>
      <w:spacing w:val="0"/>
    </w:rPr>
  </w:style>
  <w:style w:type="paragraph" w:styleId="Header">
    <w:name w:val="header"/>
    <w:basedOn w:val="Normal"/>
    <w:link w:val="HeaderChar"/>
    <w:rsid w:val="003F7B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B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7BB2"/>
    <w:pPr>
      <w:spacing w:before="240" w:after="120"/>
      <w:outlineLvl w:val="0"/>
    </w:pPr>
    <w:rPr>
      <w:rFonts w:ascii="Times New Roman" w:hAnsi="Times New Roman"/>
      <w:b/>
      <w:sz w:val="28"/>
    </w:rPr>
  </w:style>
  <w:style w:type="paragraph" w:customStyle="1" w:styleId="AllowPageBreak">
    <w:name w:val="AllowPageBreak"/>
    <w:rsid w:val="003F7B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7BB2"/>
    <w:pPr>
      <w:tabs>
        <w:tab w:val="left" w:pos="680"/>
      </w:tabs>
      <w:spacing w:before="60" w:after="60"/>
      <w:ind w:left="680" w:hanging="340"/>
    </w:pPr>
  </w:style>
  <w:style w:type="character" w:customStyle="1" w:styleId="Heading2Char">
    <w:name w:val="Heading 2 Char"/>
    <w:basedOn w:val="DefaultParagraphFont"/>
    <w:link w:val="Heading2"/>
    <w:rsid w:val="003F7B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B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B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B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B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B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7B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7BB2"/>
    <w:rPr>
      <w:rFonts w:ascii="Courier New" w:eastAsia="Times New Roman" w:hAnsi="Courier New" w:cs="Times New Roman"/>
      <w:i/>
      <w:szCs w:val="20"/>
      <w:lang w:val="en-US" w:eastAsia="en-US"/>
    </w:rPr>
  </w:style>
  <w:style w:type="paragraph" w:customStyle="1" w:styleId="HeadingBase">
    <w:name w:val="Heading Base"/>
    <w:rsid w:val="003F7B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BB2"/>
    <w:pPr>
      <w:tabs>
        <w:tab w:val="right" w:leader="dot" w:pos="9072"/>
      </w:tabs>
      <w:ind w:left="567"/>
    </w:pPr>
    <w:rPr>
      <w:szCs w:val="22"/>
    </w:rPr>
  </w:style>
  <w:style w:type="paragraph" w:customStyle="1" w:styleId="TOCBase">
    <w:name w:val="TOC Base"/>
    <w:rsid w:val="003F7B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BB2"/>
    <w:pPr>
      <w:tabs>
        <w:tab w:val="right" w:leader="dot" w:pos="9072"/>
      </w:tabs>
      <w:spacing w:before="40" w:after="40"/>
      <w:ind w:left="284"/>
    </w:pPr>
    <w:rPr>
      <w:rFonts w:ascii="Times New Roman" w:hAnsi="Times New Roman"/>
    </w:rPr>
  </w:style>
  <w:style w:type="paragraph" w:styleId="TOC1">
    <w:name w:val="toc 1"/>
    <w:basedOn w:val="TOCBase"/>
    <w:next w:val="Normal"/>
    <w:rsid w:val="003F7B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7BB2"/>
    <w:pPr>
      <w:spacing w:before="5040"/>
      <w:jc w:val="center"/>
    </w:pPr>
    <w:rPr>
      <w:sz w:val="48"/>
      <w:szCs w:val="72"/>
      <w:lang w:val="en-US"/>
    </w:rPr>
  </w:style>
  <w:style w:type="character" w:customStyle="1" w:styleId="TitleChar">
    <w:name w:val="Title Char"/>
    <w:basedOn w:val="DefaultParagraphFont"/>
    <w:link w:val="Title"/>
    <w:rsid w:val="003F7B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BB2"/>
    <w:pPr>
      <w:tabs>
        <w:tab w:val="left" w:pos="3600"/>
        <w:tab w:val="left" w:pos="3958"/>
      </w:tabs>
    </w:pPr>
  </w:style>
  <w:style w:type="paragraph" w:customStyle="1" w:styleId="Note">
    <w:name w:val="Note"/>
    <w:basedOn w:val="BodyText"/>
    <w:rsid w:val="003F7B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7BB2"/>
    <w:pPr>
      <w:framePr w:wrap="auto" w:hAnchor="text" w:y="6049"/>
    </w:pPr>
    <w:rPr>
      <w:color w:val="000000"/>
      <w:sz w:val="40"/>
    </w:rPr>
  </w:style>
  <w:style w:type="paragraph" w:customStyle="1" w:styleId="TOCTitle">
    <w:name w:val="TOCTitle"/>
    <w:basedOn w:val="Heading1"/>
    <w:rsid w:val="003F7BB2"/>
    <w:pPr>
      <w:spacing w:after="240"/>
      <w:jc w:val="center"/>
      <w:outlineLvl w:val="9"/>
    </w:pPr>
    <w:rPr>
      <w:caps/>
    </w:rPr>
  </w:style>
  <w:style w:type="paragraph" w:customStyle="1" w:styleId="Version">
    <w:name w:val="Version"/>
    <w:rsid w:val="003F7B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BB2"/>
    <w:pPr>
      <w:numPr>
        <w:numId w:val="13"/>
      </w:numPr>
      <w:tabs>
        <w:tab w:val="clear" w:pos="680"/>
      </w:tabs>
    </w:pPr>
  </w:style>
  <w:style w:type="paragraph" w:styleId="Index1">
    <w:name w:val="index 1"/>
    <w:basedOn w:val="Normal"/>
    <w:next w:val="Normal"/>
    <w:semiHidden/>
    <w:rsid w:val="003F7BB2"/>
    <w:pPr>
      <w:keepNext w:val="0"/>
      <w:tabs>
        <w:tab w:val="right" w:pos="4176"/>
      </w:tabs>
      <w:ind w:left="198" w:hanging="198"/>
    </w:pPr>
    <w:rPr>
      <w:rFonts w:ascii="Garamond" w:hAnsi="Garamond"/>
    </w:rPr>
  </w:style>
  <w:style w:type="paragraph" w:styleId="IndexHeading">
    <w:name w:val="index heading"/>
    <w:basedOn w:val="Normal"/>
    <w:next w:val="Index1"/>
    <w:semiHidden/>
    <w:rsid w:val="003F7BB2"/>
    <w:pPr>
      <w:spacing w:before="120" w:after="120"/>
    </w:pPr>
    <w:rPr>
      <w:rFonts w:ascii="Arial" w:hAnsi="Arial"/>
      <w:b/>
      <w:color w:val="918585"/>
      <w:sz w:val="24"/>
    </w:rPr>
  </w:style>
  <w:style w:type="paragraph" w:customStyle="1" w:styleId="Chapter">
    <w:name w:val="Chapter"/>
    <w:basedOn w:val="Normal"/>
    <w:rsid w:val="003F7BB2"/>
    <w:pPr>
      <w:spacing w:before="240"/>
    </w:pPr>
    <w:rPr>
      <w:rFonts w:ascii="Times New Roman" w:hAnsi="Times New Roman"/>
      <w:smallCaps/>
      <w:spacing w:val="80"/>
      <w:sz w:val="28"/>
    </w:rPr>
  </w:style>
  <w:style w:type="paragraph" w:customStyle="1" w:styleId="InChapter">
    <w:name w:val="InChapter"/>
    <w:basedOn w:val="Heading3"/>
    <w:rsid w:val="003F7BB2"/>
    <w:pPr>
      <w:spacing w:after="240"/>
      <w:outlineLvl w:val="9"/>
    </w:pPr>
    <w:rPr>
      <w:noProof/>
    </w:rPr>
  </w:style>
  <w:style w:type="paragraph" w:styleId="Index2">
    <w:name w:val="index 2"/>
    <w:basedOn w:val="Normal"/>
    <w:next w:val="Normal"/>
    <w:semiHidden/>
    <w:rsid w:val="003F7BB2"/>
    <w:pPr>
      <w:tabs>
        <w:tab w:val="right" w:pos="4176"/>
      </w:tabs>
      <w:ind w:left="568" w:hanging="284"/>
    </w:pPr>
    <w:rPr>
      <w:rFonts w:ascii="Garamond" w:hAnsi="Garamond"/>
    </w:rPr>
  </w:style>
  <w:style w:type="paragraph" w:customStyle="1" w:styleId="Byline">
    <w:name w:val="Byline"/>
    <w:rsid w:val="003F7B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BB2"/>
    <w:pPr>
      <w:tabs>
        <w:tab w:val="clear" w:pos="3600"/>
        <w:tab w:val="clear" w:pos="3958"/>
      </w:tabs>
      <w:jc w:val="right"/>
    </w:pPr>
  </w:style>
  <w:style w:type="character" w:styleId="Emphasis">
    <w:name w:val="Emphasis"/>
    <w:basedOn w:val="DefaultParagraphFont"/>
    <w:qFormat/>
    <w:rsid w:val="003F7BB2"/>
    <w:rPr>
      <w:i/>
    </w:rPr>
  </w:style>
  <w:style w:type="paragraph" w:styleId="Caption">
    <w:name w:val="caption"/>
    <w:basedOn w:val="BodyText"/>
    <w:next w:val="Normal"/>
    <w:qFormat/>
    <w:rsid w:val="003F7BB2"/>
    <w:pPr>
      <w:framePr w:w="2268" w:hSpace="181" w:vSpace="181" w:wrap="around" w:vAnchor="text" w:hAnchor="page" w:x="1135" w:y="285" w:anchorLock="1"/>
    </w:pPr>
    <w:rPr>
      <w:i/>
    </w:rPr>
  </w:style>
  <w:style w:type="paragraph" w:customStyle="1" w:styleId="MiniTOCTitle">
    <w:name w:val="MiniTOCTitle"/>
    <w:basedOn w:val="Heading4"/>
    <w:rsid w:val="003F7BB2"/>
    <w:pPr>
      <w:spacing w:before="240"/>
      <w:outlineLvl w:val="9"/>
    </w:pPr>
    <w:rPr>
      <w:noProof/>
      <w:sz w:val="24"/>
    </w:rPr>
  </w:style>
  <w:style w:type="paragraph" w:customStyle="1" w:styleId="MiniTOCItem">
    <w:name w:val="MiniTOCItem"/>
    <w:basedOn w:val="ListBullet"/>
    <w:rsid w:val="003F7BB2"/>
    <w:pPr>
      <w:numPr>
        <w:numId w:val="0"/>
      </w:numPr>
      <w:tabs>
        <w:tab w:val="right" w:leader="dot" w:pos="6521"/>
      </w:tabs>
      <w:spacing w:before="0" w:after="0"/>
    </w:pPr>
  </w:style>
  <w:style w:type="paragraph" w:customStyle="1" w:styleId="TOFTitle">
    <w:name w:val="TOFTitle"/>
    <w:basedOn w:val="TOCTitle"/>
    <w:rsid w:val="003F7BB2"/>
  </w:style>
  <w:style w:type="paragraph" w:styleId="TableofFigures">
    <w:name w:val="table of figures"/>
    <w:basedOn w:val="Normal"/>
    <w:next w:val="Normal"/>
    <w:semiHidden/>
    <w:rsid w:val="003F7BB2"/>
    <w:pPr>
      <w:tabs>
        <w:tab w:val="right" w:leader="dot" w:pos="9072"/>
      </w:tabs>
      <w:ind w:left="970" w:hanging="403"/>
    </w:pPr>
    <w:rPr>
      <w:rFonts w:ascii="Times New Roman" w:hAnsi="Times New Roman"/>
      <w:b/>
    </w:rPr>
  </w:style>
  <w:style w:type="paragraph" w:styleId="ListNumber">
    <w:name w:val="List Number"/>
    <w:basedOn w:val="List"/>
    <w:rsid w:val="003F7BB2"/>
    <w:pPr>
      <w:numPr>
        <w:numId w:val="10"/>
      </w:numPr>
    </w:pPr>
  </w:style>
  <w:style w:type="character" w:customStyle="1" w:styleId="WingdingSymbols">
    <w:name w:val="Wingding Symbols"/>
    <w:rsid w:val="003F7BB2"/>
    <w:rPr>
      <w:rFonts w:ascii="Wingdings" w:hAnsi="Wingdings"/>
    </w:rPr>
  </w:style>
  <w:style w:type="paragraph" w:customStyle="1" w:styleId="TableHeading">
    <w:name w:val="Table Heading"/>
    <w:basedOn w:val="HeadingBase"/>
    <w:rsid w:val="003F7BB2"/>
    <w:pPr>
      <w:keepLines/>
      <w:pBdr>
        <w:bottom w:val="single" w:sz="6" w:space="1" w:color="918585"/>
      </w:pBdr>
      <w:spacing w:before="240"/>
    </w:pPr>
  </w:style>
  <w:style w:type="character" w:customStyle="1" w:styleId="HotSpot">
    <w:name w:val="HotSpot"/>
    <w:rsid w:val="003F7BB2"/>
    <w:rPr>
      <w:color w:val="0033CC"/>
      <w:u w:val="none"/>
    </w:rPr>
  </w:style>
  <w:style w:type="paragraph" w:customStyle="1" w:styleId="BodyTextRight">
    <w:name w:val="Body Text Right"/>
    <w:basedOn w:val="BodyText"/>
    <w:rsid w:val="003F7BB2"/>
    <w:pPr>
      <w:spacing w:before="0" w:after="0"/>
      <w:jc w:val="right"/>
    </w:pPr>
  </w:style>
  <w:style w:type="paragraph" w:styleId="Index3">
    <w:name w:val="index 3"/>
    <w:basedOn w:val="ListNumber2"/>
    <w:next w:val="Normal"/>
    <w:semiHidden/>
    <w:rsid w:val="003F7BB2"/>
    <w:pPr>
      <w:numPr>
        <w:numId w:val="0"/>
      </w:numPr>
      <w:tabs>
        <w:tab w:val="right" w:leader="dot" w:pos="4176"/>
      </w:tabs>
    </w:pPr>
  </w:style>
  <w:style w:type="paragraph" w:styleId="ListNumber2">
    <w:name w:val="List Number 2"/>
    <w:basedOn w:val="List2"/>
    <w:rsid w:val="003F7BB2"/>
    <w:pPr>
      <w:numPr>
        <w:numId w:val="9"/>
      </w:numPr>
      <w:tabs>
        <w:tab w:val="clear" w:pos="1060"/>
      </w:tabs>
    </w:pPr>
  </w:style>
  <w:style w:type="paragraph" w:customStyle="1" w:styleId="MarginNote">
    <w:name w:val="Margin Note"/>
    <w:basedOn w:val="BodyText"/>
    <w:rsid w:val="003F7B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B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B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7BB2"/>
    <w:rPr>
      <w:sz w:val="32"/>
    </w:rPr>
  </w:style>
  <w:style w:type="paragraph" w:customStyle="1" w:styleId="HeadingProcedure">
    <w:name w:val="Heading Procedure"/>
    <w:basedOn w:val="HeadingBase"/>
    <w:next w:val="Normal"/>
    <w:rsid w:val="003F7BB2"/>
    <w:pPr>
      <w:tabs>
        <w:tab w:val="left" w:pos="0"/>
      </w:tabs>
      <w:spacing w:before="120" w:after="60"/>
    </w:pPr>
    <w:rPr>
      <w:i/>
      <w:color w:val="918585"/>
      <w:sz w:val="22"/>
    </w:rPr>
  </w:style>
  <w:style w:type="paragraph" w:customStyle="1" w:styleId="TableBodyText">
    <w:name w:val="Table Body Text"/>
    <w:basedOn w:val="BodyText"/>
    <w:rsid w:val="003F7BB2"/>
    <w:pPr>
      <w:spacing w:before="60" w:after="60"/>
    </w:pPr>
  </w:style>
  <w:style w:type="paragraph" w:styleId="ListContinue">
    <w:name w:val="List Continue"/>
    <w:basedOn w:val="List"/>
    <w:rsid w:val="003F7BB2"/>
    <w:pPr>
      <w:ind w:firstLine="0"/>
    </w:pPr>
  </w:style>
  <w:style w:type="paragraph" w:customStyle="1" w:styleId="ListNote">
    <w:name w:val="List Note"/>
    <w:basedOn w:val="List"/>
    <w:rsid w:val="003F7BB2"/>
    <w:pPr>
      <w:pBdr>
        <w:top w:val="single" w:sz="6" w:space="2" w:color="918585"/>
        <w:bottom w:val="single" w:sz="6" w:space="2" w:color="918585"/>
      </w:pBdr>
      <w:tabs>
        <w:tab w:val="left" w:pos="1021"/>
      </w:tabs>
      <w:ind w:firstLine="0"/>
    </w:pPr>
  </w:style>
  <w:style w:type="paragraph" w:customStyle="1" w:styleId="Warning">
    <w:name w:val="Warning"/>
    <w:basedOn w:val="BodyText"/>
    <w:rsid w:val="003F7BB2"/>
    <w:pPr>
      <w:shd w:val="clear" w:color="auto" w:fill="D9D9D9"/>
      <w:tabs>
        <w:tab w:val="left" w:pos="992"/>
      </w:tabs>
      <w:ind w:left="119" w:right="119"/>
    </w:pPr>
    <w:rPr>
      <w:sz w:val="20"/>
    </w:rPr>
  </w:style>
  <w:style w:type="paragraph" w:customStyle="1" w:styleId="MarginIcons">
    <w:name w:val="Margin Icons"/>
    <w:basedOn w:val="BodyText"/>
    <w:rsid w:val="003F7B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BB2"/>
    <w:rPr>
      <w:rFonts w:ascii="Courier New" w:hAnsi="Courier New"/>
    </w:rPr>
  </w:style>
  <w:style w:type="paragraph" w:customStyle="1" w:styleId="NoteBullet">
    <w:name w:val="Note Bullet"/>
    <w:basedOn w:val="Note"/>
    <w:rsid w:val="003F7BB2"/>
    <w:pPr>
      <w:tabs>
        <w:tab w:val="clear" w:pos="680"/>
      </w:tabs>
      <w:spacing w:before="60" w:after="60"/>
    </w:pPr>
  </w:style>
  <w:style w:type="paragraph" w:customStyle="1" w:styleId="SubHeading2">
    <w:name w:val="SubHeading2"/>
    <w:basedOn w:val="HeadingBase"/>
    <w:rsid w:val="003F7BB2"/>
    <w:pPr>
      <w:spacing w:before="240" w:after="60"/>
    </w:pPr>
    <w:rPr>
      <w:sz w:val="20"/>
    </w:rPr>
  </w:style>
  <w:style w:type="paragraph" w:customStyle="1" w:styleId="SubHeading1">
    <w:name w:val="SubHeading1"/>
    <w:basedOn w:val="HeadingBase"/>
    <w:rsid w:val="003F7BB2"/>
    <w:pPr>
      <w:spacing w:before="240" w:after="60"/>
    </w:pPr>
    <w:rPr>
      <w:color w:val="918585"/>
      <w:sz w:val="22"/>
    </w:rPr>
  </w:style>
  <w:style w:type="paragraph" w:customStyle="1" w:styleId="SideHeading">
    <w:name w:val="Side Heading"/>
    <w:basedOn w:val="HeadingBase"/>
    <w:rsid w:val="003F7B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BB2"/>
    <w:pPr>
      <w:tabs>
        <w:tab w:val="num" w:pos="360"/>
      </w:tabs>
    </w:pPr>
  </w:style>
  <w:style w:type="paragraph" w:styleId="PlainText">
    <w:name w:val="Plain Text"/>
    <w:basedOn w:val="Normal"/>
    <w:link w:val="PlainTextChar"/>
    <w:rsid w:val="003F7BB2"/>
    <w:rPr>
      <w:sz w:val="20"/>
    </w:rPr>
  </w:style>
  <w:style w:type="character" w:customStyle="1" w:styleId="PlainTextChar">
    <w:name w:val="Plain Text Char"/>
    <w:basedOn w:val="DefaultParagraphFont"/>
    <w:link w:val="PlainText"/>
    <w:rsid w:val="003F7B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7BB2"/>
    <w:rPr>
      <w:b/>
      <w:smallCaps/>
    </w:rPr>
  </w:style>
  <w:style w:type="paragraph" w:customStyle="1" w:styleId="TableListNumber">
    <w:name w:val="Table List Number"/>
    <w:basedOn w:val="ListNumber"/>
    <w:rsid w:val="003F7BB2"/>
    <w:pPr>
      <w:numPr>
        <w:numId w:val="0"/>
      </w:numPr>
    </w:pPr>
  </w:style>
  <w:style w:type="paragraph" w:styleId="TOC4">
    <w:name w:val="toc 4"/>
    <w:basedOn w:val="TOCBase"/>
    <w:next w:val="Normal"/>
    <w:semiHidden/>
    <w:rsid w:val="003F7BB2"/>
    <w:pPr>
      <w:tabs>
        <w:tab w:val="right" w:leader="dot" w:pos="9071"/>
      </w:tabs>
      <w:ind w:left="1701"/>
    </w:pPr>
  </w:style>
  <w:style w:type="paragraph" w:customStyle="1" w:styleId="ListAlpha">
    <w:name w:val="List Alpha"/>
    <w:basedOn w:val="List"/>
    <w:rsid w:val="003F7BB2"/>
    <w:pPr>
      <w:numPr>
        <w:numId w:val="8"/>
      </w:numPr>
    </w:pPr>
  </w:style>
  <w:style w:type="paragraph" w:customStyle="1" w:styleId="ListAlpha2">
    <w:name w:val="List Alpha 2"/>
    <w:basedOn w:val="List2"/>
    <w:rsid w:val="003F7BB2"/>
    <w:pPr>
      <w:numPr>
        <w:numId w:val="7"/>
      </w:numPr>
    </w:pPr>
  </w:style>
  <w:style w:type="paragraph" w:styleId="List3">
    <w:name w:val="List 3"/>
    <w:basedOn w:val="BodyText"/>
    <w:rsid w:val="003F7BB2"/>
    <w:pPr>
      <w:tabs>
        <w:tab w:val="left" w:pos="1021"/>
      </w:tabs>
      <w:spacing w:before="60" w:after="60"/>
      <w:ind w:left="1020" w:hanging="340"/>
    </w:pPr>
  </w:style>
  <w:style w:type="paragraph" w:styleId="List4">
    <w:name w:val="List 4"/>
    <w:basedOn w:val="BodyText"/>
    <w:rsid w:val="003F7BB2"/>
    <w:pPr>
      <w:tabs>
        <w:tab w:val="left" w:pos="1361"/>
      </w:tabs>
      <w:spacing w:before="60" w:after="60"/>
      <w:ind w:left="1361" w:hanging="340"/>
    </w:pPr>
  </w:style>
  <w:style w:type="paragraph" w:styleId="List5">
    <w:name w:val="List 5"/>
    <w:basedOn w:val="BodyText"/>
    <w:rsid w:val="003F7BB2"/>
    <w:pPr>
      <w:tabs>
        <w:tab w:val="left" w:pos="1701"/>
      </w:tabs>
      <w:spacing w:before="60" w:after="60"/>
      <w:ind w:left="1701" w:hanging="340"/>
    </w:pPr>
  </w:style>
  <w:style w:type="paragraph" w:styleId="ListBullet3">
    <w:name w:val="List Bullet 3"/>
    <w:basedOn w:val="List3"/>
    <w:rsid w:val="003F7BB2"/>
    <w:pPr>
      <w:numPr>
        <w:numId w:val="14"/>
      </w:numPr>
      <w:tabs>
        <w:tab w:val="clear" w:pos="1021"/>
      </w:tabs>
      <w:ind w:left="1037" w:hanging="357"/>
    </w:pPr>
  </w:style>
  <w:style w:type="paragraph" w:styleId="ListBullet4">
    <w:name w:val="List Bullet 4"/>
    <w:basedOn w:val="List4"/>
    <w:rsid w:val="003F7BB2"/>
    <w:pPr>
      <w:numPr>
        <w:numId w:val="2"/>
      </w:numPr>
    </w:pPr>
  </w:style>
  <w:style w:type="paragraph" w:styleId="ListBullet5">
    <w:name w:val="List Bullet 5"/>
    <w:basedOn w:val="List5"/>
    <w:rsid w:val="003F7BB2"/>
    <w:pPr>
      <w:numPr>
        <w:numId w:val="3"/>
      </w:numPr>
    </w:pPr>
  </w:style>
  <w:style w:type="paragraph" w:styleId="ListContinue2">
    <w:name w:val="List Continue 2"/>
    <w:basedOn w:val="List2"/>
    <w:rsid w:val="003F7BB2"/>
    <w:pPr>
      <w:ind w:firstLine="0"/>
    </w:pPr>
  </w:style>
  <w:style w:type="paragraph" w:styleId="ListContinue3">
    <w:name w:val="List Continue 3"/>
    <w:basedOn w:val="List3"/>
    <w:rsid w:val="003F7BB2"/>
    <w:pPr>
      <w:ind w:left="1021" w:firstLine="0"/>
    </w:pPr>
  </w:style>
  <w:style w:type="paragraph" w:styleId="ListContinue4">
    <w:name w:val="List Continue 4"/>
    <w:basedOn w:val="List4"/>
    <w:rsid w:val="003F7BB2"/>
    <w:pPr>
      <w:ind w:firstLine="0"/>
    </w:pPr>
  </w:style>
  <w:style w:type="paragraph" w:styleId="ListContinue5">
    <w:name w:val="List Continue 5"/>
    <w:basedOn w:val="List5"/>
    <w:rsid w:val="003F7BB2"/>
    <w:pPr>
      <w:ind w:firstLine="0"/>
    </w:pPr>
  </w:style>
  <w:style w:type="paragraph" w:styleId="ListNumber3">
    <w:name w:val="List Number 3"/>
    <w:basedOn w:val="List3"/>
    <w:rsid w:val="003F7BB2"/>
    <w:pPr>
      <w:numPr>
        <w:numId w:val="4"/>
      </w:numPr>
    </w:pPr>
  </w:style>
  <w:style w:type="paragraph" w:styleId="ListNumber4">
    <w:name w:val="List Number 4"/>
    <w:basedOn w:val="List4"/>
    <w:rsid w:val="003F7BB2"/>
    <w:pPr>
      <w:numPr>
        <w:numId w:val="5"/>
      </w:numPr>
    </w:pPr>
  </w:style>
  <w:style w:type="paragraph" w:styleId="ListNumber5">
    <w:name w:val="List Number 5"/>
    <w:basedOn w:val="List5"/>
    <w:rsid w:val="003F7BB2"/>
    <w:pPr>
      <w:numPr>
        <w:numId w:val="6"/>
      </w:numPr>
    </w:pPr>
  </w:style>
  <w:style w:type="paragraph" w:styleId="BlockText">
    <w:name w:val="Block Text"/>
    <w:basedOn w:val="Normal"/>
    <w:rsid w:val="003F7BB2"/>
    <w:pPr>
      <w:spacing w:after="120"/>
      <w:ind w:left="1440" w:right="1440"/>
    </w:pPr>
  </w:style>
  <w:style w:type="character" w:customStyle="1" w:styleId="Subscript">
    <w:name w:val="Subscript"/>
    <w:basedOn w:val="DefaultParagraphFont"/>
    <w:rsid w:val="003F7BB2"/>
    <w:rPr>
      <w:sz w:val="16"/>
      <w:vertAlign w:val="subscript"/>
    </w:rPr>
  </w:style>
  <w:style w:type="character" w:customStyle="1" w:styleId="Superscript">
    <w:name w:val="Superscript"/>
    <w:basedOn w:val="DefaultParagraphFont"/>
    <w:rsid w:val="003F7BB2"/>
    <w:rPr>
      <w:sz w:val="16"/>
      <w:vertAlign w:val="superscript"/>
    </w:rPr>
  </w:style>
  <w:style w:type="character" w:customStyle="1" w:styleId="Symbols">
    <w:name w:val="Symbols"/>
    <w:basedOn w:val="DefaultParagraphFont"/>
    <w:rsid w:val="003F7BB2"/>
    <w:rPr>
      <w:rFonts w:ascii="Symbol" w:hAnsi="Symbol"/>
    </w:rPr>
  </w:style>
  <w:style w:type="character" w:customStyle="1" w:styleId="MenuOptions">
    <w:name w:val="Menu Options"/>
    <w:basedOn w:val="DefaultParagraphFont"/>
    <w:rsid w:val="003F7BB2"/>
    <w:rPr>
      <w:rFonts w:ascii="Arial Narrow" w:hAnsi="Arial Narrow"/>
      <w:smallCaps/>
    </w:rPr>
  </w:style>
  <w:style w:type="character" w:customStyle="1" w:styleId="Buttons">
    <w:name w:val="Buttons"/>
    <w:basedOn w:val="DefaultParagraphFont"/>
    <w:rsid w:val="003F7BB2"/>
    <w:rPr>
      <w:b/>
    </w:rPr>
  </w:style>
  <w:style w:type="character" w:customStyle="1" w:styleId="Underlined">
    <w:name w:val="Underlined"/>
    <w:basedOn w:val="DefaultParagraphFont"/>
    <w:rsid w:val="003F7BB2"/>
    <w:rPr>
      <w:u w:val="single"/>
    </w:rPr>
  </w:style>
  <w:style w:type="paragraph" w:customStyle="1" w:styleId="TableBodyTextRight">
    <w:name w:val="Table Body Text Right"/>
    <w:basedOn w:val="TableBodyText"/>
    <w:rsid w:val="003F7BB2"/>
    <w:pPr>
      <w:widowControl w:val="0"/>
      <w:autoSpaceDE w:val="0"/>
      <w:autoSpaceDN w:val="0"/>
      <w:adjustRightInd w:val="0"/>
      <w:jc w:val="right"/>
    </w:pPr>
    <w:rPr>
      <w:rFonts w:cs="Arial"/>
      <w:szCs w:val="18"/>
    </w:rPr>
  </w:style>
  <w:style w:type="paragraph" w:customStyle="1" w:styleId="CopyrightText">
    <w:name w:val="Copyright Text"/>
    <w:basedOn w:val="BodyText"/>
    <w:rsid w:val="003F7BB2"/>
    <w:rPr>
      <w:sz w:val="18"/>
    </w:rPr>
  </w:style>
  <w:style w:type="paragraph" w:customStyle="1" w:styleId="BodySmallRight">
    <w:name w:val="Body Small Right"/>
    <w:basedOn w:val="BodyTextRight"/>
    <w:rsid w:val="003F7BB2"/>
    <w:rPr>
      <w:sz w:val="18"/>
      <w:szCs w:val="18"/>
    </w:rPr>
  </w:style>
  <w:style w:type="paragraph" w:customStyle="1" w:styleId="MarginEdition">
    <w:name w:val="Margin Edition"/>
    <w:basedOn w:val="MarginNote"/>
    <w:rsid w:val="003F7BB2"/>
    <w:pPr>
      <w:spacing w:before="0" w:after="0"/>
    </w:pPr>
    <w:rPr>
      <w:rFonts w:ascii="Times New Roman" w:hAnsi="Times New Roman"/>
      <w:color w:val="999999"/>
    </w:rPr>
  </w:style>
  <w:style w:type="paragraph" w:customStyle="1" w:styleId="Spacer">
    <w:name w:val="Spacer"/>
    <w:basedOn w:val="Normal"/>
    <w:rsid w:val="003F7BB2"/>
    <w:rPr>
      <w:sz w:val="2"/>
      <w:szCs w:val="2"/>
    </w:rPr>
  </w:style>
  <w:style w:type="character" w:customStyle="1" w:styleId="Small">
    <w:name w:val="Small"/>
    <w:basedOn w:val="DefaultParagraphFont"/>
    <w:rsid w:val="003F7BB2"/>
    <w:rPr>
      <w:sz w:val="16"/>
    </w:rPr>
  </w:style>
  <w:style w:type="paragraph" w:customStyle="1" w:styleId="WideTable">
    <w:name w:val="Wide Table"/>
    <w:basedOn w:val="Normal"/>
    <w:rsid w:val="003F7BB2"/>
    <w:pPr>
      <w:ind w:left="-1418"/>
    </w:pPr>
    <w:rPr>
      <w:sz w:val="2"/>
      <w:szCs w:val="2"/>
    </w:rPr>
  </w:style>
  <w:style w:type="character" w:styleId="PageNumber">
    <w:name w:val="page number"/>
    <w:basedOn w:val="DefaultParagraphFont"/>
    <w:rsid w:val="003F7BB2"/>
  </w:style>
  <w:style w:type="paragraph" w:styleId="Quote">
    <w:name w:val="Quote"/>
    <w:basedOn w:val="Heading1"/>
    <w:link w:val="QuoteChar"/>
    <w:qFormat/>
    <w:rsid w:val="003F7BB2"/>
    <w:rPr>
      <w:b w:val="0"/>
      <w:sz w:val="72"/>
      <w:szCs w:val="72"/>
      <w:lang w:val="en-NZ"/>
    </w:rPr>
  </w:style>
  <w:style w:type="character" w:customStyle="1" w:styleId="QuoteChar">
    <w:name w:val="Quote Char"/>
    <w:basedOn w:val="DefaultParagraphFont"/>
    <w:link w:val="Quote"/>
    <w:rsid w:val="003F7B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BB2"/>
    <w:pPr>
      <w:pageBreakBefore/>
    </w:pPr>
  </w:style>
  <w:style w:type="paragraph" w:customStyle="1" w:styleId="Border">
    <w:name w:val="Border"/>
    <w:basedOn w:val="Normal"/>
    <w:qFormat/>
    <w:rsid w:val="003F7B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BB2"/>
    <w:rPr>
      <w:b/>
      <w:bCs/>
      <w:i/>
      <w:iCs/>
      <w:color w:val="auto"/>
    </w:rPr>
  </w:style>
  <w:style w:type="paragraph" w:styleId="IntenseQuote">
    <w:name w:val="Intense Quote"/>
    <w:basedOn w:val="Normal"/>
    <w:next w:val="Normal"/>
    <w:link w:val="IntenseQuoteChar"/>
    <w:uiPriority w:val="30"/>
    <w:qFormat/>
    <w:rsid w:val="003F7B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B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7BB2"/>
    <w:rPr>
      <w:smallCaps/>
      <w:color w:val="auto"/>
      <w:u w:val="single"/>
    </w:rPr>
  </w:style>
  <w:style w:type="character" w:styleId="IntenseReference">
    <w:name w:val="Intense Reference"/>
    <w:basedOn w:val="DefaultParagraphFont"/>
    <w:uiPriority w:val="32"/>
    <w:qFormat/>
    <w:rsid w:val="003F7BB2"/>
    <w:rPr>
      <w:b/>
      <w:bCs/>
      <w:smallCaps/>
      <w:color w:val="auto"/>
      <w:spacing w:val="5"/>
      <w:u w:val="single"/>
    </w:rPr>
  </w:style>
  <w:style w:type="paragraph" w:customStyle="1" w:styleId="2ColumnHeading">
    <w:name w:val="2Column Heading"/>
    <w:basedOn w:val="BodyText"/>
    <w:qFormat/>
    <w:rsid w:val="003F7BB2"/>
    <w:pPr>
      <w:spacing w:after="60"/>
      <w:ind w:left="-2268"/>
    </w:pPr>
    <w:rPr>
      <w:b/>
    </w:rPr>
  </w:style>
  <w:style w:type="paragraph" w:customStyle="1" w:styleId="Heading1TOC">
    <w:name w:val="Heading1 TOC"/>
    <w:basedOn w:val="Normal"/>
    <w:qFormat/>
    <w:rsid w:val="003F7BB2"/>
    <w:pPr>
      <w:spacing w:before="240" w:after="120"/>
    </w:pPr>
    <w:rPr>
      <w:rFonts w:ascii="Times New Roman" w:hAnsi="Times New Roman"/>
      <w:b/>
      <w:sz w:val="32"/>
    </w:rPr>
  </w:style>
  <w:style w:type="paragraph" w:customStyle="1" w:styleId="Heading2TOC">
    <w:name w:val="Heading2 TOC"/>
    <w:basedOn w:val="Normal"/>
    <w:qFormat/>
    <w:rsid w:val="003F7BB2"/>
    <w:pPr>
      <w:spacing w:before="240" w:after="60"/>
    </w:pPr>
    <w:rPr>
      <w:rFonts w:ascii="Times New Roman" w:hAnsi="Times New Roman"/>
      <w:b/>
      <w:sz w:val="28"/>
    </w:rPr>
  </w:style>
  <w:style w:type="character" w:customStyle="1" w:styleId="Underline">
    <w:name w:val="Underline"/>
    <w:basedOn w:val="DefaultParagraphFont"/>
    <w:qFormat/>
    <w:rsid w:val="003F7BB2"/>
    <w:rPr>
      <w:u w:val="single"/>
    </w:rPr>
  </w:style>
  <w:style w:type="character" w:customStyle="1" w:styleId="BoldandItalics">
    <w:name w:val="Bold and Italics"/>
    <w:qFormat/>
    <w:rsid w:val="003F7BB2"/>
    <w:rPr>
      <w:b/>
      <w:i/>
      <w:u w:val="none"/>
    </w:rPr>
  </w:style>
  <w:style w:type="paragraph" w:styleId="BalloonText">
    <w:name w:val="Balloon Text"/>
    <w:basedOn w:val="Normal"/>
    <w:link w:val="BalloonTextChar"/>
    <w:rsid w:val="003F7BB2"/>
    <w:rPr>
      <w:rFonts w:ascii="Tahoma" w:hAnsi="Tahoma" w:cs="Tahoma"/>
      <w:sz w:val="16"/>
      <w:szCs w:val="16"/>
    </w:rPr>
  </w:style>
  <w:style w:type="character" w:customStyle="1" w:styleId="BalloonTextChar">
    <w:name w:val="Balloon Text Char"/>
    <w:basedOn w:val="DefaultParagraphFont"/>
    <w:link w:val="BalloonText"/>
    <w:rsid w:val="003F7B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7B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7B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867</Words>
  <Characters>5223</Characters>
  <Application>Microsoft Office Word</Application>
  <DocSecurity>0</DocSecurity>
  <Lines>196</Lines>
  <Paragraphs>88</Paragraphs>
  <ScaleCrop>false</ScaleCrop>
  <Company>Author-it Software Corporation Ltd.</Company>
  <LinksUpToDate>false</LinksUpToDate>
  <CharactersWithSpaces>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MEM18013B Perform gland packing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2012-05-27T01:51:00Z</dcterms:created>
  <dcterms:modified xsi:type="dcterms:W3CDTF">2012-05-27T01:51:00Z</dcterms:modified>
</cp:coreProperties>
</file>