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CA3" w:rsidP="00486CA3">
      <w:pPr>
        <w:pStyle w:val="Title"/>
      </w:pPr>
      <w:r>
        <w:fldChar w:fldCharType="begin"/>
      </w:r>
      <w:r>
        <w:instrText xml:space="preserve"> TITLE   \* MERGEFORMAT </w:instrText>
      </w:r>
      <w:r>
        <w:fldChar w:fldCharType="separate"/>
      </w:r>
      <w:r>
        <w:t>MEM18010C Perform equipment condition monitoring and recording</w:t>
      </w:r>
      <w:r>
        <w:fldChar w:fldCharType="end"/>
      </w:r>
    </w:p>
    <w:p w:rsidR="00486CA3" w:rsidP="00486CA3">
      <w:pPr>
        <w:pStyle w:val="Version"/>
        <w:sectPr w:rsidSect="00A611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11B7" w:rsidP="00A611B7">
      <w:pPr>
        <w:pStyle w:val="SuperHeading"/>
      </w:pPr>
      <w:r w:rsidRPr="00A611B7">
        <w:t>MEM18010C Perform equipment condition monitoring and recording</w:t>
      </w:r>
    </w:p>
    <w:p w:rsidR="00000000" w:rsidRPr="00A611B7" w:rsidP="00A611B7">
      <w:pPr>
        <w:pStyle w:val="Heading1"/>
      </w:pPr>
      <w:bookmarkStart w:id="1" w:name="O_461268"/>
      <w:bookmarkEnd w:id="1"/>
      <w:r w:rsidRPr="00A611B7">
        <w:t>Modification History</w:t>
      </w:r>
    </w:p>
    <w:p w:rsidR="00000000" w:rsidRPr="00A611B7" w:rsidP="00A611B7">
      <w:pPr>
        <w:pStyle w:val="BodyText"/>
      </w:pPr>
      <w:r w:rsidRPr="00A611B7">
        <w:t>Single band identifier removed to clarify dual status</w:t>
      </w:r>
    </w:p>
    <w:p w:rsidR="00000000" w:rsidRPr="00A611B7" w:rsidP="00A611B7">
      <w:pPr>
        <w:pStyle w:val="AllowPageBreak"/>
      </w:pPr>
    </w:p>
    <w:p w:rsidR="00000000" w:rsidRPr="00A611B7" w:rsidP="00A611B7">
      <w:pPr>
        <w:pStyle w:val="Heading1"/>
      </w:pPr>
      <w:bookmarkStart w:id="2" w:name="O_461264"/>
      <w:bookmarkEnd w:id="2"/>
      <w:r w:rsidRPr="00A611B7">
        <w:t>Unit Descriptor</w:t>
      </w:r>
    </w:p>
    <w:tbl>
      <w:tblPr>
        <w:tblW w:w="0" w:type="auto"/>
        <w:tblLayout w:type="fixed"/>
        <w:tblCellMar>
          <w:left w:w="62" w:type="dxa"/>
          <w:right w:w="62" w:type="dxa"/>
        </w:tblCellMar>
        <w:tblLook w:val="0000"/>
      </w:tblPr>
      <w:tblGrid>
        <w:gridCol w:w="2672"/>
        <w:gridCol w:w="5850"/>
      </w:tblGrid>
      <w:tr w:rsidTr="00486CA3">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t>This unit covers undertaking condition monitoring</w:t>
            </w:r>
            <w:r w:rsidRPr="00A611B7">
              <w:t>.</w:t>
            </w:r>
          </w:p>
        </w:tc>
      </w:tr>
    </w:tbl>
    <w:p w:rsidR="00486CA3" w:rsidP="00A611B7">
      <w:pPr>
        <w:pStyle w:val="BodyText"/>
      </w:pPr>
    </w:p>
    <w:p w:rsidR="00486CA3" w:rsidP="00A611B7">
      <w:pPr>
        <w:pStyle w:val="BodyText"/>
      </w:pPr>
    </w:p>
    <w:p w:rsidR="00000000" w:rsidRPr="00A611B7" w:rsidP="00A611B7">
      <w:pPr>
        <w:pStyle w:val="Heading1"/>
      </w:pPr>
      <w:bookmarkStart w:id="3" w:name="O_461277"/>
      <w:bookmarkEnd w:id="3"/>
      <w:r w:rsidRPr="00A611B7">
        <w:t>Application of the Unit</w:t>
      </w:r>
    </w:p>
    <w:tbl>
      <w:tblPr>
        <w:tblW w:w="0" w:type="auto"/>
        <w:tblLayout w:type="fixed"/>
        <w:tblCellMar>
          <w:left w:w="62" w:type="dxa"/>
          <w:right w:w="62" w:type="dxa"/>
        </w:tblCellMar>
        <w:tblLook w:val="0000"/>
      </w:tblPr>
      <w:tblGrid>
        <w:gridCol w:w="2745"/>
        <w:gridCol w:w="5777"/>
      </w:tblGrid>
      <w:tr w:rsidTr="00486CA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t xml:space="preserve">This unit applies where specialist monitoring activities are undertaken as part of a preventive maintenance or total productive maintenance </w:t>
            </w:r>
            <w:r w:rsidRPr="00A611B7">
              <w:t>plan or program. Work is undertaken autonomously or as part of a team environment. Monitoring is undertaken in workshop, laboratory or in situ environment; readings are undertaken to the accuracy of monitoring equipment limitations or to site specification</w:t>
            </w:r>
            <w:r w:rsidRPr="00A611B7">
              <w:t>s where applicable. Results are recorded/plotted to predetermined procedure and technique. All work and work procedures are undertaken to standard operating procedures and/or equipment manufacturers' recommendations. All work and work practices are underta</w:t>
            </w:r>
            <w:r w:rsidRPr="00A611B7">
              <w:t>ken to regulatory or legislative requirements.</w:t>
            </w:r>
          </w:p>
          <w:p w:rsidR="00000000" w:rsidRPr="00A611B7" w:rsidP="00A611B7">
            <w:pPr>
              <w:pStyle w:val="BodyText"/>
            </w:pPr>
            <w:r w:rsidRPr="00A611B7">
              <w:t>Where only routine maintenance checking and diagnostic skills are applied, other appropriate units should be accessed.</w:t>
            </w:r>
          </w:p>
          <w:p w:rsidR="00000000" w:rsidRPr="00A611B7" w:rsidP="00A611B7">
            <w:pPr>
              <w:pStyle w:val="BodyText"/>
            </w:pPr>
            <w:r w:rsidRPr="00A611B7">
              <w:rPr>
                <w:rStyle w:val="SpecialBold"/>
              </w:rPr>
              <w:t>Band:</w:t>
            </w:r>
          </w:p>
          <w:p w:rsidR="00000000" w:rsidRPr="00A611B7" w:rsidP="00A611B7">
            <w:pPr>
              <w:pStyle w:val="BodyText"/>
            </w:pPr>
            <w:r w:rsidRPr="00A611B7">
              <w:t>This unit has dual status and is to be regarded as both a Specialisation band A unit</w:t>
            </w:r>
            <w:r w:rsidRPr="00A611B7">
              <w:t xml:space="preserve"> and Specialisation band B unit for progression to C5 (AQF level V).</w:t>
            </w:r>
          </w:p>
          <w:p w:rsidR="00000000" w:rsidRPr="00A611B7" w:rsidP="00A611B7">
            <w:pPr>
              <w:pStyle w:val="BodyText"/>
            </w:pPr>
          </w:p>
          <w:p w:rsidR="00000000" w:rsidRPr="00A611B7" w:rsidP="00A611B7">
            <w:pPr>
              <w:pStyle w:val="BodyText"/>
            </w:pPr>
            <w:r w:rsidRPr="00A611B7">
              <w:rPr>
                <w:rStyle w:val="SpecialBold"/>
              </w:rPr>
              <w:t>Unit Weight</w:t>
            </w:r>
            <w:r w:rsidRPr="00A611B7">
              <w:t>:</w:t>
            </w:r>
            <w:r w:rsidRPr="00A611B7">
              <w:tab/>
            </w:r>
            <w:r w:rsidRPr="00A611B7">
              <w:rPr>
                <w:rStyle w:val="SpecialBold"/>
              </w:rPr>
              <w:t>4</w:t>
            </w:r>
          </w:p>
        </w:tc>
      </w:tr>
    </w:tbl>
    <w:p w:rsidR="00486CA3" w:rsidP="00A611B7">
      <w:pPr>
        <w:pStyle w:val="BodyText"/>
      </w:pPr>
    </w:p>
    <w:p w:rsidR="00486CA3" w:rsidP="00A611B7">
      <w:pPr>
        <w:pStyle w:val="BodyText"/>
      </w:pPr>
    </w:p>
    <w:p w:rsidR="00000000" w:rsidRPr="00A611B7" w:rsidP="00A611B7">
      <w:pPr>
        <w:pStyle w:val="Heading1"/>
      </w:pPr>
      <w:bookmarkStart w:id="4" w:name="O_461269"/>
      <w:bookmarkEnd w:id="4"/>
      <w:r w:rsidRPr="00A611B7">
        <w:t>Licensing/Regulatory Information</w:t>
      </w:r>
    </w:p>
    <w:p w:rsidR="00000000" w:rsidRPr="00A611B7" w:rsidP="00A611B7">
      <w:pPr>
        <w:pStyle w:val="BodyText"/>
      </w:pPr>
      <w:r w:rsidRPr="00A611B7">
        <w:t>Not Applicable</w:t>
      </w:r>
    </w:p>
    <w:p w:rsidR="00000000" w:rsidRPr="00A611B7" w:rsidP="00A611B7">
      <w:pPr>
        <w:pStyle w:val="AllowPageBreak"/>
      </w:pPr>
    </w:p>
    <w:p w:rsidR="00000000" w:rsidRPr="00A611B7" w:rsidP="00A611B7">
      <w:pPr>
        <w:pStyle w:val="Heading1"/>
      </w:pPr>
      <w:bookmarkStart w:id="5" w:name="O_461267"/>
      <w:bookmarkEnd w:id="5"/>
      <w:r w:rsidRPr="00A611B7">
        <w:t>Pre-Requisites</w:t>
      </w:r>
    </w:p>
    <w:tbl>
      <w:tblPr>
        <w:tblW w:w="0" w:type="auto"/>
        <w:tblLayout w:type="fixed"/>
        <w:tblCellMar>
          <w:left w:w="62" w:type="dxa"/>
          <w:right w:w="62" w:type="dxa"/>
        </w:tblCellMar>
        <w:tblLook w:val="0000"/>
      </w:tblPr>
      <w:tblGrid>
        <w:gridCol w:w="2706"/>
        <w:gridCol w:w="2207"/>
        <w:gridCol w:w="3609"/>
      </w:tblGrid>
      <w:tr w:rsidTr="00486CA3">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p>
        </w:tc>
      </w:tr>
      <w:tr w:rsidTr="00486CA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Path 1</w:t>
            </w:r>
            <w:r w:rsidRPr="00A611B7">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Interpret technical drawing</w:t>
            </w:r>
          </w:p>
        </w:tc>
      </w:tr>
      <w:tr w:rsidTr="00486CA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Perform engineering measurements</w:t>
            </w:r>
          </w:p>
        </w:tc>
      </w:tr>
      <w:tr w:rsidTr="00486CA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Use hand tools</w:t>
            </w:r>
          </w:p>
        </w:tc>
      </w:tr>
      <w:tr w:rsidTr="00486CA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Use power tools/hand held operations</w:t>
            </w:r>
          </w:p>
        </w:tc>
      </w:tr>
      <w:tr w:rsidTr="00486CA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t>Dismantle, replace and assemble engineering components</w:t>
            </w:r>
          </w:p>
        </w:tc>
      </w:tr>
    </w:tbl>
    <w:p w:rsidR="00486CA3" w:rsidP="00A611B7">
      <w:pPr>
        <w:pStyle w:val="BodyText"/>
      </w:pPr>
    </w:p>
    <w:p w:rsidR="00486CA3" w:rsidP="00A611B7">
      <w:pPr>
        <w:pStyle w:val="BodyText"/>
      </w:pPr>
    </w:p>
    <w:p w:rsidR="00000000" w:rsidRPr="00A611B7" w:rsidP="00A611B7">
      <w:pPr>
        <w:pStyle w:val="Heading1"/>
      </w:pPr>
      <w:bookmarkStart w:id="6" w:name="O_461272"/>
      <w:bookmarkEnd w:id="6"/>
      <w:r w:rsidRPr="00A611B7">
        <w:t>Employability Skills Information</w:t>
      </w:r>
    </w:p>
    <w:tbl>
      <w:tblPr>
        <w:tblW w:w="0" w:type="auto"/>
        <w:tblLayout w:type="fixed"/>
        <w:tblCellMar>
          <w:left w:w="62" w:type="dxa"/>
          <w:right w:w="62" w:type="dxa"/>
        </w:tblCellMar>
        <w:tblLook w:val="0000"/>
      </w:tblPr>
      <w:tblGrid>
        <w:gridCol w:w="2802"/>
        <w:gridCol w:w="5720"/>
      </w:tblGrid>
      <w:tr w:rsidTr="00486C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t>This unit contains employability skills.</w:t>
            </w:r>
          </w:p>
        </w:tc>
      </w:tr>
    </w:tbl>
    <w:p w:rsidR="00486CA3" w:rsidP="00A611B7">
      <w:pPr>
        <w:pStyle w:val="BodyText"/>
      </w:pPr>
    </w:p>
    <w:p w:rsidR="00486CA3" w:rsidP="00A611B7">
      <w:pPr>
        <w:pStyle w:val="BodyText"/>
      </w:pPr>
    </w:p>
    <w:p w:rsidR="00000000" w:rsidRPr="00A611B7" w:rsidP="00A611B7">
      <w:pPr>
        <w:pStyle w:val="Heading1"/>
      </w:pPr>
      <w:bookmarkStart w:id="7" w:name="O_461273"/>
      <w:bookmarkEnd w:id="7"/>
      <w:r w:rsidRPr="00A611B7">
        <w:t>Elements and Performance Criteria Pre-Content</w:t>
      </w:r>
    </w:p>
    <w:tbl>
      <w:tblPr>
        <w:tblW w:w="0" w:type="auto"/>
        <w:tblLayout w:type="fixed"/>
        <w:tblCellMar>
          <w:left w:w="62" w:type="dxa"/>
          <w:right w:w="62" w:type="dxa"/>
        </w:tblCellMar>
        <w:tblLook w:val="0000"/>
      </w:tblPr>
      <w:tblGrid>
        <w:gridCol w:w="2575"/>
        <w:gridCol w:w="5947"/>
      </w:tblGrid>
      <w:tr w:rsidTr="00486CA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t>Performance criteria describe the performance needed to demonstrate achievement of the element. Where bold italicised text is used, further information is detailed in the required skills and knowledge section and the range statement. Assessment of performa</w:t>
            </w:r>
            <w:r w:rsidRPr="00A611B7">
              <w:t>nce is to be consistent with the evidence guide.</w:t>
            </w:r>
          </w:p>
        </w:tc>
      </w:tr>
    </w:tbl>
    <w:p w:rsidR="00000000" w:rsidRPr="00A611B7" w:rsidP="00A611B7">
      <w:pPr>
        <w:pStyle w:val="BodyText"/>
      </w:pPr>
    </w:p>
    <w:p w:rsidR="00000000" w:rsidRPr="00A611B7" w:rsidP="00A611B7">
      <w:pPr>
        <w:pStyle w:val="AllowPageBreak"/>
      </w:pPr>
    </w:p>
    <w:p w:rsidR="00000000" w:rsidRPr="00A611B7" w:rsidP="00A611B7">
      <w:pPr>
        <w:pStyle w:val="Heading1"/>
      </w:pPr>
      <w:bookmarkStart w:id="8" w:name="O_461274"/>
      <w:bookmarkEnd w:id="8"/>
      <w:r w:rsidRPr="00A611B7">
        <w:t>Elements and Performance Criteria</w:t>
      </w:r>
    </w:p>
    <w:tbl>
      <w:tblPr>
        <w:tblW w:w="0" w:type="auto"/>
        <w:tblLayout w:type="fixed"/>
        <w:tblCellMar>
          <w:left w:w="62" w:type="dxa"/>
          <w:right w:w="62" w:type="dxa"/>
        </w:tblCellMar>
        <w:tblLook w:val="0000"/>
      </w:tblPr>
      <w:tblGrid>
        <w:gridCol w:w="2575"/>
        <w:gridCol w:w="5947"/>
      </w:tblGrid>
      <w:tr w:rsidTr="00486CA3">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PERFORMANCE CRITERIA</w:t>
            </w:r>
          </w:p>
        </w:tc>
      </w:tr>
      <w:tr w:rsidTr="00486CA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List"/>
              <w:rPr>
                <w:lang w:val="en-NZ"/>
              </w:rPr>
            </w:pPr>
            <w:r w:rsidRPr="00A611B7">
              <w:t>1.</w:t>
            </w:r>
            <w:r w:rsidRPr="00A611B7">
              <w:tab/>
              <w:t>Undertake condition monitoring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List2"/>
            </w:pPr>
            <w:r w:rsidRPr="00A611B7">
              <w:t>1.1.</w:t>
            </w:r>
            <w:r w:rsidRPr="00A611B7">
              <w:tab/>
              <w:t>Principles and methods of equipment condition monitoring are understood and applied</w:t>
            </w:r>
          </w:p>
          <w:p w:rsidR="00000000" w:rsidRPr="00A611B7" w:rsidP="00A611B7">
            <w:pPr>
              <w:pStyle w:val="List2"/>
            </w:pPr>
            <w:r w:rsidRPr="00A611B7">
              <w:t>1.2.</w:t>
            </w:r>
            <w:r w:rsidRPr="00A611B7">
              <w:tab/>
              <w:t>Appropriate condition monitoring technique is selected to achieve required outcomes.</w:t>
            </w:r>
          </w:p>
          <w:p w:rsidR="00000000" w:rsidRPr="00A611B7" w:rsidP="00A611B7">
            <w:pPr>
              <w:pStyle w:val="List2"/>
            </w:pPr>
            <w:r w:rsidRPr="00A611B7">
              <w:t>1.3.</w:t>
            </w:r>
            <w:r w:rsidRPr="00A611B7">
              <w:tab/>
              <w:t>Checks are undertaken correctly, safely and to standard operating procedures.</w:t>
            </w:r>
          </w:p>
          <w:p w:rsidR="00000000" w:rsidRPr="00A611B7" w:rsidP="00A611B7">
            <w:pPr>
              <w:pStyle w:val="List2"/>
            </w:pPr>
            <w:r w:rsidRPr="00A611B7">
              <w:t>1.4.</w:t>
            </w:r>
            <w:r w:rsidRPr="00A611B7">
              <w:tab/>
              <w:t>Results are plotted and deviations from specification are reported to appropri</w:t>
            </w:r>
            <w:r w:rsidRPr="00A611B7">
              <w:t>ate authority and recorded.</w:t>
            </w:r>
          </w:p>
        </w:tc>
      </w:tr>
    </w:tbl>
    <w:p w:rsidR="00486CA3" w:rsidP="00A611B7">
      <w:pPr>
        <w:pStyle w:val="BodyText"/>
      </w:pPr>
    </w:p>
    <w:p w:rsidR="00486CA3" w:rsidP="00A611B7">
      <w:pPr>
        <w:pStyle w:val="BodyText"/>
      </w:pPr>
    </w:p>
    <w:p w:rsidR="00000000" w:rsidRPr="00A611B7" w:rsidP="00A611B7">
      <w:pPr>
        <w:pStyle w:val="Heading1"/>
      </w:pPr>
      <w:bookmarkStart w:id="9" w:name="O_461265"/>
      <w:bookmarkEnd w:id="9"/>
      <w:r w:rsidRPr="00A611B7">
        <w:t>Required Skills and Knowledge</w:t>
      </w:r>
    </w:p>
    <w:tbl>
      <w:tblPr>
        <w:tblW w:w="0" w:type="auto"/>
        <w:tblLayout w:type="fixed"/>
        <w:tblCellMar>
          <w:left w:w="62" w:type="dxa"/>
          <w:right w:w="62" w:type="dxa"/>
        </w:tblCellMar>
        <w:tblLook w:val="0000"/>
      </w:tblPr>
      <w:tblGrid>
        <w:gridCol w:w="8522"/>
      </w:tblGrid>
      <w:tr w:rsidTr="00486C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REQUIRED SKILLS AND KNOWLEDGE</w:t>
            </w:r>
          </w:p>
        </w:tc>
      </w:tr>
      <w:tr w:rsidTr="00486C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This section describes the skills and knowledge required for this unit.</w:t>
            </w:r>
          </w:p>
        </w:tc>
      </w:tr>
      <w:tr w:rsidTr="00486C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Required skills</w:t>
            </w:r>
          </w:p>
        </w:tc>
      </w:tr>
      <w:tr w:rsidTr="00486C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t>Look for evidence that confirms skills in:</w:t>
            </w:r>
          </w:p>
          <w:p w:rsidR="00000000" w:rsidRPr="00A611B7" w:rsidP="00A611B7">
            <w:pPr>
              <w:pStyle w:val="ListBullet"/>
            </w:pPr>
            <w:r w:rsidRPr="00A611B7">
              <w:t>reading, interpreting and following information on job instructions, specifications, standard operating procedures, charts, lists, drawings and other applicable reference documents</w:t>
            </w:r>
          </w:p>
          <w:p w:rsidR="00000000" w:rsidRPr="00A611B7" w:rsidP="00A611B7">
            <w:pPr>
              <w:pStyle w:val="ListBullet"/>
            </w:pPr>
            <w:r w:rsidRPr="00A611B7">
              <w:t>planning and sequencing operations</w:t>
            </w:r>
          </w:p>
          <w:p w:rsidR="00000000" w:rsidRPr="00A611B7" w:rsidP="00A611B7">
            <w:pPr>
              <w:pStyle w:val="ListBullet"/>
            </w:pPr>
            <w:r w:rsidRPr="00A611B7">
              <w:t>checking and clarifying task-related i</w:t>
            </w:r>
            <w:r w:rsidRPr="00A611B7">
              <w:t>nformation</w:t>
            </w:r>
          </w:p>
          <w:p w:rsidR="00000000" w:rsidRPr="00A611B7" w:rsidP="00A611B7">
            <w:pPr>
              <w:pStyle w:val="ListBullet"/>
            </w:pPr>
            <w:r w:rsidRPr="00A611B7">
              <w:t xml:space="preserve">applying correct principles for monitoring </w:t>
            </w:r>
          </w:p>
          <w:p w:rsidR="00000000" w:rsidRPr="00A611B7" w:rsidP="00A611B7">
            <w:pPr>
              <w:pStyle w:val="ListBullet"/>
            </w:pPr>
            <w:r w:rsidRPr="00A611B7">
              <w:t>selecting appropriate technique for the situation</w:t>
            </w:r>
          </w:p>
          <w:p w:rsidR="00000000" w:rsidRPr="00A611B7" w:rsidP="00A611B7">
            <w:pPr>
              <w:pStyle w:val="ListBullet"/>
            </w:pPr>
            <w:r w:rsidRPr="00A611B7">
              <w:t>following standard operating procedures</w:t>
            </w:r>
          </w:p>
          <w:p w:rsidR="00000000" w:rsidP="00A611B7">
            <w:pPr>
              <w:pStyle w:val="ListBullet"/>
              <w:rPr>
                <w:lang w:val="en-NZ"/>
              </w:rPr>
            </w:pPr>
            <w:r w:rsidRPr="00A611B7">
              <w:t>recording results and preparing and submitting deviation reports</w:t>
            </w:r>
          </w:p>
        </w:tc>
      </w:tr>
      <w:tr w:rsidTr="00486C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Required knowledge</w:t>
            </w:r>
          </w:p>
        </w:tc>
      </w:tr>
      <w:tr w:rsidTr="00486C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t>Look for evidence that confirms knowledge of:</w:t>
            </w:r>
          </w:p>
          <w:p w:rsidR="00000000" w:rsidRPr="00A611B7" w:rsidP="00A611B7">
            <w:pPr>
              <w:pStyle w:val="ListBullet"/>
            </w:pPr>
            <w:r w:rsidRPr="00A611B7">
              <w:t>the application of principles and methods for a variety of situations</w:t>
            </w:r>
          </w:p>
          <w:p w:rsidR="00000000" w:rsidRPr="00A611B7" w:rsidP="00A611B7">
            <w:pPr>
              <w:pStyle w:val="ListBullet"/>
            </w:pPr>
            <w:r w:rsidRPr="00A611B7">
              <w:t>appropriate records for a variety of situations</w:t>
            </w:r>
          </w:p>
          <w:p w:rsidR="00000000" w:rsidRPr="00A611B7" w:rsidP="00A611B7">
            <w:pPr>
              <w:pStyle w:val="ListBullet"/>
            </w:pPr>
            <w:r w:rsidRPr="00A611B7">
              <w:t>hazards and control measures associated with equipment monitoring, including housekeeping</w:t>
            </w:r>
          </w:p>
          <w:p w:rsidR="00000000" w:rsidRPr="00A611B7" w:rsidP="00A611B7">
            <w:pPr>
              <w:pStyle w:val="ListBullet"/>
            </w:pPr>
            <w:r w:rsidRPr="00A611B7">
              <w:t>u</w:t>
            </w:r>
            <w:r w:rsidRPr="00A611B7">
              <w:t>se and application of personal protective equipment</w:t>
            </w:r>
          </w:p>
          <w:p w:rsidR="00000000" w:rsidRPr="00A611B7" w:rsidP="00A611B7">
            <w:pPr>
              <w:pStyle w:val="ListBullet"/>
            </w:pPr>
            <w:r w:rsidRPr="00A611B7">
              <w:t>safe work practices and procedures</w:t>
            </w:r>
          </w:p>
        </w:tc>
      </w:tr>
    </w:tbl>
    <w:p w:rsidR="00486CA3" w:rsidP="00A611B7">
      <w:pPr>
        <w:pStyle w:val="BodyText"/>
      </w:pPr>
    </w:p>
    <w:p w:rsidR="00486CA3" w:rsidP="00A611B7">
      <w:pPr>
        <w:pStyle w:val="BodyText"/>
      </w:pPr>
    </w:p>
    <w:p w:rsidR="00000000" w:rsidRPr="00A611B7" w:rsidP="00A611B7">
      <w:pPr>
        <w:pStyle w:val="AllowPageBreak"/>
      </w:pPr>
    </w:p>
    <w:p w:rsidR="00000000" w:rsidRPr="00A611B7" w:rsidP="00A611B7">
      <w:pPr>
        <w:pStyle w:val="Heading1"/>
      </w:pPr>
      <w:bookmarkStart w:id="10" w:name="O_461271"/>
      <w:bookmarkEnd w:id="10"/>
      <w:r w:rsidRPr="00A611B7">
        <w:t>Evidence Guide</w:t>
      </w:r>
    </w:p>
    <w:tbl>
      <w:tblPr>
        <w:tblW w:w="9570" w:type="dxa"/>
        <w:tblLayout w:type="fixed"/>
        <w:tblCellMar>
          <w:left w:w="62" w:type="dxa"/>
          <w:right w:w="62" w:type="dxa"/>
        </w:tblCellMar>
        <w:tblLook w:val="0000"/>
      </w:tblPr>
      <w:tblGrid>
        <w:gridCol w:w="3908"/>
        <w:gridCol w:w="5662"/>
      </w:tblGrid>
      <w:tr w:rsidTr="00486C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EVIDENCE GUIDE</w:t>
            </w:r>
          </w:p>
        </w:tc>
      </w:tr>
      <w:tr w:rsidTr="00486C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The evidence guide provides advice on assessment and must be read in conjunction with the performance criteria, required skills and knowledge, range statement and the Assessment Guidelines for the Training Package.</w:t>
            </w:r>
          </w:p>
        </w:tc>
      </w:tr>
      <w:tr w:rsidTr="00486C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A person who dem</w:t>
            </w:r>
            <w:r w:rsidRPr="00A611B7">
              <w:t>onstrates competency in this unit must be able to perform equipment condition monitoring and recording. Competency in this unit cannot be claimed until all prerequisites have been satisfied.</w:t>
            </w:r>
          </w:p>
        </w:tc>
      </w:tr>
      <w:tr w:rsidTr="00486C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Critical aspects for assessment and evidence required to demonst</w:t>
            </w:r>
            <w:r w:rsidRPr="00A611B7">
              <w:rPr>
                <w:rStyle w:val="SpecialBold"/>
              </w:rPr>
              <w: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Assessors must be satisfied that the candidate can competently and consistently perform all elements of the unit as specified by the criteria, including required knowledge, and be capable of applying the competency in new and d</w:t>
            </w:r>
            <w:r w:rsidRPr="00A611B7">
              <w:t>ifferent situations and contexts.</w:t>
            </w:r>
          </w:p>
        </w:tc>
      </w:tr>
      <w:tr w:rsidTr="00486C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t>This unit may be assessed on the job, off the job or a combination of both. Where assessment occurs off the job, i.e. the candidate is not in productive work, an appropriat</w:t>
            </w:r>
            <w:r w:rsidRPr="00A611B7">
              <w:t>e simulation must be used where the range of conditions reflects realistic workplace situations. The competencies covered by this unit would be demonstrated by an individual working alone or as part of a team. The assessment environment should not disadvan</w:t>
            </w:r>
            <w:r w:rsidRPr="00A611B7">
              <w:t>tage the candidate.</w:t>
            </w:r>
          </w:p>
          <w:p w:rsidR="00000000" w:rsidP="00A611B7">
            <w:pPr>
              <w:pStyle w:val="BodyText"/>
              <w:rPr>
                <w:lang w:val="en-NZ"/>
              </w:rPr>
            </w:pPr>
            <w:r w:rsidRPr="00A611B7">
              <w:t>This unit could be assessed in conjunction with any other units addressing the safety, quality, communication, materials handling, recording and reporting associated with equipment condition monitoring and recording or other units requiring the exercise of</w:t>
            </w:r>
            <w:r w:rsidRPr="00A611B7">
              <w:t xml:space="preserve"> the skills and knowledge covered by this unit.</w:t>
            </w:r>
          </w:p>
        </w:tc>
      </w:tr>
      <w:tr w:rsidTr="00486C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Assessors should gather a range of evidence that is valid, sufficient, current and authentic. Evidence can be gathered through a variety of ways including direct observation, supervisor'</w:t>
            </w:r>
            <w:r w:rsidRPr="00A611B7">
              <w:t>s reports, project work, samples and questioning. Questioning techniques should not require language, literacy and numeracy skills beyond those required in this unit of competency. The candidate must have access to all tools, equipment, materials and docum</w:t>
            </w:r>
            <w:r w:rsidRPr="00A611B7">
              <w:t>entation required. The candidate must be permitted to refer to any relevant workplace procedures, product and manufacturing specifications, codes, standards, manuals and reference materials.</w:t>
            </w:r>
          </w:p>
        </w:tc>
      </w:tr>
      <w:tr w:rsidTr="00486C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p>
        </w:tc>
      </w:tr>
    </w:tbl>
    <w:p w:rsidR="00486CA3" w:rsidP="00A611B7">
      <w:pPr>
        <w:pStyle w:val="BodyText"/>
      </w:pPr>
    </w:p>
    <w:p w:rsidR="00486CA3" w:rsidP="00A611B7">
      <w:pPr>
        <w:pStyle w:val="BodyText"/>
      </w:pPr>
    </w:p>
    <w:p w:rsidR="00000000" w:rsidRPr="00A611B7" w:rsidP="00A611B7">
      <w:pPr>
        <w:pStyle w:val="Heading1"/>
      </w:pPr>
      <w:bookmarkStart w:id="11" w:name="O_461266"/>
      <w:bookmarkEnd w:id="11"/>
      <w:r w:rsidRPr="00A611B7">
        <w:t>Range</w:t>
      </w:r>
      <w:r w:rsidRPr="00A611B7">
        <w:t xml:space="preserve"> Statement</w:t>
      </w:r>
    </w:p>
    <w:tbl>
      <w:tblPr>
        <w:tblW w:w="0" w:type="auto"/>
        <w:tblLayout w:type="fixed"/>
        <w:tblCellMar>
          <w:left w:w="62" w:type="dxa"/>
          <w:right w:w="62" w:type="dxa"/>
        </w:tblCellMar>
        <w:tblLook w:val="0000"/>
      </w:tblPr>
      <w:tblGrid>
        <w:gridCol w:w="3519"/>
        <w:gridCol w:w="5003"/>
      </w:tblGrid>
      <w:tr w:rsidTr="00486C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RANGE STATEMENT</w:t>
            </w:r>
          </w:p>
        </w:tc>
      </w:tr>
      <w:tr w:rsidTr="00486C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t>The range statement relates to the unit of competency as a whole. It allows for different work environments and situations that may affect perform</w:t>
            </w:r>
            <w:r w:rsidRPr="00A611B7">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A611B7">
              <w:t>local industry and regional contexts) may also be included.</w:t>
            </w:r>
          </w:p>
        </w:tc>
      </w:tr>
      <w:tr w:rsidTr="00486CA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Technique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t>Built-in systems (software and site displays), vibration monitors, infra-red and ultraviolet non-destructive testing</w:t>
            </w:r>
          </w:p>
        </w:tc>
      </w:tr>
    </w:tbl>
    <w:p w:rsidR="00486CA3" w:rsidP="00A611B7">
      <w:pPr>
        <w:pStyle w:val="BodyText"/>
      </w:pPr>
    </w:p>
    <w:p w:rsidR="00486CA3" w:rsidP="00A611B7">
      <w:pPr>
        <w:pStyle w:val="BodyText"/>
      </w:pPr>
    </w:p>
    <w:p w:rsidR="00000000" w:rsidRPr="00A611B7" w:rsidP="00A611B7">
      <w:pPr>
        <w:pStyle w:val="Heading1"/>
      </w:pPr>
      <w:bookmarkStart w:id="12" w:name="O_461263"/>
      <w:bookmarkEnd w:id="12"/>
      <w:r w:rsidRPr="00A611B7">
        <w:t>Unit Sector(s)</w:t>
      </w:r>
    </w:p>
    <w:tbl>
      <w:tblPr>
        <w:tblW w:w="0" w:type="auto"/>
        <w:tblLayout w:type="fixed"/>
        <w:tblCellMar>
          <w:left w:w="62" w:type="dxa"/>
          <w:right w:w="62" w:type="dxa"/>
        </w:tblCellMar>
        <w:tblLook w:val="0000"/>
      </w:tblPr>
      <w:tblGrid>
        <w:gridCol w:w="2654"/>
        <w:gridCol w:w="5868"/>
      </w:tblGrid>
      <w:tr w:rsidTr="00486CA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p>
        </w:tc>
      </w:tr>
    </w:tbl>
    <w:p w:rsidR="00486CA3" w:rsidP="00A611B7">
      <w:pPr>
        <w:pStyle w:val="BodyText"/>
      </w:pPr>
    </w:p>
    <w:p w:rsidR="00486CA3" w:rsidP="00A611B7">
      <w:pPr>
        <w:pStyle w:val="BodyText"/>
      </w:pPr>
    </w:p>
    <w:p w:rsidR="00000000" w:rsidRPr="00A611B7" w:rsidP="00A611B7">
      <w:pPr>
        <w:pStyle w:val="Heading1"/>
      </w:pPr>
      <w:bookmarkStart w:id="13" w:name="O_461275"/>
      <w:bookmarkEnd w:id="13"/>
      <w:r w:rsidRPr="00A611B7">
        <w:t>Co-requisite units</w:t>
      </w:r>
    </w:p>
    <w:tbl>
      <w:tblPr>
        <w:tblW w:w="0" w:type="auto"/>
        <w:tblLayout w:type="fixed"/>
        <w:tblCellMar>
          <w:left w:w="62" w:type="dxa"/>
          <w:right w:w="62" w:type="dxa"/>
        </w:tblCellMar>
        <w:tblLook w:val="0000"/>
      </w:tblPr>
      <w:tblGrid>
        <w:gridCol w:w="2641"/>
        <w:gridCol w:w="1322"/>
        <w:gridCol w:w="4559"/>
      </w:tblGrid>
      <w:tr w:rsidTr="00486C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p>
        </w:tc>
      </w:tr>
      <w:tr w:rsidTr="00486C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p>
        </w:tc>
      </w:tr>
      <w:tr w:rsidTr="00486C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p>
        </w:tc>
      </w:tr>
    </w:tbl>
    <w:p w:rsidR="00486CA3" w:rsidP="00A611B7">
      <w:pPr>
        <w:pStyle w:val="BodyText"/>
      </w:pPr>
    </w:p>
    <w:p w:rsidR="00486CA3" w:rsidP="00A611B7">
      <w:pPr>
        <w:pStyle w:val="BodyText"/>
      </w:pPr>
    </w:p>
    <w:p w:rsidR="00000000" w:rsidRPr="00A611B7" w:rsidP="00A611B7">
      <w:pPr>
        <w:pStyle w:val="Heading1"/>
      </w:pPr>
      <w:bookmarkStart w:id="14" w:name="O_461276"/>
      <w:bookmarkEnd w:id="14"/>
      <w:r w:rsidRPr="00A611B7">
        <w:t>Competency field</w:t>
      </w:r>
    </w:p>
    <w:tbl>
      <w:tblPr>
        <w:tblW w:w="0" w:type="auto"/>
        <w:tblLayout w:type="fixed"/>
        <w:tblCellMar>
          <w:left w:w="62" w:type="dxa"/>
          <w:right w:w="62" w:type="dxa"/>
        </w:tblCellMar>
        <w:tblLook w:val="0000"/>
      </w:tblPr>
      <w:tblGrid>
        <w:gridCol w:w="2775"/>
        <w:gridCol w:w="5747"/>
      </w:tblGrid>
      <w:tr w:rsidTr="00486C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B7">
            <w:pPr>
              <w:pStyle w:val="BodyText"/>
              <w:rPr>
                <w:lang w:val="en-NZ"/>
              </w:rPr>
            </w:pPr>
            <w:r w:rsidRPr="00A611B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B7" w:rsidP="00A611B7">
            <w:pPr>
              <w:pStyle w:val="BodyText"/>
            </w:pPr>
            <w:r w:rsidRPr="00A611B7">
              <w:t>Maintenance and diagnostics</w:t>
            </w:r>
          </w:p>
        </w:tc>
      </w:tr>
    </w:tbl>
    <w:p w:rsidR="00486CA3" w:rsidP="00A611B7">
      <w:pPr>
        <w:pStyle w:val="BodyText"/>
      </w:pPr>
    </w:p>
    <w:p w:rsidR="00486CA3" w:rsidP="00A611B7">
      <w:pPr>
        <w:pStyle w:val="BodyText"/>
      </w:pPr>
    </w:p>
    <w:p w:rsidR="00000000" w:rsidRPr="00A611B7" w:rsidP="00A611B7"/>
    <w:sectPr w:rsidSect="00A611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CA3" w:rsidP="00486C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CA3" w:rsidP="00A61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6CA3" w:rsidP="00A611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6CA3" w:rsidP="00A611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CA3" w:rsidP="00486C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CA3" w:rsidP="00A611B7">
    <w:pPr>
      <w:pStyle w:val="Header"/>
      <w:framePr w:wrap="around"/>
    </w:pPr>
    <w:r>
      <w:fldChar w:fldCharType="begin"/>
    </w:r>
    <w:r>
      <w:instrText xml:space="preserve"> TITLE   \* MERGEFORMAT </w:instrText>
    </w:r>
    <w:r>
      <w:fldChar w:fldCharType="separate"/>
    </w:r>
    <w:r>
      <w:t>MEM18010C Perform equipment condition monitoring and recording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6CA3" w:rsidP="00A611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FEA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CA9C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1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1B7"/>
    <w:pPr>
      <w:spacing w:before="360" w:after="60"/>
      <w:outlineLvl w:val="0"/>
    </w:pPr>
    <w:rPr>
      <w:sz w:val="32"/>
    </w:rPr>
  </w:style>
  <w:style w:type="paragraph" w:styleId="Heading2">
    <w:name w:val="heading 2"/>
    <w:basedOn w:val="HeadingBase"/>
    <w:next w:val="BodyText"/>
    <w:link w:val="Heading2Char"/>
    <w:qFormat/>
    <w:rsid w:val="00A611B7"/>
    <w:pPr>
      <w:keepLines/>
      <w:spacing w:before="240" w:after="120"/>
      <w:outlineLvl w:val="1"/>
    </w:pPr>
    <w:rPr>
      <w:sz w:val="28"/>
      <w:szCs w:val="40"/>
    </w:rPr>
  </w:style>
  <w:style w:type="paragraph" w:styleId="Heading3">
    <w:name w:val="heading 3"/>
    <w:basedOn w:val="HeadingBase"/>
    <w:next w:val="BodyText"/>
    <w:link w:val="Heading3Char"/>
    <w:qFormat/>
    <w:rsid w:val="00A611B7"/>
    <w:pPr>
      <w:spacing w:before="180" w:after="120"/>
      <w:outlineLvl w:val="2"/>
    </w:pPr>
    <w:rPr>
      <w:spacing w:val="-10"/>
      <w:kern w:val="32"/>
    </w:rPr>
  </w:style>
  <w:style w:type="paragraph" w:styleId="Heading4">
    <w:name w:val="heading 4"/>
    <w:basedOn w:val="HeadingBase"/>
    <w:next w:val="BodyText"/>
    <w:link w:val="Heading4Char"/>
    <w:qFormat/>
    <w:rsid w:val="00A611B7"/>
    <w:pPr>
      <w:spacing w:before="160" w:after="120"/>
      <w:outlineLvl w:val="3"/>
    </w:pPr>
    <w:rPr>
      <w:sz w:val="22"/>
    </w:rPr>
  </w:style>
  <w:style w:type="paragraph" w:styleId="Heading5">
    <w:name w:val="heading 5"/>
    <w:basedOn w:val="HeadingBase"/>
    <w:next w:val="Normal"/>
    <w:link w:val="Heading5Char"/>
    <w:qFormat/>
    <w:rsid w:val="00A611B7"/>
    <w:pPr>
      <w:spacing w:before="80"/>
      <w:outlineLvl w:val="4"/>
    </w:pPr>
    <w:rPr>
      <w:color w:val="918585"/>
      <w:sz w:val="20"/>
    </w:rPr>
  </w:style>
  <w:style w:type="paragraph" w:styleId="Heading6">
    <w:name w:val="heading 6"/>
    <w:basedOn w:val="HeadingBase"/>
    <w:next w:val="Normal"/>
    <w:link w:val="Heading6Char"/>
    <w:qFormat/>
    <w:rsid w:val="00A611B7"/>
    <w:pPr>
      <w:spacing w:before="60"/>
      <w:outlineLvl w:val="5"/>
    </w:pPr>
    <w:rPr>
      <w:color w:val="918585"/>
      <w:sz w:val="20"/>
    </w:rPr>
  </w:style>
  <w:style w:type="paragraph" w:styleId="Heading7">
    <w:name w:val="heading 7"/>
    <w:basedOn w:val="Normal"/>
    <w:next w:val="Normal"/>
    <w:link w:val="Heading7Char"/>
    <w:qFormat/>
    <w:rsid w:val="00A611B7"/>
    <w:pPr>
      <w:ind w:left="720"/>
      <w:outlineLvl w:val="6"/>
    </w:pPr>
    <w:rPr>
      <w:i/>
    </w:rPr>
  </w:style>
  <w:style w:type="paragraph" w:styleId="Heading8">
    <w:name w:val="heading 8"/>
    <w:basedOn w:val="Normal"/>
    <w:next w:val="Normal"/>
    <w:link w:val="Heading8Char"/>
    <w:qFormat/>
    <w:rsid w:val="00A611B7"/>
    <w:pPr>
      <w:ind w:left="720"/>
      <w:outlineLvl w:val="7"/>
    </w:pPr>
    <w:rPr>
      <w:i/>
    </w:rPr>
  </w:style>
  <w:style w:type="paragraph" w:styleId="Heading9">
    <w:name w:val="heading 9"/>
    <w:basedOn w:val="Normal"/>
    <w:next w:val="Normal"/>
    <w:link w:val="Heading9Char"/>
    <w:qFormat/>
    <w:rsid w:val="00A611B7"/>
    <w:pPr>
      <w:ind w:left="720"/>
      <w:outlineLvl w:val="8"/>
    </w:pPr>
    <w:rPr>
      <w:i/>
    </w:rPr>
  </w:style>
  <w:style w:type="character" w:default="1" w:styleId="DefaultParagraphFont">
    <w:name w:val="Default Paragraph Font"/>
    <w:uiPriority w:val="1"/>
    <w:unhideWhenUsed/>
    <w:rsid w:val="00A61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1B7"/>
  </w:style>
  <w:style w:type="character" w:customStyle="1" w:styleId="Heading1Char">
    <w:name w:val="Heading 1 Char"/>
    <w:basedOn w:val="DefaultParagraphFont"/>
    <w:link w:val="Heading1"/>
    <w:rsid w:val="00A611B7"/>
    <w:rPr>
      <w:rFonts w:ascii="Times New Roman" w:eastAsia="Times New Roman" w:hAnsi="Times New Roman" w:cs="Times New Roman"/>
      <w:b/>
      <w:sz w:val="32"/>
      <w:szCs w:val="20"/>
      <w:lang w:eastAsia="en-US"/>
    </w:rPr>
  </w:style>
  <w:style w:type="paragraph" w:styleId="BodyText">
    <w:name w:val="Body Text"/>
    <w:basedOn w:val="Normal"/>
    <w:link w:val="BodyTextChar"/>
    <w:rsid w:val="00A611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1B7"/>
    <w:rPr>
      <w:rFonts w:ascii="Times New Roman" w:eastAsia="Times New Roman" w:hAnsi="Times New Roman" w:cs="Times New Roman"/>
      <w:sz w:val="24"/>
      <w:lang w:val="en-US" w:eastAsia="en-US"/>
    </w:rPr>
  </w:style>
  <w:style w:type="paragraph" w:styleId="Footer">
    <w:name w:val="footer"/>
    <w:basedOn w:val="Normal"/>
    <w:link w:val="FooterChar"/>
    <w:rsid w:val="00A61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1B7"/>
    <w:rPr>
      <w:rFonts w:ascii="Times New Roman" w:eastAsia="Times New Roman" w:hAnsi="Times New Roman" w:cs="Times New Roman"/>
      <w:sz w:val="16"/>
      <w:lang w:val="en-US" w:eastAsia="en-US"/>
    </w:rPr>
  </w:style>
  <w:style w:type="paragraph" w:styleId="List">
    <w:name w:val="List"/>
    <w:basedOn w:val="BodyText"/>
    <w:next w:val="BodyText"/>
    <w:rsid w:val="00A611B7"/>
    <w:pPr>
      <w:tabs>
        <w:tab w:val="left" w:pos="340"/>
      </w:tabs>
      <w:spacing w:before="60" w:after="60"/>
      <w:ind w:left="340" w:hanging="340"/>
    </w:pPr>
  </w:style>
  <w:style w:type="paragraph" w:styleId="ListBullet">
    <w:name w:val="List Bullet"/>
    <w:basedOn w:val="List"/>
    <w:rsid w:val="00A611B7"/>
    <w:pPr>
      <w:numPr>
        <w:numId w:val="12"/>
      </w:numPr>
      <w:tabs>
        <w:tab w:val="clear" w:pos="340"/>
      </w:tabs>
      <w:spacing w:before="40" w:after="40"/>
    </w:pPr>
  </w:style>
  <w:style w:type="character" w:customStyle="1" w:styleId="SpecialBold">
    <w:name w:val="Special Bold"/>
    <w:basedOn w:val="DefaultParagraphFont"/>
    <w:rsid w:val="00A611B7"/>
    <w:rPr>
      <w:b/>
      <w:spacing w:val="0"/>
    </w:rPr>
  </w:style>
  <w:style w:type="paragraph" w:styleId="Header">
    <w:name w:val="header"/>
    <w:basedOn w:val="Normal"/>
    <w:link w:val="HeaderChar"/>
    <w:rsid w:val="00A61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1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1B7"/>
    <w:pPr>
      <w:spacing w:before="240" w:after="120"/>
      <w:outlineLvl w:val="0"/>
    </w:pPr>
    <w:rPr>
      <w:rFonts w:ascii="Times New Roman" w:hAnsi="Times New Roman"/>
      <w:b/>
      <w:sz w:val="28"/>
    </w:rPr>
  </w:style>
  <w:style w:type="paragraph" w:customStyle="1" w:styleId="AllowPageBreak">
    <w:name w:val="AllowPageBreak"/>
    <w:rsid w:val="00A611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1B7"/>
    <w:pPr>
      <w:tabs>
        <w:tab w:val="left" w:pos="680"/>
      </w:tabs>
      <w:spacing w:before="60" w:after="60"/>
      <w:ind w:left="680" w:hanging="340"/>
    </w:pPr>
  </w:style>
  <w:style w:type="character" w:customStyle="1" w:styleId="Heading2Char">
    <w:name w:val="Heading 2 Char"/>
    <w:basedOn w:val="DefaultParagraphFont"/>
    <w:link w:val="Heading2"/>
    <w:rsid w:val="00A611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1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1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1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1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1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1B7"/>
    <w:rPr>
      <w:rFonts w:ascii="Courier New" w:eastAsia="Times New Roman" w:hAnsi="Courier New" w:cs="Times New Roman"/>
      <w:i/>
      <w:szCs w:val="20"/>
      <w:lang w:val="en-US" w:eastAsia="en-US"/>
    </w:rPr>
  </w:style>
  <w:style w:type="paragraph" w:customStyle="1" w:styleId="HeadingBase">
    <w:name w:val="Heading Base"/>
    <w:rsid w:val="00A61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1B7"/>
    <w:pPr>
      <w:tabs>
        <w:tab w:val="right" w:leader="dot" w:pos="9072"/>
      </w:tabs>
      <w:ind w:left="567"/>
    </w:pPr>
    <w:rPr>
      <w:szCs w:val="22"/>
    </w:rPr>
  </w:style>
  <w:style w:type="paragraph" w:customStyle="1" w:styleId="TOCBase">
    <w:name w:val="TOC Base"/>
    <w:rsid w:val="00A61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1B7"/>
    <w:pPr>
      <w:tabs>
        <w:tab w:val="right" w:leader="dot" w:pos="9072"/>
      </w:tabs>
      <w:spacing w:before="40" w:after="40"/>
      <w:ind w:left="284"/>
    </w:pPr>
    <w:rPr>
      <w:rFonts w:ascii="Times New Roman" w:hAnsi="Times New Roman"/>
    </w:rPr>
  </w:style>
  <w:style w:type="paragraph" w:styleId="TOC1">
    <w:name w:val="toc 1"/>
    <w:basedOn w:val="TOCBase"/>
    <w:next w:val="Normal"/>
    <w:rsid w:val="00A611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1B7"/>
    <w:pPr>
      <w:spacing w:before="5040"/>
      <w:jc w:val="center"/>
    </w:pPr>
    <w:rPr>
      <w:sz w:val="48"/>
      <w:szCs w:val="72"/>
      <w:lang w:val="en-US"/>
    </w:rPr>
  </w:style>
  <w:style w:type="character" w:customStyle="1" w:styleId="TitleChar">
    <w:name w:val="Title Char"/>
    <w:basedOn w:val="DefaultParagraphFont"/>
    <w:link w:val="Title"/>
    <w:rsid w:val="00A61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1B7"/>
    <w:pPr>
      <w:tabs>
        <w:tab w:val="left" w:pos="3600"/>
        <w:tab w:val="left" w:pos="3958"/>
      </w:tabs>
    </w:pPr>
  </w:style>
  <w:style w:type="paragraph" w:customStyle="1" w:styleId="Note">
    <w:name w:val="Note"/>
    <w:basedOn w:val="BodyText"/>
    <w:rsid w:val="00A611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1B7"/>
    <w:pPr>
      <w:framePr w:wrap="auto" w:hAnchor="text" w:y="6049"/>
    </w:pPr>
    <w:rPr>
      <w:color w:val="000000"/>
      <w:sz w:val="40"/>
    </w:rPr>
  </w:style>
  <w:style w:type="paragraph" w:customStyle="1" w:styleId="TOCTitle">
    <w:name w:val="TOCTitle"/>
    <w:basedOn w:val="Heading1"/>
    <w:rsid w:val="00A611B7"/>
    <w:pPr>
      <w:spacing w:after="240"/>
      <w:jc w:val="center"/>
      <w:outlineLvl w:val="9"/>
    </w:pPr>
    <w:rPr>
      <w:caps/>
    </w:rPr>
  </w:style>
  <w:style w:type="paragraph" w:customStyle="1" w:styleId="Version">
    <w:name w:val="Version"/>
    <w:rsid w:val="00A611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1B7"/>
    <w:pPr>
      <w:numPr>
        <w:numId w:val="13"/>
      </w:numPr>
      <w:tabs>
        <w:tab w:val="clear" w:pos="680"/>
      </w:tabs>
    </w:pPr>
  </w:style>
  <w:style w:type="paragraph" w:styleId="Index1">
    <w:name w:val="index 1"/>
    <w:basedOn w:val="Normal"/>
    <w:next w:val="Normal"/>
    <w:semiHidden/>
    <w:rsid w:val="00A611B7"/>
    <w:pPr>
      <w:keepNext w:val="0"/>
      <w:tabs>
        <w:tab w:val="right" w:pos="4176"/>
      </w:tabs>
      <w:ind w:left="198" w:hanging="198"/>
    </w:pPr>
    <w:rPr>
      <w:rFonts w:ascii="Garamond" w:hAnsi="Garamond"/>
    </w:rPr>
  </w:style>
  <w:style w:type="paragraph" w:styleId="IndexHeading">
    <w:name w:val="index heading"/>
    <w:basedOn w:val="Normal"/>
    <w:next w:val="Index1"/>
    <w:semiHidden/>
    <w:rsid w:val="00A611B7"/>
    <w:pPr>
      <w:spacing w:before="120" w:after="120"/>
    </w:pPr>
    <w:rPr>
      <w:rFonts w:ascii="Arial" w:hAnsi="Arial"/>
      <w:b/>
      <w:color w:val="918585"/>
      <w:sz w:val="24"/>
    </w:rPr>
  </w:style>
  <w:style w:type="paragraph" w:customStyle="1" w:styleId="Chapter">
    <w:name w:val="Chapter"/>
    <w:basedOn w:val="Normal"/>
    <w:rsid w:val="00A611B7"/>
    <w:pPr>
      <w:spacing w:before="240"/>
    </w:pPr>
    <w:rPr>
      <w:rFonts w:ascii="Times New Roman" w:hAnsi="Times New Roman"/>
      <w:smallCaps/>
      <w:spacing w:val="80"/>
      <w:sz w:val="28"/>
    </w:rPr>
  </w:style>
  <w:style w:type="paragraph" w:customStyle="1" w:styleId="InChapter">
    <w:name w:val="InChapter"/>
    <w:basedOn w:val="Heading3"/>
    <w:rsid w:val="00A611B7"/>
    <w:pPr>
      <w:spacing w:after="240"/>
      <w:outlineLvl w:val="9"/>
    </w:pPr>
    <w:rPr>
      <w:noProof/>
    </w:rPr>
  </w:style>
  <w:style w:type="paragraph" w:styleId="Index2">
    <w:name w:val="index 2"/>
    <w:basedOn w:val="Normal"/>
    <w:next w:val="Normal"/>
    <w:semiHidden/>
    <w:rsid w:val="00A611B7"/>
    <w:pPr>
      <w:tabs>
        <w:tab w:val="right" w:pos="4176"/>
      </w:tabs>
      <w:ind w:left="568" w:hanging="284"/>
    </w:pPr>
    <w:rPr>
      <w:rFonts w:ascii="Garamond" w:hAnsi="Garamond"/>
    </w:rPr>
  </w:style>
  <w:style w:type="paragraph" w:customStyle="1" w:styleId="Byline">
    <w:name w:val="Byline"/>
    <w:rsid w:val="00A61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1B7"/>
    <w:pPr>
      <w:tabs>
        <w:tab w:val="clear" w:pos="3600"/>
        <w:tab w:val="clear" w:pos="3958"/>
      </w:tabs>
      <w:jc w:val="right"/>
    </w:pPr>
  </w:style>
  <w:style w:type="character" w:styleId="Emphasis">
    <w:name w:val="Emphasis"/>
    <w:basedOn w:val="DefaultParagraphFont"/>
    <w:qFormat/>
    <w:rsid w:val="00A611B7"/>
    <w:rPr>
      <w:i/>
    </w:rPr>
  </w:style>
  <w:style w:type="paragraph" w:styleId="Caption">
    <w:name w:val="caption"/>
    <w:basedOn w:val="BodyText"/>
    <w:next w:val="Normal"/>
    <w:qFormat/>
    <w:rsid w:val="00A611B7"/>
    <w:pPr>
      <w:framePr w:w="2268" w:hSpace="181" w:vSpace="181" w:wrap="around" w:vAnchor="text" w:hAnchor="page" w:x="1135" w:y="285" w:anchorLock="1"/>
    </w:pPr>
    <w:rPr>
      <w:i/>
    </w:rPr>
  </w:style>
  <w:style w:type="paragraph" w:customStyle="1" w:styleId="MiniTOCTitle">
    <w:name w:val="MiniTOCTitle"/>
    <w:basedOn w:val="Heading4"/>
    <w:rsid w:val="00A611B7"/>
    <w:pPr>
      <w:spacing w:before="240"/>
      <w:outlineLvl w:val="9"/>
    </w:pPr>
    <w:rPr>
      <w:noProof/>
      <w:sz w:val="24"/>
    </w:rPr>
  </w:style>
  <w:style w:type="paragraph" w:customStyle="1" w:styleId="MiniTOCItem">
    <w:name w:val="MiniTOCItem"/>
    <w:basedOn w:val="ListBullet"/>
    <w:rsid w:val="00A611B7"/>
    <w:pPr>
      <w:numPr>
        <w:numId w:val="0"/>
      </w:numPr>
      <w:tabs>
        <w:tab w:val="right" w:leader="dot" w:pos="6521"/>
      </w:tabs>
      <w:spacing w:before="0" w:after="0"/>
    </w:pPr>
  </w:style>
  <w:style w:type="paragraph" w:customStyle="1" w:styleId="TOFTitle">
    <w:name w:val="TOFTitle"/>
    <w:basedOn w:val="TOCTitle"/>
    <w:rsid w:val="00A611B7"/>
  </w:style>
  <w:style w:type="paragraph" w:styleId="TableofFigures">
    <w:name w:val="table of figures"/>
    <w:basedOn w:val="Normal"/>
    <w:next w:val="Normal"/>
    <w:semiHidden/>
    <w:rsid w:val="00A611B7"/>
    <w:pPr>
      <w:tabs>
        <w:tab w:val="right" w:leader="dot" w:pos="9072"/>
      </w:tabs>
      <w:ind w:left="970" w:hanging="403"/>
    </w:pPr>
    <w:rPr>
      <w:rFonts w:ascii="Times New Roman" w:hAnsi="Times New Roman"/>
      <w:b/>
    </w:rPr>
  </w:style>
  <w:style w:type="paragraph" w:styleId="ListNumber">
    <w:name w:val="List Number"/>
    <w:basedOn w:val="List"/>
    <w:rsid w:val="00A611B7"/>
    <w:pPr>
      <w:numPr>
        <w:numId w:val="10"/>
      </w:numPr>
    </w:pPr>
  </w:style>
  <w:style w:type="character" w:customStyle="1" w:styleId="WingdingSymbols">
    <w:name w:val="Wingding Symbols"/>
    <w:rsid w:val="00A611B7"/>
    <w:rPr>
      <w:rFonts w:ascii="Wingdings" w:hAnsi="Wingdings"/>
    </w:rPr>
  </w:style>
  <w:style w:type="paragraph" w:customStyle="1" w:styleId="TableHeading">
    <w:name w:val="Table Heading"/>
    <w:basedOn w:val="HeadingBase"/>
    <w:rsid w:val="00A611B7"/>
    <w:pPr>
      <w:keepLines/>
      <w:pBdr>
        <w:bottom w:val="single" w:sz="6" w:space="1" w:color="918585"/>
      </w:pBdr>
      <w:spacing w:before="240"/>
    </w:pPr>
  </w:style>
  <w:style w:type="character" w:customStyle="1" w:styleId="HotSpot">
    <w:name w:val="HotSpot"/>
    <w:rsid w:val="00A611B7"/>
    <w:rPr>
      <w:color w:val="0033CC"/>
      <w:u w:val="none"/>
    </w:rPr>
  </w:style>
  <w:style w:type="paragraph" w:customStyle="1" w:styleId="BodyTextRight">
    <w:name w:val="Body Text Right"/>
    <w:basedOn w:val="BodyText"/>
    <w:rsid w:val="00A611B7"/>
    <w:pPr>
      <w:spacing w:before="0" w:after="0"/>
      <w:jc w:val="right"/>
    </w:pPr>
  </w:style>
  <w:style w:type="paragraph" w:styleId="Index3">
    <w:name w:val="index 3"/>
    <w:basedOn w:val="ListNumber2"/>
    <w:next w:val="Normal"/>
    <w:semiHidden/>
    <w:rsid w:val="00A611B7"/>
    <w:pPr>
      <w:numPr>
        <w:numId w:val="0"/>
      </w:numPr>
      <w:tabs>
        <w:tab w:val="right" w:leader="dot" w:pos="4176"/>
      </w:tabs>
    </w:pPr>
  </w:style>
  <w:style w:type="paragraph" w:styleId="ListNumber2">
    <w:name w:val="List Number 2"/>
    <w:basedOn w:val="List2"/>
    <w:rsid w:val="00A611B7"/>
    <w:pPr>
      <w:numPr>
        <w:numId w:val="9"/>
      </w:numPr>
      <w:tabs>
        <w:tab w:val="clear" w:pos="1060"/>
      </w:tabs>
    </w:pPr>
  </w:style>
  <w:style w:type="paragraph" w:customStyle="1" w:styleId="MarginNote">
    <w:name w:val="Margin Note"/>
    <w:basedOn w:val="BodyText"/>
    <w:rsid w:val="00A61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1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1B7"/>
    <w:rPr>
      <w:sz w:val="32"/>
    </w:rPr>
  </w:style>
  <w:style w:type="paragraph" w:customStyle="1" w:styleId="HeadingProcedure">
    <w:name w:val="Heading Procedure"/>
    <w:basedOn w:val="HeadingBase"/>
    <w:next w:val="Normal"/>
    <w:rsid w:val="00A611B7"/>
    <w:pPr>
      <w:tabs>
        <w:tab w:val="left" w:pos="0"/>
      </w:tabs>
      <w:spacing w:before="120" w:after="60"/>
    </w:pPr>
    <w:rPr>
      <w:i/>
      <w:color w:val="918585"/>
      <w:sz w:val="22"/>
    </w:rPr>
  </w:style>
  <w:style w:type="paragraph" w:customStyle="1" w:styleId="TableBodyText">
    <w:name w:val="Table Body Text"/>
    <w:basedOn w:val="BodyText"/>
    <w:rsid w:val="00A611B7"/>
    <w:pPr>
      <w:spacing w:before="60" w:after="60"/>
    </w:pPr>
  </w:style>
  <w:style w:type="paragraph" w:styleId="ListContinue">
    <w:name w:val="List Continue"/>
    <w:basedOn w:val="List"/>
    <w:rsid w:val="00A611B7"/>
    <w:pPr>
      <w:ind w:firstLine="0"/>
    </w:pPr>
  </w:style>
  <w:style w:type="paragraph" w:customStyle="1" w:styleId="ListNote">
    <w:name w:val="List Note"/>
    <w:basedOn w:val="List"/>
    <w:rsid w:val="00A611B7"/>
    <w:pPr>
      <w:pBdr>
        <w:top w:val="single" w:sz="6" w:space="2" w:color="918585"/>
        <w:bottom w:val="single" w:sz="6" w:space="2" w:color="918585"/>
      </w:pBdr>
      <w:tabs>
        <w:tab w:val="left" w:pos="1021"/>
      </w:tabs>
      <w:ind w:firstLine="0"/>
    </w:pPr>
  </w:style>
  <w:style w:type="paragraph" w:customStyle="1" w:styleId="Warning">
    <w:name w:val="Warning"/>
    <w:basedOn w:val="BodyText"/>
    <w:rsid w:val="00A611B7"/>
    <w:pPr>
      <w:shd w:val="clear" w:color="auto" w:fill="D9D9D9"/>
      <w:tabs>
        <w:tab w:val="left" w:pos="992"/>
      </w:tabs>
      <w:ind w:left="119" w:right="119"/>
    </w:pPr>
    <w:rPr>
      <w:sz w:val="20"/>
    </w:rPr>
  </w:style>
  <w:style w:type="paragraph" w:customStyle="1" w:styleId="MarginIcons">
    <w:name w:val="Margin Icons"/>
    <w:basedOn w:val="BodyText"/>
    <w:rsid w:val="00A611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1B7"/>
    <w:rPr>
      <w:rFonts w:ascii="Courier New" w:hAnsi="Courier New"/>
    </w:rPr>
  </w:style>
  <w:style w:type="paragraph" w:customStyle="1" w:styleId="NoteBullet">
    <w:name w:val="Note Bullet"/>
    <w:basedOn w:val="Note"/>
    <w:rsid w:val="00A611B7"/>
    <w:pPr>
      <w:tabs>
        <w:tab w:val="clear" w:pos="680"/>
      </w:tabs>
      <w:spacing w:before="60" w:after="60"/>
    </w:pPr>
  </w:style>
  <w:style w:type="paragraph" w:customStyle="1" w:styleId="SubHeading2">
    <w:name w:val="SubHeading2"/>
    <w:basedOn w:val="HeadingBase"/>
    <w:rsid w:val="00A611B7"/>
    <w:pPr>
      <w:spacing w:before="240" w:after="60"/>
    </w:pPr>
    <w:rPr>
      <w:sz w:val="20"/>
    </w:rPr>
  </w:style>
  <w:style w:type="paragraph" w:customStyle="1" w:styleId="SubHeading1">
    <w:name w:val="SubHeading1"/>
    <w:basedOn w:val="HeadingBase"/>
    <w:rsid w:val="00A611B7"/>
    <w:pPr>
      <w:spacing w:before="240" w:after="60"/>
    </w:pPr>
    <w:rPr>
      <w:color w:val="918585"/>
      <w:sz w:val="22"/>
    </w:rPr>
  </w:style>
  <w:style w:type="paragraph" w:customStyle="1" w:styleId="SideHeading">
    <w:name w:val="Side Heading"/>
    <w:basedOn w:val="HeadingBase"/>
    <w:rsid w:val="00A61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1B7"/>
    <w:pPr>
      <w:tabs>
        <w:tab w:val="num" w:pos="360"/>
      </w:tabs>
    </w:pPr>
  </w:style>
  <w:style w:type="paragraph" w:styleId="PlainText">
    <w:name w:val="Plain Text"/>
    <w:basedOn w:val="Normal"/>
    <w:link w:val="PlainTextChar"/>
    <w:rsid w:val="00A611B7"/>
    <w:rPr>
      <w:sz w:val="20"/>
    </w:rPr>
  </w:style>
  <w:style w:type="character" w:customStyle="1" w:styleId="PlainTextChar">
    <w:name w:val="Plain Text Char"/>
    <w:basedOn w:val="DefaultParagraphFont"/>
    <w:link w:val="PlainText"/>
    <w:rsid w:val="00A611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1B7"/>
    <w:rPr>
      <w:b/>
      <w:smallCaps/>
    </w:rPr>
  </w:style>
  <w:style w:type="paragraph" w:customStyle="1" w:styleId="TableListNumber">
    <w:name w:val="Table List Number"/>
    <w:basedOn w:val="ListNumber"/>
    <w:rsid w:val="00A611B7"/>
    <w:pPr>
      <w:numPr>
        <w:numId w:val="0"/>
      </w:numPr>
    </w:pPr>
  </w:style>
  <w:style w:type="paragraph" w:styleId="TOC4">
    <w:name w:val="toc 4"/>
    <w:basedOn w:val="TOCBase"/>
    <w:next w:val="Normal"/>
    <w:semiHidden/>
    <w:rsid w:val="00A611B7"/>
    <w:pPr>
      <w:tabs>
        <w:tab w:val="right" w:leader="dot" w:pos="9071"/>
      </w:tabs>
      <w:ind w:left="1701"/>
    </w:pPr>
  </w:style>
  <w:style w:type="paragraph" w:customStyle="1" w:styleId="ListAlpha">
    <w:name w:val="List Alpha"/>
    <w:basedOn w:val="List"/>
    <w:rsid w:val="00A611B7"/>
    <w:pPr>
      <w:numPr>
        <w:numId w:val="8"/>
      </w:numPr>
    </w:pPr>
  </w:style>
  <w:style w:type="paragraph" w:customStyle="1" w:styleId="ListAlpha2">
    <w:name w:val="List Alpha 2"/>
    <w:basedOn w:val="List2"/>
    <w:rsid w:val="00A611B7"/>
    <w:pPr>
      <w:numPr>
        <w:numId w:val="7"/>
      </w:numPr>
    </w:pPr>
  </w:style>
  <w:style w:type="paragraph" w:styleId="List3">
    <w:name w:val="List 3"/>
    <w:basedOn w:val="BodyText"/>
    <w:rsid w:val="00A611B7"/>
    <w:pPr>
      <w:tabs>
        <w:tab w:val="left" w:pos="1021"/>
      </w:tabs>
      <w:spacing w:before="60" w:after="60"/>
      <w:ind w:left="1020" w:hanging="340"/>
    </w:pPr>
  </w:style>
  <w:style w:type="paragraph" w:styleId="List4">
    <w:name w:val="List 4"/>
    <w:basedOn w:val="BodyText"/>
    <w:rsid w:val="00A611B7"/>
    <w:pPr>
      <w:tabs>
        <w:tab w:val="left" w:pos="1361"/>
      </w:tabs>
      <w:spacing w:before="60" w:after="60"/>
      <w:ind w:left="1361" w:hanging="340"/>
    </w:pPr>
  </w:style>
  <w:style w:type="paragraph" w:styleId="List5">
    <w:name w:val="List 5"/>
    <w:basedOn w:val="BodyText"/>
    <w:rsid w:val="00A611B7"/>
    <w:pPr>
      <w:tabs>
        <w:tab w:val="left" w:pos="1701"/>
      </w:tabs>
      <w:spacing w:before="60" w:after="60"/>
      <w:ind w:left="1701" w:hanging="340"/>
    </w:pPr>
  </w:style>
  <w:style w:type="paragraph" w:styleId="ListBullet3">
    <w:name w:val="List Bullet 3"/>
    <w:basedOn w:val="List3"/>
    <w:rsid w:val="00A611B7"/>
    <w:pPr>
      <w:numPr>
        <w:numId w:val="14"/>
      </w:numPr>
      <w:tabs>
        <w:tab w:val="clear" w:pos="1021"/>
      </w:tabs>
      <w:ind w:left="1037" w:hanging="357"/>
    </w:pPr>
  </w:style>
  <w:style w:type="paragraph" w:styleId="ListBullet4">
    <w:name w:val="List Bullet 4"/>
    <w:basedOn w:val="List4"/>
    <w:rsid w:val="00A611B7"/>
    <w:pPr>
      <w:numPr>
        <w:numId w:val="2"/>
      </w:numPr>
    </w:pPr>
  </w:style>
  <w:style w:type="paragraph" w:styleId="ListBullet5">
    <w:name w:val="List Bullet 5"/>
    <w:basedOn w:val="List5"/>
    <w:rsid w:val="00A611B7"/>
    <w:pPr>
      <w:numPr>
        <w:numId w:val="3"/>
      </w:numPr>
    </w:pPr>
  </w:style>
  <w:style w:type="paragraph" w:styleId="ListContinue2">
    <w:name w:val="List Continue 2"/>
    <w:basedOn w:val="List2"/>
    <w:rsid w:val="00A611B7"/>
    <w:pPr>
      <w:ind w:firstLine="0"/>
    </w:pPr>
  </w:style>
  <w:style w:type="paragraph" w:styleId="ListContinue3">
    <w:name w:val="List Continue 3"/>
    <w:basedOn w:val="List3"/>
    <w:rsid w:val="00A611B7"/>
    <w:pPr>
      <w:ind w:left="1021" w:firstLine="0"/>
    </w:pPr>
  </w:style>
  <w:style w:type="paragraph" w:styleId="ListContinue4">
    <w:name w:val="List Continue 4"/>
    <w:basedOn w:val="List4"/>
    <w:rsid w:val="00A611B7"/>
    <w:pPr>
      <w:ind w:firstLine="0"/>
    </w:pPr>
  </w:style>
  <w:style w:type="paragraph" w:styleId="ListContinue5">
    <w:name w:val="List Continue 5"/>
    <w:basedOn w:val="List5"/>
    <w:rsid w:val="00A611B7"/>
    <w:pPr>
      <w:ind w:firstLine="0"/>
    </w:pPr>
  </w:style>
  <w:style w:type="paragraph" w:styleId="ListNumber3">
    <w:name w:val="List Number 3"/>
    <w:basedOn w:val="List3"/>
    <w:rsid w:val="00A611B7"/>
    <w:pPr>
      <w:numPr>
        <w:numId w:val="4"/>
      </w:numPr>
    </w:pPr>
  </w:style>
  <w:style w:type="paragraph" w:styleId="ListNumber4">
    <w:name w:val="List Number 4"/>
    <w:basedOn w:val="List4"/>
    <w:rsid w:val="00A611B7"/>
    <w:pPr>
      <w:numPr>
        <w:numId w:val="5"/>
      </w:numPr>
    </w:pPr>
  </w:style>
  <w:style w:type="paragraph" w:styleId="ListNumber5">
    <w:name w:val="List Number 5"/>
    <w:basedOn w:val="List5"/>
    <w:rsid w:val="00A611B7"/>
    <w:pPr>
      <w:numPr>
        <w:numId w:val="6"/>
      </w:numPr>
    </w:pPr>
  </w:style>
  <w:style w:type="paragraph" w:styleId="BlockText">
    <w:name w:val="Block Text"/>
    <w:basedOn w:val="Normal"/>
    <w:rsid w:val="00A611B7"/>
    <w:pPr>
      <w:spacing w:after="120"/>
      <w:ind w:left="1440" w:right="1440"/>
    </w:pPr>
  </w:style>
  <w:style w:type="character" w:customStyle="1" w:styleId="Subscript">
    <w:name w:val="Subscript"/>
    <w:basedOn w:val="DefaultParagraphFont"/>
    <w:rsid w:val="00A611B7"/>
    <w:rPr>
      <w:sz w:val="16"/>
      <w:vertAlign w:val="subscript"/>
    </w:rPr>
  </w:style>
  <w:style w:type="character" w:customStyle="1" w:styleId="Superscript">
    <w:name w:val="Superscript"/>
    <w:basedOn w:val="DefaultParagraphFont"/>
    <w:rsid w:val="00A611B7"/>
    <w:rPr>
      <w:sz w:val="16"/>
      <w:vertAlign w:val="superscript"/>
    </w:rPr>
  </w:style>
  <w:style w:type="character" w:customStyle="1" w:styleId="Symbols">
    <w:name w:val="Symbols"/>
    <w:basedOn w:val="DefaultParagraphFont"/>
    <w:rsid w:val="00A611B7"/>
    <w:rPr>
      <w:rFonts w:ascii="Symbol" w:hAnsi="Symbol"/>
    </w:rPr>
  </w:style>
  <w:style w:type="character" w:customStyle="1" w:styleId="MenuOptions">
    <w:name w:val="Menu Options"/>
    <w:basedOn w:val="DefaultParagraphFont"/>
    <w:rsid w:val="00A611B7"/>
    <w:rPr>
      <w:rFonts w:ascii="Arial Narrow" w:hAnsi="Arial Narrow"/>
      <w:smallCaps/>
    </w:rPr>
  </w:style>
  <w:style w:type="character" w:customStyle="1" w:styleId="Buttons">
    <w:name w:val="Buttons"/>
    <w:basedOn w:val="DefaultParagraphFont"/>
    <w:rsid w:val="00A611B7"/>
    <w:rPr>
      <w:b/>
    </w:rPr>
  </w:style>
  <w:style w:type="character" w:customStyle="1" w:styleId="Underlined">
    <w:name w:val="Underlined"/>
    <w:basedOn w:val="DefaultParagraphFont"/>
    <w:rsid w:val="00A611B7"/>
    <w:rPr>
      <w:u w:val="single"/>
    </w:rPr>
  </w:style>
  <w:style w:type="paragraph" w:customStyle="1" w:styleId="TableBodyTextRight">
    <w:name w:val="Table Body Text Right"/>
    <w:basedOn w:val="TableBodyText"/>
    <w:rsid w:val="00A611B7"/>
    <w:pPr>
      <w:widowControl w:val="0"/>
      <w:autoSpaceDE w:val="0"/>
      <w:autoSpaceDN w:val="0"/>
      <w:adjustRightInd w:val="0"/>
      <w:jc w:val="right"/>
    </w:pPr>
    <w:rPr>
      <w:rFonts w:cs="Arial"/>
      <w:szCs w:val="18"/>
    </w:rPr>
  </w:style>
  <w:style w:type="paragraph" w:customStyle="1" w:styleId="CopyrightText">
    <w:name w:val="Copyright Text"/>
    <w:basedOn w:val="BodyText"/>
    <w:rsid w:val="00A611B7"/>
    <w:rPr>
      <w:sz w:val="18"/>
    </w:rPr>
  </w:style>
  <w:style w:type="paragraph" w:customStyle="1" w:styleId="BodySmallRight">
    <w:name w:val="Body Small Right"/>
    <w:basedOn w:val="BodyTextRight"/>
    <w:rsid w:val="00A611B7"/>
    <w:rPr>
      <w:sz w:val="18"/>
      <w:szCs w:val="18"/>
    </w:rPr>
  </w:style>
  <w:style w:type="paragraph" w:customStyle="1" w:styleId="MarginEdition">
    <w:name w:val="Margin Edition"/>
    <w:basedOn w:val="MarginNote"/>
    <w:rsid w:val="00A611B7"/>
    <w:pPr>
      <w:spacing w:before="0" w:after="0"/>
    </w:pPr>
    <w:rPr>
      <w:rFonts w:ascii="Times New Roman" w:hAnsi="Times New Roman"/>
      <w:color w:val="999999"/>
    </w:rPr>
  </w:style>
  <w:style w:type="paragraph" w:customStyle="1" w:styleId="Spacer">
    <w:name w:val="Spacer"/>
    <w:basedOn w:val="Normal"/>
    <w:rsid w:val="00A611B7"/>
    <w:rPr>
      <w:sz w:val="2"/>
      <w:szCs w:val="2"/>
    </w:rPr>
  </w:style>
  <w:style w:type="character" w:customStyle="1" w:styleId="Small">
    <w:name w:val="Small"/>
    <w:basedOn w:val="DefaultParagraphFont"/>
    <w:rsid w:val="00A611B7"/>
    <w:rPr>
      <w:sz w:val="16"/>
    </w:rPr>
  </w:style>
  <w:style w:type="paragraph" w:customStyle="1" w:styleId="WideTable">
    <w:name w:val="Wide Table"/>
    <w:basedOn w:val="Normal"/>
    <w:rsid w:val="00A611B7"/>
    <w:pPr>
      <w:ind w:left="-1418"/>
    </w:pPr>
    <w:rPr>
      <w:sz w:val="2"/>
      <w:szCs w:val="2"/>
    </w:rPr>
  </w:style>
  <w:style w:type="character" w:styleId="PageNumber">
    <w:name w:val="page number"/>
    <w:basedOn w:val="DefaultParagraphFont"/>
    <w:rsid w:val="00A611B7"/>
  </w:style>
  <w:style w:type="paragraph" w:styleId="Quote">
    <w:name w:val="Quote"/>
    <w:basedOn w:val="Heading1"/>
    <w:link w:val="QuoteChar"/>
    <w:qFormat/>
    <w:rsid w:val="00A611B7"/>
    <w:rPr>
      <w:b w:val="0"/>
      <w:sz w:val="72"/>
      <w:szCs w:val="72"/>
      <w:lang w:val="en-NZ"/>
    </w:rPr>
  </w:style>
  <w:style w:type="character" w:customStyle="1" w:styleId="QuoteChar">
    <w:name w:val="Quote Char"/>
    <w:basedOn w:val="DefaultParagraphFont"/>
    <w:link w:val="Quote"/>
    <w:rsid w:val="00A61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1B7"/>
    <w:pPr>
      <w:pageBreakBefore/>
    </w:pPr>
  </w:style>
  <w:style w:type="paragraph" w:customStyle="1" w:styleId="Border">
    <w:name w:val="Border"/>
    <w:basedOn w:val="Normal"/>
    <w:qFormat/>
    <w:rsid w:val="00A611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1B7"/>
    <w:rPr>
      <w:b/>
      <w:bCs/>
      <w:i/>
      <w:iCs/>
      <w:color w:val="auto"/>
    </w:rPr>
  </w:style>
  <w:style w:type="paragraph" w:styleId="IntenseQuote">
    <w:name w:val="Intense Quote"/>
    <w:basedOn w:val="Normal"/>
    <w:next w:val="Normal"/>
    <w:link w:val="IntenseQuoteChar"/>
    <w:uiPriority w:val="30"/>
    <w:qFormat/>
    <w:rsid w:val="00A611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1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1B7"/>
    <w:rPr>
      <w:smallCaps/>
      <w:color w:val="auto"/>
      <w:u w:val="single"/>
    </w:rPr>
  </w:style>
  <w:style w:type="character" w:styleId="IntenseReference">
    <w:name w:val="Intense Reference"/>
    <w:basedOn w:val="DefaultParagraphFont"/>
    <w:uiPriority w:val="32"/>
    <w:qFormat/>
    <w:rsid w:val="00A611B7"/>
    <w:rPr>
      <w:b/>
      <w:bCs/>
      <w:smallCaps/>
      <w:color w:val="auto"/>
      <w:spacing w:val="5"/>
      <w:u w:val="single"/>
    </w:rPr>
  </w:style>
  <w:style w:type="paragraph" w:customStyle="1" w:styleId="2ColumnHeading">
    <w:name w:val="2Column Heading"/>
    <w:basedOn w:val="BodyText"/>
    <w:qFormat/>
    <w:rsid w:val="00A611B7"/>
    <w:pPr>
      <w:spacing w:after="60"/>
      <w:ind w:left="-2268"/>
    </w:pPr>
    <w:rPr>
      <w:b/>
    </w:rPr>
  </w:style>
  <w:style w:type="paragraph" w:customStyle="1" w:styleId="Heading1TOC">
    <w:name w:val="Heading1 TOC"/>
    <w:basedOn w:val="Normal"/>
    <w:qFormat/>
    <w:rsid w:val="00A611B7"/>
    <w:pPr>
      <w:spacing w:before="240" w:after="120"/>
    </w:pPr>
    <w:rPr>
      <w:rFonts w:ascii="Times New Roman" w:hAnsi="Times New Roman"/>
      <w:b/>
      <w:sz w:val="32"/>
    </w:rPr>
  </w:style>
  <w:style w:type="paragraph" w:customStyle="1" w:styleId="Heading2TOC">
    <w:name w:val="Heading2 TOC"/>
    <w:basedOn w:val="Normal"/>
    <w:qFormat/>
    <w:rsid w:val="00A611B7"/>
    <w:pPr>
      <w:spacing w:before="240" w:after="60"/>
    </w:pPr>
    <w:rPr>
      <w:rFonts w:ascii="Times New Roman" w:hAnsi="Times New Roman"/>
      <w:b/>
      <w:sz w:val="28"/>
    </w:rPr>
  </w:style>
  <w:style w:type="character" w:customStyle="1" w:styleId="Underline">
    <w:name w:val="Underline"/>
    <w:basedOn w:val="DefaultParagraphFont"/>
    <w:qFormat/>
    <w:rsid w:val="00A611B7"/>
    <w:rPr>
      <w:u w:val="single"/>
    </w:rPr>
  </w:style>
  <w:style w:type="character" w:customStyle="1" w:styleId="BoldandItalics">
    <w:name w:val="Bold and Italics"/>
    <w:qFormat/>
    <w:rsid w:val="00A611B7"/>
    <w:rPr>
      <w:b/>
      <w:i/>
      <w:u w:val="none"/>
    </w:rPr>
  </w:style>
  <w:style w:type="paragraph" w:styleId="BalloonText">
    <w:name w:val="Balloon Text"/>
    <w:basedOn w:val="Normal"/>
    <w:link w:val="BalloonTextChar"/>
    <w:rsid w:val="00A611B7"/>
    <w:rPr>
      <w:rFonts w:ascii="Tahoma" w:hAnsi="Tahoma" w:cs="Tahoma"/>
      <w:sz w:val="16"/>
      <w:szCs w:val="16"/>
    </w:rPr>
  </w:style>
  <w:style w:type="character" w:customStyle="1" w:styleId="BalloonTextChar">
    <w:name w:val="Balloon Text Char"/>
    <w:basedOn w:val="DefaultParagraphFont"/>
    <w:link w:val="BalloonText"/>
    <w:rsid w:val="00A611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1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1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921</Words>
  <Characters>5810</Characters>
  <Application>Microsoft Office Word</Application>
  <DocSecurity>0</DocSecurity>
  <Lines>210</Lines>
  <Paragraphs>88</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MEM18010C Perform equipment condition monitoring and recording</dc:title>
  <dc:subject>Approved</dc:subject>
  <dc:creator>Manufacturing Skills Australia</dc:creator>
  <cp:keywords>Release: 2</cp:keywords>
  <dc:description>Copyright © 1996-2007 Author-it Software Corporation Ltd., all rights reserved.</dc:description>
  <cp:lastModifiedBy>Dennis Urbans</cp:lastModifiedBy>
  <cp:revision>3</cp:revision>
  <dcterms:created xsi:type="dcterms:W3CDTF">2012-05-27T01:51:00Z</dcterms:created>
  <dcterms:modified xsi:type="dcterms:W3CDTF">2012-05-27T01:51:00Z</dcterms:modified>
</cp:coreProperties>
</file>