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D79" w:rsidP="00BF3D79">
      <w:pPr>
        <w:pStyle w:val="Title"/>
      </w:pPr>
      <w:bookmarkStart w:id="0" w:name="_GoBack"/>
      <w:bookmarkEnd w:id="0"/>
      <w:r>
        <w:fldChar w:fldCharType="begin"/>
      </w:r>
      <w:r>
        <w:instrText xml:space="preserve"> TITLE   \* MERGEFORMAT </w:instrText>
      </w:r>
      <w:r>
        <w:fldChar w:fldCharType="separate"/>
      </w:r>
      <w:r>
        <w:t>MEM15021C Conduct audits of servicing licensees and public weighbridge licensees</w:t>
      </w:r>
      <w:r>
        <w:fldChar w:fldCharType="end"/>
      </w:r>
    </w:p>
    <w:p w:rsidR="00BF3D79" w:rsidP="00BF3D79">
      <w:pPr>
        <w:pStyle w:val="Version"/>
        <w:sectPr w:rsidSect="00123A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3ADE" w:rsidP="00123ADE">
      <w:pPr>
        <w:pStyle w:val="SuperHeading"/>
      </w:pPr>
      <w:r w:rsidRPr="00123ADE">
        <w:t>MEM15021C Conduct audits of servicing licensees and public weighbridge licensees</w:t>
      </w:r>
    </w:p>
    <w:p w:rsidR="00000000" w:rsidRPr="00123ADE" w:rsidP="00123ADE">
      <w:pPr>
        <w:pStyle w:val="Heading1"/>
      </w:pPr>
      <w:bookmarkStart w:id="1" w:name="O_272203"/>
      <w:bookmarkEnd w:id="1"/>
      <w:r w:rsidRPr="00123ADE">
        <w:t>Modification History</w:t>
      </w:r>
    </w:p>
    <w:p w:rsidR="00000000" w:rsidRPr="00123ADE" w:rsidP="00123ADE">
      <w:pPr>
        <w:pStyle w:val="BodyText"/>
      </w:pPr>
      <w:r w:rsidRPr="00123ADE">
        <w:t>Not Applicable</w:t>
      </w:r>
    </w:p>
    <w:p w:rsidR="00000000" w:rsidRPr="00123ADE" w:rsidP="00123ADE">
      <w:pPr>
        <w:pStyle w:val="AllowPageBreak"/>
      </w:pPr>
    </w:p>
    <w:p w:rsidR="00000000" w:rsidRPr="00123ADE" w:rsidP="00123ADE">
      <w:pPr>
        <w:pStyle w:val="Heading1"/>
      </w:pPr>
      <w:bookmarkStart w:id="2" w:name="O_211859"/>
      <w:bookmarkEnd w:id="2"/>
      <w:r w:rsidRPr="00123ADE">
        <w:t>Unit Descriptor</w:t>
      </w:r>
    </w:p>
    <w:tbl>
      <w:tblPr>
        <w:tblW w:w="0" w:type="auto"/>
        <w:tblLayout w:type="fixed"/>
        <w:tblCellMar>
          <w:left w:w="62" w:type="dxa"/>
          <w:right w:w="62" w:type="dxa"/>
        </w:tblCellMar>
        <w:tblLook w:val="0000"/>
      </w:tblPr>
      <w:tblGrid>
        <w:gridCol w:w="2656"/>
        <w:gridCol w:w="5866"/>
      </w:tblGrid>
      <w:tr w:rsidTr="00BF3D79">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BodyText"/>
            </w:pPr>
            <w:r w:rsidRPr="00123ADE">
              <w:t>The unit covers auditing the work undertaken by servicing licensees/certifiers and the operations undertaken by public weighbridge licensees.</w:t>
            </w:r>
          </w:p>
        </w:tc>
      </w:tr>
    </w:tbl>
    <w:p w:rsidR="00BF3D79" w:rsidP="00123ADE">
      <w:pPr>
        <w:pStyle w:val="BodyText"/>
      </w:pPr>
    </w:p>
    <w:p w:rsidR="00BF3D79" w:rsidP="00123ADE">
      <w:pPr>
        <w:pStyle w:val="BodyText"/>
      </w:pPr>
    </w:p>
    <w:p w:rsidR="00000000" w:rsidRPr="00123ADE" w:rsidP="00123ADE">
      <w:pPr>
        <w:pStyle w:val="Heading1"/>
      </w:pPr>
      <w:bookmarkStart w:id="3" w:name="O_211863"/>
      <w:bookmarkEnd w:id="3"/>
      <w:r w:rsidRPr="00123ADE">
        <w:t>Application of the Unit</w:t>
      </w:r>
    </w:p>
    <w:tbl>
      <w:tblPr>
        <w:tblW w:w="0" w:type="auto"/>
        <w:tblLayout w:type="fixed"/>
        <w:tblCellMar>
          <w:left w:w="62" w:type="dxa"/>
          <w:right w:w="62" w:type="dxa"/>
        </w:tblCellMar>
        <w:tblLook w:val="0000"/>
      </w:tblPr>
      <w:tblGrid>
        <w:gridCol w:w="2743"/>
        <w:gridCol w:w="5779"/>
      </w:tblGrid>
      <w:tr w:rsidTr="00BF3D7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BodyText"/>
            </w:pPr>
            <w:r w:rsidRPr="00123ADE">
              <w:t>This unit is designed for those performing trade measurement audits on public and/or private trade measurement licensees.</w:t>
            </w:r>
          </w:p>
          <w:p w:rsidR="00000000" w:rsidRPr="00123ADE" w:rsidP="00123ADE">
            <w:pPr>
              <w:pStyle w:val="BodyText"/>
            </w:pPr>
            <w:r w:rsidRPr="00123ADE">
              <w:t>This unit applies to personnel working for or appointed by a trade measuring administering authority. In encompasses audits of measuri</w:t>
            </w:r>
            <w:r w:rsidRPr="00123ADE">
              <w:t>ng instruments and documentation supplied by licensee, such as instrument accuracy, instrument markings, and adherence to legislative requirements and test procedures.</w:t>
            </w:r>
          </w:p>
          <w:p w:rsidR="00000000" w:rsidRPr="00123ADE" w:rsidP="00123ADE">
            <w:pPr>
              <w:pStyle w:val="BodyText"/>
            </w:pPr>
            <w:r w:rsidRPr="00123ADE">
              <w:t>Reference material includes uniform test procedures, inspector handbook, NSC certificate</w:t>
            </w:r>
            <w:r w:rsidRPr="00123ADE">
              <w:t>s of approval, and organisational procedures and guidelines.</w:t>
            </w:r>
          </w:p>
          <w:p w:rsidR="00000000" w:rsidRPr="00123ADE" w:rsidP="00123ADE">
            <w:pPr>
              <w:pStyle w:val="BodyText"/>
            </w:pPr>
            <w:r w:rsidRPr="00123ADE">
              <w:t>Workplace, health and safety considerations include storage of test equipment, site/premises conditions, manual handling techniques, and specific safety equipment and clothing.</w:t>
            </w:r>
          </w:p>
          <w:p w:rsidR="00000000" w:rsidRPr="00123ADE" w:rsidP="00123ADE">
            <w:pPr>
              <w:pStyle w:val="BodyText"/>
            </w:pPr>
            <w:r w:rsidRPr="00123ADE">
              <w:t>If use and mainten</w:t>
            </w:r>
            <w:r w:rsidRPr="00123ADE">
              <w:t>ance of reference standards is required, Unit MEM15017C (Use and maintain reference standards) should also be selected.</w:t>
            </w:r>
          </w:p>
          <w:p w:rsidR="00000000" w:rsidRPr="00123ADE" w:rsidP="00123ADE">
            <w:pPr>
              <w:pStyle w:val="BodyText"/>
            </w:pPr>
            <w:r w:rsidRPr="00123ADE">
              <w:t>If verification/certification is required, Unit MEM15020C (Perform verification/certification or in-service inspection) should also be s</w:t>
            </w:r>
            <w:r w:rsidRPr="00123ADE">
              <w:t>elected.</w:t>
            </w:r>
          </w:p>
          <w:p w:rsidR="00000000" w:rsidRPr="00123ADE" w:rsidP="00123ADE">
            <w:pPr>
              <w:pStyle w:val="BodyText"/>
            </w:pPr>
          </w:p>
          <w:p w:rsidR="00000000" w:rsidRPr="00123ADE" w:rsidP="00123ADE">
            <w:pPr>
              <w:pStyle w:val="BodyText"/>
            </w:pPr>
            <w:r w:rsidRPr="00123ADE">
              <w:rPr>
                <w:rStyle w:val="SpecialBold"/>
              </w:rPr>
              <w:t>Band</w:t>
            </w:r>
            <w:r w:rsidRPr="00123ADE">
              <w:t>:</w:t>
            </w:r>
            <w:r w:rsidRPr="00123ADE">
              <w:tab/>
            </w:r>
            <w:r w:rsidRPr="00123ADE">
              <w:rPr>
                <w:rStyle w:val="SpecialBold"/>
              </w:rPr>
              <w:t>B</w:t>
            </w:r>
          </w:p>
          <w:p w:rsidR="00000000" w:rsidRPr="00123ADE" w:rsidP="00123ADE">
            <w:pPr>
              <w:pStyle w:val="BodyText"/>
            </w:pPr>
            <w:r w:rsidRPr="00123ADE">
              <w:rPr>
                <w:rStyle w:val="SpecialBold"/>
              </w:rPr>
              <w:t>Unit Weight</w:t>
            </w:r>
            <w:r w:rsidRPr="00123ADE">
              <w:t>:</w:t>
            </w:r>
            <w:r w:rsidRPr="00123ADE">
              <w:tab/>
            </w:r>
            <w:r w:rsidRPr="00123ADE">
              <w:rPr>
                <w:rStyle w:val="SpecialBold"/>
              </w:rPr>
              <w:t>4</w:t>
            </w:r>
          </w:p>
        </w:tc>
      </w:tr>
    </w:tbl>
    <w:p w:rsidR="00BF3D79" w:rsidP="00123ADE">
      <w:pPr>
        <w:pStyle w:val="BodyText"/>
      </w:pPr>
    </w:p>
    <w:p w:rsidR="00BF3D79" w:rsidP="00123ADE">
      <w:pPr>
        <w:pStyle w:val="BodyText"/>
      </w:pPr>
    </w:p>
    <w:p w:rsidR="00000000" w:rsidRPr="00123ADE" w:rsidP="00123ADE">
      <w:pPr>
        <w:pStyle w:val="Heading1"/>
      </w:pPr>
      <w:bookmarkStart w:id="4" w:name="O_280463"/>
      <w:bookmarkEnd w:id="4"/>
      <w:r w:rsidRPr="00123ADE">
        <w:t>Licensing/Regulatory Information</w:t>
      </w:r>
    </w:p>
    <w:p w:rsidR="00000000" w:rsidRPr="00123ADE" w:rsidP="00123ADE">
      <w:pPr>
        <w:pStyle w:val="BodyText"/>
      </w:pPr>
      <w:r w:rsidRPr="00123ADE">
        <w:t>Not Applicable</w:t>
      </w:r>
    </w:p>
    <w:p w:rsidR="00000000" w:rsidRPr="00123ADE" w:rsidP="00123ADE">
      <w:pPr>
        <w:pStyle w:val="AllowPageBreak"/>
      </w:pPr>
    </w:p>
    <w:p w:rsidR="00000000" w:rsidRPr="00123ADE" w:rsidP="00123ADE">
      <w:pPr>
        <w:pStyle w:val="Heading1"/>
      </w:pPr>
      <w:bookmarkStart w:id="5" w:name="O_211861"/>
      <w:bookmarkEnd w:id="5"/>
      <w:r w:rsidRPr="00123ADE">
        <w:t>Pre-Requisites</w:t>
      </w:r>
    </w:p>
    <w:tbl>
      <w:tblPr>
        <w:tblW w:w="0" w:type="auto"/>
        <w:tblLayout w:type="fixed"/>
        <w:tblCellMar>
          <w:left w:w="62" w:type="dxa"/>
          <w:right w:w="62" w:type="dxa"/>
        </w:tblCellMar>
        <w:tblLook w:val="0000"/>
      </w:tblPr>
      <w:tblGrid>
        <w:gridCol w:w="2707"/>
        <w:gridCol w:w="2207"/>
        <w:gridCol w:w="3608"/>
      </w:tblGrid>
      <w:tr w:rsidTr="00BF3D79">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Prerequisite units</w:t>
            </w:r>
          </w:p>
        </w:tc>
        <w:tc>
          <w:tcPr>
            <w:tcW w:w="58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p>
        </w:tc>
      </w:tr>
      <w:tr w:rsidTr="00BF3D79">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t>MEM09002B</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t>Interpret technical drawing</w:t>
            </w:r>
          </w:p>
        </w:tc>
      </w:tr>
      <w:tr w:rsidTr="00BF3D79">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t>MEM11011B</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t>Undertake manual handling</w:t>
            </w:r>
          </w:p>
        </w:tc>
      </w:tr>
      <w:tr w:rsidTr="00BF3D79">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t>MEM16004B</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t>Perform internal/external customer service</w:t>
            </w:r>
          </w:p>
        </w:tc>
      </w:tr>
      <w:tr w:rsidTr="00BF3D79">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t>MEM18001C</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BodyText"/>
            </w:pPr>
            <w:r w:rsidRPr="00123ADE">
              <w:t>Use hand tools</w:t>
            </w:r>
          </w:p>
        </w:tc>
      </w:tr>
    </w:tbl>
    <w:p w:rsidR="00BF3D79" w:rsidP="00123ADE">
      <w:pPr>
        <w:pStyle w:val="BodyText"/>
      </w:pPr>
    </w:p>
    <w:p w:rsidR="00BF3D79" w:rsidP="00123ADE">
      <w:pPr>
        <w:pStyle w:val="BodyText"/>
      </w:pPr>
    </w:p>
    <w:p w:rsidR="00000000" w:rsidRPr="00123ADE" w:rsidP="00123ADE">
      <w:pPr>
        <w:pStyle w:val="Heading1"/>
      </w:pPr>
      <w:bookmarkStart w:id="6" w:name="O_211860"/>
      <w:bookmarkEnd w:id="6"/>
      <w:r w:rsidRPr="00123ADE">
        <w:t>Employability Skills Information</w:t>
      </w:r>
    </w:p>
    <w:tbl>
      <w:tblPr>
        <w:tblW w:w="0" w:type="auto"/>
        <w:tblLayout w:type="fixed"/>
        <w:tblCellMar>
          <w:left w:w="62" w:type="dxa"/>
          <w:right w:w="62" w:type="dxa"/>
        </w:tblCellMar>
        <w:tblLook w:val="0000"/>
      </w:tblPr>
      <w:tblGrid>
        <w:gridCol w:w="2802"/>
        <w:gridCol w:w="5720"/>
      </w:tblGrid>
      <w:tr w:rsidTr="00BF3D7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BodyText"/>
            </w:pPr>
            <w:r w:rsidRPr="00123ADE">
              <w:t>This unit contains employability skills.</w:t>
            </w:r>
          </w:p>
        </w:tc>
      </w:tr>
    </w:tbl>
    <w:p w:rsidR="00BF3D79" w:rsidP="00123ADE">
      <w:pPr>
        <w:pStyle w:val="BodyText"/>
      </w:pPr>
    </w:p>
    <w:p w:rsidR="00BF3D79" w:rsidP="00123ADE">
      <w:pPr>
        <w:pStyle w:val="BodyText"/>
      </w:pPr>
    </w:p>
    <w:p w:rsidR="00000000" w:rsidRPr="00123ADE" w:rsidP="00123ADE">
      <w:pPr>
        <w:pStyle w:val="Heading1"/>
      </w:pPr>
      <w:bookmarkStart w:id="7" w:name="O_290249"/>
      <w:bookmarkEnd w:id="7"/>
      <w:r w:rsidRPr="00123ADE">
        <w:t>Elements and Performance Criteria Pre-Content</w:t>
      </w:r>
    </w:p>
    <w:tbl>
      <w:tblPr>
        <w:tblW w:w="0" w:type="auto"/>
        <w:tblLayout w:type="fixed"/>
        <w:tblCellMar>
          <w:left w:w="62" w:type="dxa"/>
          <w:right w:w="62" w:type="dxa"/>
        </w:tblCellMar>
        <w:tblLook w:val="0000"/>
      </w:tblPr>
      <w:tblGrid>
        <w:gridCol w:w="2550"/>
        <w:gridCol w:w="5972"/>
      </w:tblGrid>
      <w:tr w:rsidTr="00BF3D7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BodyText"/>
            </w:pPr>
            <w:r w:rsidRPr="00123ADE">
              <w:t>Performance criteria describe the performance needed to demonstrate achievement of the element. Where bold italicised text is used, further information is detailed in the required skills and</w:t>
            </w:r>
            <w:r w:rsidRPr="00123ADE">
              <w:t xml:space="preserve"> knowledge section and the range statement. Assessment of performance is to be consistent with the evidence guide.</w:t>
            </w:r>
          </w:p>
        </w:tc>
      </w:tr>
    </w:tbl>
    <w:p w:rsidR="00000000" w:rsidRPr="00123ADE" w:rsidP="00123ADE">
      <w:pPr>
        <w:pStyle w:val="BodyText"/>
      </w:pPr>
    </w:p>
    <w:p w:rsidR="00000000" w:rsidRPr="00123ADE" w:rsidP="00123ADE">
      <w:pPr>
        <w:pStyle w:val="AllowPageBreak"/>
      </w:pPr>
    </w:p>
    <w:p w:rsidR="00000000" w:rsidRPr="00123ADE" w:rsidP="00123ADE">
      <w:pPr>
        <w:pStyle w:val="Heading1"/>
      </w:pPr>
      <w:bookmarkStart w:id="8" w:name="O_236916"/>
      <w:bookmarkEnd w:id="8"/>
      <w:r w:rsidRPr="00123ADE">
        <w:t>Elements and Performance Criteria</w:t>
      </w:r>
    </w:p>
    <w:tbl>
      <w:tblPr>
        <w:tblW w:w="0" w:type="auto"/>
        <w:tblLayout w:type="fixed"/>
        <w:tblCellMar>
          <w:left w:w="62" w:type="dxa"/>
          <w:right w:w="62" w:type="dxa"/>
        </w:tblCellMar>
        <w:tblLook w:val="0000"/>
      </w:tblPr>
      <w:tblGrid>
        <w:gridCol w:w="2550"/>
        <w:gridCol w:w="5972"/>
      </w:tblGrid>
      <w:tr w:rsidTr="00BF3D79">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BodyText"/>
            </w:pPr>
            <w:r w:rsidRPr="00123ADE">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PERFORMANCE CRITERIA</w:t>
            </w:r>
          </w:p>
        </w:tc>
      </w:tr>
      <w:tr w:rsidTr="00BF3D7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List"/>
              <w:rPr>
                <w:lang w:val="en-NZ"/>
              </w:rPr>
            </w:pPr>
            <w:r w:rsidRPr="00123ADE">
              <w:t>1.</w:t>
            </w:r>
            <w:r w:rsidRPr="00123ADE">
              <w:tab/>
            </w:r>
            <w:r w:rsidRPr="00123ADE">
              <w:t>Explain the licensing system for servicing licensees and public weighbridges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List2"/>
            </w:pPr>
            <w:r w:rsidRPr="00123ADE">
              <w:t>1.1.</w:t>
            </w:r>
            <w:r w:rsidRPr="00123ADE">
              <w:tab/>
              <w:t>Major components of the licensing system for certification of measuring instruments are described.</w:t>
            </w:r>
          </w:p>
          <w:p w:rsidR="00000000" w:rsidRPr="00123ADE" w:rsidP="00123ADE">
            <w:pPr>
              <w:pStyle w:val="List2"/>
            </w:pPr>
            <w:r w:rsidRPr="00123ADE">
              <w:t>1.2.</w:t>
            </w:r>
            <w:r w:rsidRPr="00123ADE">
              <w:tab/>
              <w:t>Major components of the licensing system for public weighbridges are d</w:t>
            </w:r>
            <w:r w:rsidRPr="00123ADE">
              <w:t>escribed.</w:t>
            </w:r>
          </w:p>
          <w:p w:rsidR="00000000" w:rsidP="00123ADE">
            <w:pPr>
              <w:pStyle w:val="List2"/>
              <w:rPr>
                <w:lang w:val="en-NZ"/>
              </w:rPr>
            </w:pPr>
            <w:r w:rsidRPr="00123ADE">
              <w:t>1.3.</w:t>
            </w:r>
            <w:r w:rsidRPr="00123ADE">
              <w:tab/>
              <w:t>The requirements for issuing servicing and public weighbridge licences in accordance with legislation and organisational policies/ procedures are described.</w:t>
            </w:r>
          </w:p>
        </w:tc>
      </w:tr>
      <w:tr w:rsidTr="00BF3D7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List"/>
              <w:rPr>
                <w:lang w:val="en-NZ"/>
              </w:rPr>
            </w:pPr>
            <w:r w:rsidRPr="00123ADE">
              <w:t>2.</w:t>
            </w:r>
            <w:r w:rsidRPr="00123ADE">
              <w:tab/>
              <w:t>Identify measuring instruments for audit of certifiers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List2"/>
            </w:pPr>
            <w:r w:rsidRPr="00123ADE">
              <w:t>2.1.</w:t>
            </w:r>
            <w:r w:rsidRPr="00123ADE">
              <w:tab/>
              <w:t>Servicing licensee's</w:t>
            </w:r>
            <w:r w:rsidRPr="00123ADE">
              <w:t xml:space="preserve"> documentation is monitored for compliance with organisational requirements.</w:t>
            </w:r>
          </w:p>
          <w:p w:rsidR="00000000" w:rsidP="00123ADE">
            <w:pPr>
              <w:pStyle w:val="List2"/>
              <w:rPr>
                <w:lang w:val="en-NZ"/>
              </w:rPr>
            </w:pPr>
            <w:r w:rsidRPr="00123ADE">
              <w:t>2.2.</w:t>
            </w:r>
            <w:r w:rsidRPr="00123ADE">
              <w:tab/>
              <w:t>Organisational procedures are used to generate a list of measuring instruments to be audited.</w:t>
            </w:r>
          </w:p>
        </w:tc>
      </w:tr>
      <w:tr w:rsidTr="00BF3D7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List"/>
              <w:rPr>
                <w:lang w:val="en-NZ"/>
              </w:rPr>
            </w:pPr>
            <w:r w:rsidRPr="00123ADE">
              <w:t>3.</w:t>
            </w:r>
            <w:r w:rsidRPr="00123ADE">
              <w:tab/>
              <w:t>Conduct performance audits on certifiers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List2"/>
            </w:pPr>
            <w:r w:rsidRPr="00123ADE">
              <w:t>3.1.</w:t>
            </w:r>
            <w:r w:rsidRPr="00123ADE">
              <w:tab/>
              <w:t>Inspection of measuring instru</w:t>
            </w:r>
            <w:r w:rsidRPr="00123ADE">
              <w:t>ments is performed to determine compliance in accordance with legislation and organisational procedures.</w:t>
            </w:r>
          </w:p>
          <w:p w:rsidR="00000000" w:rsidRPr="00123ADE" w:rsidP="00123ADE">
            <w:pPr>
              <w:pStyle w:val="List2"/>
            </w:pPr>
            <w:r w:rsidRPr="00123ADE">
              <w:t>3.2.</w:t>
            </w:r>
            <w:r w:rsidRPr="00123ADE">
              <w:tab/>
              <w:t>The certifier's procedures and documentation are assessed to ensure legislative requirements are met.</w:t>
            </w:r>
          </w:p>
          <w:p w:rsidR="00000000" w:rsidRPr="00123ADE" w:rsidP="00123ADE">
            <w:pPr>
              <w:pStyle w:val="List2"/>
            </w:pPr>
            <w:r w:rsidRPr="00123ADE">
              <w:t>3.3.</w:t>
            </w:r>
            <w:r w:rsidRPr="00123ADE">
              <w:tab/>
              <w:t>Results of audit are recorded in the or</w:t>
            </w:r>
            <w:r w:rsidRPr="00123ADE">
              <w:t>ganisation's information system.</w:t>
            </w:r>
          </w:p>
          <w:p w:rsidR="00000000" w:rsidP="00123ADE">
            <w:pPr>
              <w:pStyle w:val="List2"/>
              <w:rPr>
                <w:lang w:val="en-NZ"/>
              </w:rPr>
            </w:pPr>
            <w:r w:rsidRPr="00123ADE">
              <w:t>3.4.</w:t>
            </w:r>
            <w:r w:rsidRPr="00123ADE">
              <w:tab/>
              <w:t>Action required to remedy non-compliance is determined and applied.</w:t>
            </w:r>
          </w:p>
        </w:tc>
      </w:tr>
      <w:tr w:rsidTr="00BF3D7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List"/>
              <w:rPr>
                <w:lang w:val="en-NZ"/>
              </w:rPr>
            </w:pPr>
            <w:r w:rsidRPr="00123ADE">
              <w:t>4.</w:t>
            </w:r>
            <w:r w:rsidRPr="00123ADE">
              <w:tab/>
              <w:t>Examine public weighbridge licensee's operations for compliance with legislation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List2"/>
            </w:pPr>
            <w:r w:rsidRPr="00123ADE">
              <w:t>4.1.</w:t>
            </w:r>
            <w:r w:rsidRPr="00123ADE">
              <w:tab/>
            </w:r>
            <w:r w:rsidRPr="00123ADE">
              <w:t>Licensee's documentation is assessed for compliance with legislation and organisational requirements.</w:t>
            </w:r>
          </w:p>
          <w:p w:rsidR="00000000" w:rsidRPr="00123ADE" w:rsidP="00123ADE">
            <w:pPr>
              <w:pStyle w:val="List2"/>
            </w:pPr>
            <w:r w:rsidRPr="00123ADE">
              <w:t>4.2.</w:t>
            </w:r>
            <w:r w:rsidRPr="00123ADE">
              <w:tab/>
              <w:t>The operator's ability to undertake public weighbridge duties is observed for compliance with legislation.</w:t>
            </w:r>
          </w:p>
          <w:p w:rsidR="00000000" w:rsidRPr="00123ADE" w:rsidP="00123ADE">
            <w:pPr>
              <w:pStyle w:val="List2"/>
            </w:pPr>
            <w:r w:rsidRPr="00123ADE">
              <w:t>4.3.</w:t>
            </w:r>
            <w:r w:rsidRPr="00123ADE">
              <w:tab/>
              <w:t>Action required to remedy non-complia</w:t>
            </w:r>
            <w:r w:rsidRPr="00123ADE">
              <w:t>nce is determined and applied.</w:t>
            </w:r>
          </w:p>
        </w:tc>
      </w:tr>
    </w:tbl>
    <w:p w:rsidR="00BF3D79" w:rsidP="00123ADE">
      <w:pPr>
        <w:pStyle w:val="BodyText"/>
      </w:pPr>
    </w:p>
    <w:p w:rsidR="00BF3D79" w:rsidP="00123ADE">
      <w:pPr>
        <w:pStyle w:val="BodyText"/>
      </w:pPr>
    </w:p>
    <w:p w:rsidR="00000000" w:rsidRPr="00123ADE" w:rsidP="00123ADE">
      <w:pPr>
        <w:pStyle w:val="Heading1"/>
      </w:pPr>
      <w:bookmarkStart w:id="9" w:name="O_260866"/>
      <w:bookmarkEnd w:id="9"/>
      <w:r w:rsidRPr="00123ADE">
        <w:t>Required Skills and Knowledge</w:t>
      </w:r>
    </w:p>
    <w:tbl>
      <w:tblPr>
        <w:tblW w:w="0" w:type="auto"/>
        <w:tblLayout w:type="fixed"/>
        <w:tblCellMar>
          <w:left w:w="62" w:type="dxa"/>
          <w:right w:w="62" w:type="dxa"/>
        </w:tblCellMar>
        <w:tblLook w:val="0000"/>
      </w:tblPr>
      <w:tblGrid>
        <w:gridCol w:w="8522"/>
      </w:tblGrid>
      <w:tr w:rsidTr="00BF3D7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REQUIRED SKILLS AND KNOWLEDGE</w:t>
            </w:r>
          </w:p>
        </w:tc>
      </w:tr>
      <w:tr w:rsidTr="00BF3D7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t>This section describes the skills and knowledge required for this unit.</w:t>
            </w:r>
          </w:p>
        </w:tc>
      </w:tr>
      <w:tr w:rsidTr="00BF3D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Required skills</w:t>
            </w:r>
          </w:p>
        </w:tc>
      </w:tr>
      <w:tr w:rsidTr="00BF3D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BodyText"/>
            </w:pPr>
            <w:r w:rsidRPr="00123ADE">
              <w:t>Look for evidence that confirms skills in:</w:t>
            </w:r>
          </w:p>
          <w:p w:rsidR="00000000" w:rsidRPr="00123ADE" w:rsidP="00123ADE">
            <w:pPr>
              <w:pStyle w:val="ListBullet"/>
            </w:pPr>
            <w:r w:rsidRPr="00123ADE">
              <w:t>evaluating servicing licensee's documentation for completeness of information</w:t>
            </w:r>
          </w:p>
          <w:p w:rsidR="00000000" w:rsidRPr="00123ADE" w:rsidP="00123ADE">
            <w:pPr>
              <w:pStyle w:val="ListBullet"/>
            </w:pPr>
            <w:r w:rsidRPr="00123ADE">
              <w:t>monitoring lodgement of servicing licensee's documentation</w:t>
            </w:r>
          </w:p>
          <w:p w:rsidR="00000000" w:rsidRPr="00123ADE" w:rsidP="00123ADE">
            <w:pPr>
              <w:pStyle w:val="ListBullet"/>
            </w:pPr>
            <w:r w:rsidRPr="00123ADE">
              <w:t>selecting instruments for auditing</w:t>
            </w:r>
          </w:p>
          <w:p w:rsidR="00000000" w:rsidRPr="00123ADE" w:rsidP="00123ADE">
            <w:pPr>
              <w:pStyle w:val="ListBullet"/>
            </w:pPr>
            <w:r w:rsidRPr="00123ADE">
              <w:t>scheduling audits</w:t>
            </w:r>
          </w:p>
          <w:p w:rsidR="00000000" w:rsidRPr="00123ADE" w:rsidP="00123ADE">
            <w:pPr>
              <w:pStyle w:val="ListBullet"/>
            </w:pPr>
            <w:r w:rsidRPr="00123ADE">
              <w:t>testing measuring instr</w:t>
            </w:r>
            <w:r w:rsidRPr="00123ADE">
              <w:t>uments</w:t>
            </w:r>
          </w:p>
          <w:p w:rsidR="00000000" w:rsidRPr="00123ADE" w:rsidP="00123ADE">
            <w:pPr>
              <w:pStyle w:val="ListBullet"/>
            </w:pPr>
            <w:r w:rsidRPr="00123ADE">
              <w:t>recording instrument errors</w:t>
            </w:r>
          </w:p>
          <w:p w:rsidR="00000000" w:rsidRPr="00123ADE" w:rsidP="00123ADE">
            <w:pPr>
              <w:pStyle w:val="ListBullet"/>
            </w:pPr>
            <w:r w:rsidRPr="00123ADE">
              <w:t>assessing the certifier's documentation for accuracy against the instrument certified and legislative requirements</w:t>
            </w:r>
          </w:p>
          <w:p w:rsidR="00000000" w:rsidRPr="00123ADE" w:rsidP="00123ADE">
            <w:pPr>
              <w:pStyle w:val="ListBullet"/>
            </w:pPr>
            <w:r w:rsidRPr="00123ADE">
              <w:t>completing audit reports</w:t>
            </w:r>
          </w:p>
          <w:p w:rsidR="00000000" w:rsidRPr="00123ADE" w:rsidP="00123ADE">
            <w:pPr>
              <w:pStyle w:val="ListBullet"/>
            </w:pPr>
            <w:r w:rsidRPr="00123ADE">
              <w:t xml:space="preserve">determining and implementing appropriate remedial action </w:t>
            </w:r>
          </w:p>
          <w:p w:rsidR="00000000" w:rsidRPr="00123ADE" w:rsidP="00123ADE">
            <w:pPr>
              <w:pStyle w:val="ListBullet"/>
            </w:pPr>
            <w:r w:rsidRPr="00123ADE">
              <w:t>assessing licensee's do</w:t>
            </w:r>
            <w:r w:rsidRPr="00123ADE">
              <w:t>cumentation for accuracy against the public weighbridge instrument certified and legislative requirements</w:t>
            </w:r>
          </w:p>
          <w:p w:rsidR="00000000" w:rsidRPr="00123ADE" w:rsidP="00123ADE">
            <w:pPr>
              <w:pStyle w:val="ListBullet"/>
            </w:pPr>
            <w:r w:rsidRPr="00123ADE">
              <w:t>assessing signage, certificates and public weighbridge tickets for accuracy</w:t>
            </w:r>
          </w:p>
          <w:p w:rsidR="00000000" w:rsidRPr="00123ADE" w:rsidP="00123ADE">
            <w:pPr>
              <w:pStyle w:val="ListBullet"/>
            </w:pPr>
            <w:r w:rsidRPr="00123ADE">
              <w:t>evaluating the operator's ability to perform the duties of a public weighe</w:t>
            </w:r>
            <w:r w:rsidRPr="00123ADE">
              <w:t>r</w:t>
            </w:r>
          </w:p>
          <w:p w:rsidR="00000000" w:rsidP="00123ADE">
            <w:pPr>
              <w:pStyle w:val="ListBullet"/>
              <w:rPr>
                <w:lang w:val="en-NZ"/>
              </w:rPr>
            </w:pPr>
            <w:r w:rsidRPr="00123ADE">
              <w:t>investigating and reporting detected breaches</w:t>
            </w:r>
          </w:p>
        </w:tc>
      </w:tr>
      <w:tr w:rsidTr="00BF3D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Required knowledge</w:t>
            </w:r>
          </w:p>
        </w:tc>
      </w:tr>
      <w:tr w:rsidTr="00BF3D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BodyText"/>
            </w:pPr>
            <w:r w:rsidRPr="00123ADE">
              <w:t>Look for evidence that confirms knowledge of:</w:t>
            </w:r>
          </w:p>
          <w:p w:rsidR="00000000" w:rsidRPr="00123ADE" w:rsidP="00123ADE">
            <w:pPr>
              <w:pStyle w:val="ListBullet"/>
            </w:pPr>
            <w:r w:rsidRPr="00123ADE">
              <w:t>major components of the licensing system for certification of measuring instruments such as legislative requirements, eligibility, conditions</w:t>
            </w:r>
            <w:r w:rsidRPr="00123ADE">
              <w:t xml:space="preserve"> of licence including provision of competent employees, provision of reference standards, use of test procedures, and use of reporting documentation and quality assurance systems</w:t>
            </w:r>
          </w:p>
          <w:p w:rsidR="00000000" w:rsidRPr="00123ADE" w:rsidP="00123ADE">
            <w:pPr>
              <w:pStyle w:val="ListBullet"/>
            </w:pPr>
            <w:r w:rsidRPr="00123ADE">
              <w:t>major components of the licensing system for public weighbridge such as legis</w:t>
            </w:r>
            <w:r w:rsidRPr="00123ADE">
              <w:t>lative requirements, eligibility, conditions of licence including provision of competent employees, maintaining accuracy of the public weighbridge, weighing methods and obligations, and use of reporting documentation</w:t>
            </w:r>
          </w:p>
          <w:p w:rsidR="00000000" w:rsidRPr="00123ADE" w:rsidP="00123ADE">
            <w:pPr>
              <w:pStyle w:val="ListBullet"/>
            </w:pPr>
            <w:r w:rsidRPr="00123ADE">
              <w:t>the process for issuing servicing</w:t>
            </w:r>
            <w:r w:rsidRPr="00123ADE">
              <w:t xml:space="preserve"> and public weighbridge licences, specifically the activities undertaken by trade measurement personnel</w:t>
            </w:r>
          </w:p>
          <w:p w:rsidR="00000000" w:rsidRPr="00123ADE" w:rsidP="00123ADE">
            <w:pPr>
              <w:pStyle w:val="ListBullet"/>
            </w:pPr>
            <w:r w:rsidRPr="00123ADE">
              <w:t>the process for handling incomplete forms</w:t>
            </w:r>
          </w:p>
          <w:p w:rsidR="00000000" w:rsidRPr="00123ADE" w:rsidP="00123ADE">
            <w:pPr>
              <w:pStyle w:val="ListBullet"/>
            </w:pPr>
            <w:r w:rsidRPr="00123ADE">
              <w:t>inspection variations between verification inspection and an audit inspection</w:t>
            </w:r>
          </w:p>
          <w:p w:rsidR="00000000" w:rsidRPr="00123ADE" w:rsidP="00123ADE">
            <w:pPr>
              <w:pStyle w:val="ListBullet"/>
            </w:pPr>
            <w:r w:rsidRPr="00123ADE">
              <w:t>reporting variations for a range</w:t>
            </w:r>
            <w:r w:rsidRPr="00123ADE">
              <w:t xml:space="preserve"> of instruments</w:t>
            </w:r>
          </w:p>
          <w:p w:rsidR="00000000" w:rsidRPr="00123ADE" w:rsidP="00123ADE">
            <w:pPr>
              <w:pStyle w:val="ListBullet"/>
            </w:pPr>
            <w:r w:rsidRPr="00123ADE">
              <w:t>requirements to complete a public weighbridge ticket</w:t>
            </w:r>
          </w:p>
          <w:p w:rsidR="00000000" w:rsidRPr="00123ADE" w:rsidP="00123ADE">
            <w:pPr>
              <w:pStyle w:val="ListBullet"/>
            </w:pPr>
            <w:r w:rsidRPr="00123ADE">
              <w:t>methods to complete a public weighbridge ticket</w:t>
            </w:r>
          </w:p>
          <w:p w:rsidR="00000000" w:rsidRPr="00123ADE" w:rsidP="00123ADE">
            <w:pPr>
              <w:pStyle w:val="ListBullet"/>
            </w:pPr>
            <w:r w:rsidRPr="00123ADE">
              <w:t>requirements for authority to operate a public weighbridge</w:t>
            </w:r>
          </w:p>
          <w:p w:rsidR="00000000" w:rsidRPr="00123ADE" w:rsidP="00123ADE">
            <w:pPr>
              <w:pStyle w:val="ListBullet"/>
            </w:pPr>
            <w:r w:rsidRPr="00123ADE">
              <w:t>duties of operator of public weighbridge</w:t>
            </w:r>
          </w:p>
          <w:p w:rsidR="00000000" w:rsidRPr="00123ADE" w:rsidP="00123ADE">
            <w:pPr>
              <w:pStyle w:val="ListBullet"/>
            </w:pPr>
            <w:r w:rsidRPr="00123ADE">
              <w:t>options to remedy non-compliance</w:t>
            </w:r>
          </w:p>
        </w:tc>
      </w:tr>
    </w:tbl>
    <w:p w:rsidR="00BF3D79" w:rsidP="00123ADE">
      <w:pPr>
        <w:pStyle w:val="BodyText"/>
      </w:pPr>
    </w:p>
    <w:p w:rsidR="00BF3D79" w:rsidP="00123ADE">
      <w:pPr>
        <w:pStyle w:val="BodyText"/>
      </w:pPr>
    </w:p>
    <w:p w:rsidR="00000000" w:rsidRPr="00123ADE" w:rsidP="00123ADE">
      <w:pPr>
        <w:pStyle w:val="AllowPageBreak"/>
      </w:pPr>
    </w:p>
    <w:p w:rsidR="00000000" w:rsidRPr="00123ADE" w:rsidP="00123ADE">
      <w:pPr>
        <w:pStyle w:val="Heading1"/>
      </w:pPr>
      <w:bookmarkStart w:id="10" w:name="O_244900"/>
      <w:bookmarkEnd w:id="10"/>
      <w:r w:rsidRPr="00123ADE">
        <w:t>Evidence Guide</w:t>
      </w:r>
    </w:p>
    <w:tbl>
      <w:tblPr>
        <w:tblW w:w="9570" w:type="dxa"/>
        <w:tblLayout w:type="fixed"/>
        <w:tblCellMar>
          <w:left w:w="62" w:type="dxa"/>
          <w:right w:w="62" w:type="dxa"/>
        </w:tblCellMar>
        <w:tblLook w:val="0000"/>
      </w:tblPr>
      <w:tblGrid>
        <w:gridCol w:w="3908"/>
        <w:gridCol w:w="5662"/>
      </w:tblGrid>
      <w:tr w:rsidTr="00BF3D7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EVIDENCE GUIDE</w:t>
            </w:r>
          </w:p>
        </w:tc>
      </w:tr>
      <w:tr w:rsidTr="00BF3D7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t xml:space="preserve">The evidence guide provides advice on assessment and must be read in conjunction with the performance criteria, required skills and knowledge, </w:t>
            </w:r>
            <w:r w:rsidRPr="00123ADE">
              <w:t>range statement and the Assessment Guidelines for the Training Package.</w:t>
            </w:r>
          </w:p>
        </w:tc>
      </w:tr>
      <w:tr w:rsidTr="00BF3D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t xml:space="preserve">A person who demonstrates competency in this unit must be able to conduct audits of servicing licensees and public weighbridge licensees. Competency </w:t>
            </w:r>
            <w:r w:rsidRPr="00123ADE">
              <w:t>in this unit cannot be claimed until all prerequisites have been satisfied.</w:t>
            </w:r>
          </w:p>
        </w:tc>
      </w:tr>
      <w:tr w:rsidTr="00BF3D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t>Assessors must be satisfied that the candidate can competently and consistently perfor</w:t>
            </w:r>
            <w:r w:rsidRPr="00123ADE">
              <w:t>m all elements of the unit as specified by the criteria, including required knowledge, and be capable of applying the competency in new and different situations and contexts.</w:t>
            </w:r>
          </w:p>
        </w:tc>
      </w:tr>
      <w:tr w:rsidTr="00BF3D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BodyText"/>
            </w:pPr>
            <w:r w:rsidRPr="00123ADE">
              <w:t>This unit may be assessed on th</w:t>
            </w:r>
            <w:r w:rsidRPr="00123ADE">
              <w:t>e job, off the job or a combination of both on and off the job. Where assessment occurs off the job, that is the candidate is not in productive work, then an appropriate simulation must be used where the range of conditions reflects realistic workplace sit</w:t>
            </w:r>
            <w:r w:rsidRPr="00123ADE">
              <w:t xml:space="preserve">uations. The competencies covered by this unit would be demonstrated by an individual working alone or as part of a team. The assessment environment should not disadvantage the candidate. </w:t>
            </w:r>
          </w:p>
          <w:p w:rsidR="00000000" w:rsidP="00123ADE">
            <w:pPr>
              <w:pStyle w:val="BodyText"/>
              <w:rPr>
                <w:lang w:val="en-NZ"/>
              </w:rPr>
            </w:pPr>
            <w:r w:rsidRPr="00123ADE">
              <w:t>This unit could be assessed in conjunction with any other units add</w:t>
            </w:r>
            <w:r w:rsidRPr="00123ADE">
              <w:t xml:space="preserve">ressing the safety, quality, communication, materials handling, recording and reporting associated with conducting audits of servicing licensees and public weighbridge licensees, or other units requiring the exercise of the skills and knowledge covered by </w:t>
            </w:r>
            <w:r w:rsidRPr="00123ADE">
              <w:t>this unit.</w:t>
            </w:r>
          </w:p>
        </w:tc>
      </w:tr>
      <w:tr w:rsidTr="00BF3D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t xml:space="preserve">Assessors should gather a range of evidence that is valid, sufficient, current and authentic. Evidence can be gathered through a variety of ways including direct observation, supervisor's reports, project work, samples and </w:t>
            </w:r>
            <w:r w:rsidRPr="00123ADE">
              <w:t>questioning. Questioning techniques should not require language, literacy and numeracy skills beyond those required in this unit of competency. The candidate must have access to all tools, equipment, materials and documentation required. The candidate must</w:t>
            </w:r>
            <w:r w:rsidRPr="00123ADE">
              <w:t xml:space="preserve"> be permitted to refer to any relevant workplace procedures, product and manufacturing specifications, codes, standards, manuals and reference materials.</w:t>
            </w:r>
          </w:p>
        </w:tc>
      </w:tr>
      <w:tr w:rsidTr="00BF3D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BodyText"/>
            </w:pPr>
          </w:p>
        </w:tc>
      </w:tr>
    </w:tbl>
    <w:p w:rsidR="00BF3D79" w:rsidP="00123ADE">
      <w:pPr>
        <w:pStyle w:val="BodyText"/>
      </w:pPr>
    </w:p>
    <w:p w:rsidR="00BF3D79" w:rsidP="00123ADE">
      <w:pPr>
        <w:pStyle w:val="BodyText"/>
      </w:pPr>
    </w:p>
    <w:p w:rsidR="00000000" w:rsidRPr="00123ADE" w:rsidP="00123ADE">
      <w:pPr>
        <w:pStyle w:val="Heading1"/>
      </w:pPr>
      <w:bookmarkStart w:id="11" w:name="O_252883"/>
      <w:bookmarkEnd w:id="11"/>
      <w:r w:rsidRPr="00123ADE">
        <w:t>Range Statement</w:t>
      </w:r>
    </w:p>
    <w:tbl>
      <w:tblPr>
        <w:tblW w:w="0" w:type="auto"/>
        <w:tblLayout w:type="fixed"/>
        <w:tblCellMar>
          <w:left w:w="62" w:type="dxa"/>
          <w:right w:w="62" w:type="dxa"/>
        </w:tblCellMar>
        <w:tblLook w:val="0000"/>
      </w:tblPr>
      <w:tblGrid>
        <w:gridCol w:w="3581"/>
        <w:gridCol w:w="4941"/>
      </w:tblGrid>
      <w:tr w:rsidTr="00BF3D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RANGE STATEMENT</w:t>
            </w:r>
          </w:p>
        </w:tc>
      </w:tr>
      <w:tr w:rsidTr="00BF3D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t>The range statement relates to the unit of competency as a whole. It allows for different work environments and situations that may affect performance. Bold italicised wording, if used in the performance criteria, is detailed below. Essential operating con</w:t>
            </w:r>
            <w:r w:rsidRPr="00123ADE">
              <w:t>ditions that may be present with training and assessment (depending on the work situation, needs of the candidate, accessibility of the item, and local industry and regional contexts) may also be included.</w:t>
            </w:r>
          </w:p>
        </w:tc>
      </w:tr>
      <w:tr w:rsidTr="00BF3D79">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Legislation and organisational policies</w:t>
            </w:r>
            <w:r w:rsidRPr="00123ADE">
              <w:t>/</w:t>
            </w:r>
            <w:r w:rsidRPr="00123ADE">
              <w:rPr>
                <w:rStyle w:val="SpecialBold"/>
              </w:rPr>
              <w:t>procedur</w:t>
            </w:r>
            <w:r w:rsidRPr="00123ADE">
              <w:rPr>
                <w:rStyle w:val="SpecialBold"/>
              </w:rPr>
              <w:t>es</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t>Enabling legislation, workplace, health and safety practices, organisational policies and procedures, licensing conditions, enforcement policies</w:t>
            </w:r>
          </w:p>
        </w:tc>
      </w:tr>
      <w:tr w:rsidTr="00BF3D79">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Documentation</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BodyText"/>
            </w:pPr>
            <w:r w:rsidRPr="00123ADE">
              <w:t>Application forms, certification forms, non-compliance forms, public weighbridge tickets, documents as specified by legislation, educational material/brochures, batch test histograms</w:t>
            </w:r>
          </w:p>
        </w:tc>
      </w:tr>
    </w:tbl>
    <w:p w:rsidR="00BF3D79" w:rsidP="00123ADE">
      <w:pPr>
        <w:pStyle w:val="BodyText"/>
      </w:pPr>
    </w:p>
    <w:p w:rsidR="00BF3D79" w:rsidP="00123ADE">
      <w:pPr>
        <w:pStyle w:val="BodyText"/>
      </w:pPr>
    </w:p>
    <w:p w:rsidR="00000000" w:rsidRPr="00123ADE" w:rsidP="00123ADE">
      <w:pPr>
        <w:pStyle w:val="Heading1"/>
      </w:pPr>
      <w:bookmarkStart w:id="12" w:name="O_211865"/>
      <w:bookmarkEnd w:id="12"/>
      <w:r w:rsidRPr="00123ADE">
        <w:t>Unit Sector(s)</w:t>
      </w:r>
    </w:p>
    <w:tbl>
      <w:tblPr>
        <w:tblW w:w="0" w:type="auto"/>
        <w:tblLayout w:type="fixed"/>
        <w:tblCellMar>
          <w:left w:w="62" w:type="dxa"/>
          <w:right w:w="62" w:type="dxa"/>
        </w:tblCellMar>
        <w:tblLook w:val="0000"/>
      </w:tblPr>
      <w:tblGrid>
        <w:gridCol w:w="2654"/>
        <w:gridCol w:w="5868"/>
      </w:tblGrid>
      <w:tr w:rsidTr="00BF3D7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BodyText"/>
            </w:pPr>
          </w:p>
        </w:tc>
      </w:tr>
    </w:tbl>
    <w:p w:rsidR="00BF3D79" w:rsidP="00123ADE">
      <w:pPr>
        <w:pStyle w:val="BodyText"/>
      </w:pPr>
    </w:p>
    <w:p w:rsidR="00BF3D79" w:rsidP="00123ADE">
      <w:pPr>
        <w:pStyle w:val="BodyText"/>
      </w:pPr>
    </w:p>
    <w:p w:rsidR="00000000" w:rsidRPr="00123ADE" w:rsidP="00123ADE">
      <w:pPr>
        <w:pStyle w:val="Heading1"/>
      </w:pPr>
      <w:bookmarkStart w:id="13" w:name="O_211862"/>
      <w:bookmarkEnd w:id="13"/>
      <w:r w:rsidRPr="00123ADE">
        <w:t>Co-requisite units</w:t>
      </w:r>
    </w:p>
    <w:tbl>
      <w:tblPr>
        <w:tblW w:w="0" w:type="auto"/>
        <w:tblLayout w:type="fixed"/>
        <w:tblCellMar>
          <w:left w:w="62" w:type="dxa"/>
          <w:right w:w="62" w:type="dxa"/>
        </w:tblCellMar>
        <w:tblLook w:val="0000"/>
      </w:tblPr>
      <w:tblGrid>
        <w:gridCol w:w="2641"/>
        <w:gridCol w:w="1322"/>
        <w:gridCol w:w="4559"/>
      </w:tblGrid>
      <w:tr w:rsidTr="00BF3D7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p>
        </w:tc>
      </w:tr>
      <w:tr w:rsidTr="00BF3D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p>
        </w:tc>
      </w:tr>
      <w:tr w:rsidTr="00BF3D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BodyText"/>
            </w:pPr>
          </w:p>
        </w:tc>
      </w:tr>
    </w:tbl>
    <w:p w:rsidR="00BF3D79" w:rsidP="00123ADE">
      <w:pPr>
        <w:pStyle w:val="BodyText"/>
      </w:pPr>
    </w:p>
    <w:p w:rsidR="00BF3D79" w:rsidP="00123ADE">
      <w:pPr>
        <w:pStyle w:val="BodyText"/>
      </w:pPr>
    </w:p>
    <w:p w:rsidR="00000000" w:rsidRPr="00123ADE" w:rsidP="00123ADE">
      <w:pPr>
        <w:pStyle w:val="Heading1"/>
      </w:pPr>
      <w:bookmarkStart w:id="14" w:name="O_211864"/>
      <w:bookmarkEnd w:id="14"/>
      <w:r w:rsidRPr="00123ADE">
        <w:t>Competency field</w:t>
      </w:r>
    </w:p>
    <w:tbl>
      <w:tblPr>
        <w:tblW w:w="0" w:type="auto"/>
        <w:tblLayout w:type="fixed"/>
        <w:tblCellMar>
          <w:left w:w="62" w:type="dxa"/>
          <w:right w:w="62" w:type="dxa"/>
        </w:tblCellMar>
        <w:tblLook w:val="0000"/>
      </w:tblPr>
      <w:tblGrid>
        <w:gridCol w:w="2778"/>
        <w:gridCol w:w="5744"/>
      </w:tblGrid>
      <w:tr w:rsidTr="00BF3D7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3ADE">
            <w:pPr>
              <w:pStyle w:val="BodyText"/>
              <w:rPr>
                <w:lang w:val="en-NZ"/>
              </w:rPr>
            </w:pPr>
            <w:r w:rsidRPr="00123AD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3ADE" w:rsidP="00123ADE">
            <w:pPr>
              <w:pStyle w:val="BodyText"/>
            </w:pPr>
            <w:r w:rsidRPr="00123ADE">
              <w:t>Quality</w:t>
            </w:r>
          </w:p>
        </w:tc>
      </w:tr>
    </w:tbl>
    <w:p w:rsidR="00BF3D79" w:rsidP="00123ADE">
      <w:pPr>
        <w:pStyle w:val="BodyText"/>
      </w:pPr>
    </w:p>
    <w:p w:rsidR="00BF3D79" w:rsidP="00123ADE">
      <w:pPr>
        <w:pStyle w:val="BodyText"/>
      </w:pPr>
    </w:p>
    <w:p w:rsidR="00000000" w:rsidRPr="00123ADE" w:rsidP="00123ADE"/>
    <w:sectPr w:rsidSect="00123A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3D79" w:rsidP="00BF3D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79" w:rsidP="00123A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F3D79" w:rsidP="00123A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3D79" w:rsidP="00123A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DE" w:rsidRPr="00BF3D79" w:rsidP="00BF3D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79" w:rsidRPr="002D2AF8" w:rsidP="00123ADE">
    <w:pPr>
      <w:pStyle w:val="Header"/>
      <w:framePr w:wrap="around"/>
    </w:pPr>
    <w:r>
      <w:fldChar w:fldCharType="begin"/>
    </w:r>
    <w:r>
      <w:instrText xml:space="preserve"> TITLE   \* MERGEFORMAT </w:instrText>
    </w:r>
    <w:r>
      <w:fldChar w:fldCharType="separate"/>
    </w:r>
    <w:r>
      <w:t>MEM15021C Conduct audits of servicing licensees and public weighbridge licensees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F3D79" w:rsidP="00123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A21C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ADE"/>
    <w:pPr>
      <w:spacing w:before="360" w:after="60"/>
      <w:outlineLvl w:val="0"/>
    </w:pPr>
    <w:rPr>
      <w:sz w:val="32"/>
    </w:rPr>
  </w:style>
  <w:style w:type="paragraph" w:styleId="Heading2">
    <w:name w:val="heading 2"/>
    <w:basedOn w:val="HeadingBase"/>
    <w:next w:val="BodyText"/>
    <w:link w:val="Heading2Char"/>
    <w:qFormat/>
    <w:rsid w:val="00123ADE"/>
    <w:pPr>
      <w:keepLines/>
      <w:spacing w:before="240" w:after="120"/>
      <w:outlineLvl w:val="1"/>
    </w:pPr>
    <w:rPr>
      <w:sz w:val="28"/>
      <w:szCs w:val="40"/>
    </w:rPr>
  </w:style>
  <w:style w:type="paragraph" w:styleId="Heading3">
    <w:name w:val="heading 3"/>
    <w:basedOn w:val="HeadingBase"/>
    <w:next w:val="BodyText"/>
    <w:link w:val="Heading3Char"/>
    <w:qFormat/>
    <w:rsid w:val="00123ADE"/>
    <w:pPr>
      <w:spacing w:before="180" w:after="120"/>
      <w:outlineLvl w:val="2"/>
    </w:pPr>
    <w:rPr>
      <w:spacing w:val="-10"/>
      <w:kern w:val="32"/>
    </w:rPr>
  </w:style>
  <w:style w:type="paragraph" w:styleId="Heading4">
    <w:name w:val="heading 4"/>
    <w:basedOn w:val="HeadingBase"/>
    <w:next w:val="BodyText"/>
    <w:link w:val="Heading4Char"/>
    <w:qFormat/>
    <w:rsid w:val="00123ADE"/>
    <w:pPr>
      <w:spacing w:before="160" w:after="120"/>
      <w:outlineLvl w:val="3"/>
    </w:pPr>
    <w:rPr>
      <w:sz w:val="22"/>
    </w:rPr>
  </w:style>
  <w:style w:type="paragraph" w:styleId="Heading5">
    <w:name w:val="heading 5"/>
    <w:basedOn w:val="HeadingBase"/>
    <w:next w:val="Normal"/>
    <w:link w:val="Heading5Char"/>
    <w:qFormat/>
    <w:rsid w:val="00123ADE"/>
    <w:pPr>
      <w:spacing w:before="80"/>
      <w:outlineLvl w:val="4"/>
    </w:pPr>
    <w:rPr>
      <w:color w:val="918585"/>
      <w:sz w:val="20"/>
    </w:rPr>
  </w:style>
  <w:style w:type="paragraph" w:styleId="Heading6">
    <w:name w:val="heading 6"/>
    <w:basedOn w:val="HeadingBase"/>
    <w:next w:val="Normal"/>
    <w:link w:val="Heading6Char"/>
    <w:qFormat/>
    <w:rsid w:val="00123ADE"/>
    <w:pPr>
      <w:spacing w:before="60"/>
      <w:outlineLvl w:val="5"/>
    </w:pPr>
    <w:rPr>
      <w:color w:val="918585"/>
      <w:sz w:val="20"/>
    </w:rPr>
  </w:style>
  <w:style w:type="paragraph" w:styleId="Heading7">
    <w:name w:val="heading 7"/>
    <w:basedOn w:val="Normal"/>
    <w:next w:val="Normal"/>
    <w:link w:val="Heading7Char"/>
    <w:qFormat/>
    <w:rsid w:val="00123ADE"/>
    <w:pPr>
      <w:ind w:left="720"/>
      <w:outlineLvl w:val="6"/>
    </w:pPr>
    <w:rPr>
      <w:i/>
    </w:rPr>
  </w:style>
  <w:style w:type="paragraph" w:styleId="Heading8">
    <w:name w:val="heading 8"/>
    <w:basedOn w:val="Normal"/>
    <w:next w:val="Normal"/>
    <w:link w:val="Heading8Char"/>
    <w:qFormat/>
    <w:rsid w:val="00123ADE"/>
    <w:pPr>
      <w:ind w:left="720"/>
      <w:outlineLvl w:val="7"/>
    </w:pPr>
    <w:rPr>
      <w:i/>
    </w:rPr>
  </w:style>
  <w:style w:type="paragraph" w:styleId="Heading9">
    <w:name w:val="heading 9"/>
    <w:basedOn w:val="Normal"/>
    <w:next w:val="Normal"/>
    <w:link w:val="Heading9Char"/>
    <w:qFormat/>
    <w:rsid w:val="00123ADE"/>
    <w:pPr>
      <w:ind w:left="720"/>
      <w:outlineLvl w:val="8"/>
    </w:pPr>
    <w:rPr>
      <w:i/>
    </w:rPr>
  </w:style>
  <w:style w:type="character" w:default="1" w:styleId="DefaultParagraphFont">
    <w:name w:val="Default Paragraph Font"/>
    <w:uiPriority w:val="1"/>
    <w:unhideWhenUsed/>
    <w:rsid w:val="00123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ADE"/>
  </w:style>
  <w:style w:type="character" w:customStyle="1" w:styleId="Heading1Char">
    <w:name w:val="Heading 1 Char"/>
    <w:basedOn w:val="DefaultParagraphFont"/>
    <w:link w:val="Heading1"/>
    <w:rsid w:val="00123ADE"/>
    <w:rPr>
      <w:rFonts w:ascii="Times New Roman" w:eastAsia="Times New Roman" w:hAnsi="Times New Roman" w:cs="Times New Roman"/>
      <w:b/>
      <w:sz w:val="32"/>
      <w:szCs w:val="20"/>
      <w:lang w:eastAsia="en-US"/>
    </w:rPr>
  </w:style>
  <w:style w:type="paragraph" w:styleId="BodyText">
    <w:name w:val="Body Text"/>
    <w:basedOn w:val="Normal"/>
    <w:link w:val="BodyTextChar"/>
    <w:rsid w:val="00123A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3ADE"/>
    <w:rPr>
      <w:rFonts w:ascii="Times New Roman" w:eastAsia="Times New Roman" w:hAnsi="Times New Roman" w:cs="Times New Roman"/>
      <w:sz w:val="24"/>
      <w:lang w:eastAsia="en-US"/>
    </w:rPr>
  </w:style>
  <w:style w:type="paragraph" w:styleId="Footer">
    <w:name w:val="footer"/>
    <w:basedOn w:val="Normal"/>
    <w:link w:val="FooterChar"/>
    <w:rsid w:val="00123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ADE"/>
    <w:rPr>
      <w:rFonts w:ascii="Times New Roman" w:eastAsia="Times New Roman" w:hAnsi="Times New Roman" w:cs="Times New Roman"/>
      <w:sz w:val="16"/>
      <w:lang w:eastAsia="en-US"/>
    </w:rPr>
  </w:style>
  <w:style w:type="paragraph" w:styleId="List">
    <w:name w:val="List"/>
    <w:basedOn w:val="BodyText"/>
    <w:next w:val="BodyText"/>
    <w:rsid w:val="00123ADE"/>
    <w:pPr>
      <w:tabs>
        <w:tab w:val="left" w:pos="340"/>
      </w:tabs>
      <w:spacing w:before="60" w:after="60"/>
      <w:ind w:left="340" w:hanging="340"/>
    </w:pPr>
  </w:style>
  <w:style w:type="paragraph" w:styleId="ListBullet">
    <w:name w:val="List Bullet"/>
    <w:basedOn w:val="List"/>
    <w:rsid w:val="00123ADE"/>
    <w:pPr>
      <w:numPr>
        <w:numId w:val="12"/>
      </w:numPr>
      <w:tabs>
        <w:tab w:val="clear" w:pos="340"/>
      </w:tabs>
      <w:spacing w:before="40" w:after="40"/>
    </w:pPr>
  </w:style>
  <w:style w:type="character" w:customStyle="1" w:styleId="SpecialBold">
    <w:name w:val="Special Bold"/>
    <w:basedOn w:val="DefaultParagraphFont"/>
    <w:rsid w:val="00123ADE"/>
    <w:rPr>
      <w:b/>
      <w:spacing w:val="0"/>
    </w:rPr>
  </w:style>
  <w:style w:type="paragraph" w:customStyle="1" w:styleId="SuperHeading">
    <w:name w:val="SuperHeading"/>
    <w:basedOn w:val="Normal"/>
    <w:rsid w:val="00123ADE"/>
    <w:pPr>
      <w:spacing w:before="240" w:after="120"/>
      <w:outlineLvl w:val="0"/>
    </w:pPr>
    <w:rPr>
      <w:rFonts w:ascii="Times New Roman" w:hAnsi="Times New Roman"/>
      <w:b/>
      <w:sz w:val="28"/>
    </w:rPr>
  </w:style>
  <w:style w:type="paragraph" w:customStyle="1" w:styleId="AllowPageBreak">
    <w:name w:val="AllowPageBreak"/>
    <w:rsid w:val="00123A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3ADE"/>
    <w:pPr>
      <w:tabs>
        <w:tab w:val="left" w:pos="680"/>
      </w:tabs>
      <w:spacing w:before="60" w:after="60"/>
      <w:ind w:left="680" w:hanging="340"/>
    </w:pPr>
  </w:style>
  <w:style w:type="character" w:customStyle="1" w:styleId="Heading2Char">
    <w:name w:val="Heading 2 Char"/>
    <w:basedOn w:val="DefaultParagraphFont"/>
    <w:link w:val="Heading2"/>
    <w:rsid w:val="00123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ADE"/>
    <w:rPr>
      <w:rFonts w:ascii="Courier New" w:eastAsia="Times New Roman" w:hAnsi="Courier New" w:cs="Times New Roman"/>
      <w:i/>
      <w:szCs w:val="20"/>
      <w:lang w:eastAsia="en-US"/>
    </w:rPr>
  </w:style>
  <w:style w:type="paragraph" w:customStyle="1" w:styleId="HeadingBase">
    <w:name w:val="Heading Base"/>
    <w:rsid w:val="00123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ADE"/>
    <w:pPr>
      <w:tabs>
        <w:tab w:val="right" w:leader="dot" w:pos="9072"/>
      </w:tabs>
      <w:ind w:left="567"/>
    </w:pPr>
    <w:rPr>
      <w:szCs w:val="22"/>
    </w:rPr>
  </w:style>
  <w:style w:type="paragraph" w:customStyle="1" w:styleId="TOCBase">
    <w:name w:val="TOC Base"/>
    <w:rsid w:val="00123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ADE"/>
    <w:pPr>
      <w:tabs>
        <w:tab w:val="right" w:leader="dot" w:pos="9072"/>
      </w:tabs>
      <w:spacing w:before="40" w:after="40"/>
      <w:ind w:left="284"/>
    </w:pPr>
    <w:rPr>
      <w:rFonts w:ascii="Times New Roman" w:hAnsi="Times New Roman"/>
    </w:rPr>
  </w:style>
  <w:style w:type="paragraph" w:styleId="TOC1">
    <w:name w:val="toc 1"/>
    <w:basedOn w:val="TOCBase"/>
    <w:next w:val="Normal"/>
    <w:rsid w:val="00123A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3ADE"/>
    <w:pPr>
      <w:spacing w:before="5040"/>
      <w:jc w:val="center"/>
    </w:pPr>
    <w:rPr>
      <w:sz w:val="48"/>
      <w:szCs w:val="72"/>
      <w:lang w:val="en-US"/>
    </w:rPr>
  </w:style>
  <w:style w:type="character" w:customStyle="1" w:styleId="TitleChar">
    <w:name w:val="Title Char"/>
    <w:basedOn w:val="DefaultParagraphFont"/>
    <w:link w:val="Title"/>
    <w:rsid w:val="00123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ADE"/>
    <w:pPr>
      <w:tabs>
        <w:tab w:val="left" w:pos="3600"/>
        <w:tab w:val="left" w:pos="3958"/>
      </w:tabs>
    </w:pPr>
  </w:style>
  <w:style w:type="paragraph" w:customStyle="1" w:styleId="Note">
    <w:name w:val="Note"/>
    <w:basedOn w:val="BodyText"/>
    <w:rsid w:val="00123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ADE"/>
    <w:pPr>
      <w:framePr w:wrap="auto" w:hAnchor="text" w:y="6049"/>
    </w:pPr>
    <w:rPr>
      <w:color w:val="000000"/>
      <w:sz w:val="40"/>
    </w:rPr>
  </w:style>
  <w:style w:type="paragraph" w:customStyle="1" w:styleId="TOCTitle">
    <w:name w:val="TOCTitle"/>
    <w:basedOn w:val="Heading1"/>
    <w:rsid w:val="00123ADE"/>
    <w:pPr>
      <w:spacing w:after="240"/>
      <w:jc w:val="center"/>
      <w:outlineLvl w:val="9"/>
    </w:pPr>
    <w:rPr>
      <w:caps/>
    </w:rPr>
  </w:style>
  <w:style w:type="paragraph" w:customStyle="1" w:styleId="Version">
    <w:name w:val="Version"/>
    <w:rsid w:val="00123A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3ADE"/>
    <w:pPr>
      <w:numPr>
        <w:numId w:val="13"/>
      </w:numPr>
      <w:tabs>
        <w:tab w:val="clear" w:pos="680"/>
      </w:tabs>
    </w:pPr>
  </w:style>
  <w:style w:type="paragraph" w:styleId="Index1">
    <w:name w:val="index 1"/>
    <w:basedOn w:val="Normal"/>
    <w:next w:val="Normal"/>
    <w:semiHidden/>
    <w:rsid w:val="00123ADE"/>
    <w:pPr>
      <w:keepNext w:val="0"/>
      <w:tabs>
        <w:tab w:val="right" w:pos="4176"/>
      </w:tabs>
      <w:ind w:left="198" w:hanging="198"/>
    </w:pPr>
    <w:rPr>
      <w:rFonts w:ascii="Garamond" w:hAnsi="Garamond"/>
    </w:rPr>
  </w:style>
  <w:style w:type="paragraph" w:styleId="IndexHeading">
    <w:name w:val="index heading"/>
    <w:basedOn w:val="Normal"/>
    <w:next w:val="Index1"/>
    <w:semiHidden/>
    <w:rsid w:val="00123ADE"/>
    <w:pPr>
      <w:spacing w:before="120" w:after="120"/>
    </w:pPr>
    <w:rPr>
      <w:rFonts w:ascii="Arial" w:hAnsi="Arial"/>
      <w:b/>
      <w:color w:val="918585"/>
      <w:sz w:val="24"/>
    </w:rPr>
  </w:style>
  <w:style w:type="paragraph" w:styleId="Header">
    <w:name w:val="header"/>
    <w:basedOn w:val="Normal"/>
    <w:link w:val="HeaderChar"/>
    <w:rsid w:val="00123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ADE"/>
    <w:rPr>
      <w:rFonts w:ascii="Times New Roman" w:eastAsia="Times New Roman" w:hAnsi="Times New Roman" w:cs="Times New Roman"/>
      <w:sz w:val="16"/>
      <w:szCs w:val="20"/>
      <w:lang w:val="en-GB" w:eastAsia="en-US"/>
    </w:rPr>
  </w:style>
  <w:style w:type="paragraph" w:customStyle="1" w:styleId="Chapter">
    <w:name w:val="Chapter"/>
    <w:basedOn w:val="Normal"/>
    <w:rsid w:val="00123ADE"/>
    <w:pPr>
      <w:spacing w:before="240"/>
    </w:pPr>
    <w:rPr>
      <w:rFonts w:ascii="Times New Roman" w:hAnsi="Times New Roman"/>
      <w:smallCaps/>
      <w:spacing w:val="80"/>
      <w:sz w:val="28"/>
    </w:rPr>
  </w:style>
  <w:style w:type="paragraph" w:customStyle="1" w:styleId="InChapter">
    <w:name w:val="InChapter"/>
    <w:basedOn w:val="Heading3"/>
    <w:rsid w:val="00123ADE"/>
    <w:pPr>
      <w:spacing w:after="240"/>
      <w:outlineLvl w:val="9"/>
    </w:pPr>
    <w:rPr>
      <w:noProof/>
    </w:rPr>
  </w:style>
  <w:style w:type="paragraph" w:styleId="Index2">
    <w:name w:val="index 2"/>
    <w:basedOn w:val="Normal"/>
    <w:next w:val="Normal"/>
    <w:semiHidden/>
    <w:rsid w:val="00123ADE"/>
    <w:pPr>
      <w:tabs>
        <w:tab w:val="right" w:pos="4176"/>
      </w:tabs>
      <w:ind w:left="568" w:hanging="284"/>
    </w:pPr>
    <w:rPr>
      <w:rFonts w:ascii="Garamond" w:hAnsi="Garamond"/>
    </w:rPr>
  </w:style>
  <w:style w:type="paragraph" w:customStyle="1" w:styleId="Byline">
    <w:name w:val="Byline"/>
    <w:rsid w:val="00123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ADE"/>
    <w:pPr>
      <w:tabs>
        <w:tab w:val="clear" w:pos="3600"/>
        <w:tab w:val="clear" w:pos="3958"/>
      </w:tabs>
      <w:jc w:val="right"/>
    </w:pPr>
  </w:style>
  <w:style w:type="character" w:styleId="Emphasis">
    <w:name w:val="Emphasis"/>
    <w:basedOn w:val="DefaultParagraphFont"/>
    <w:qFormat/>
    <w:rsid w:val="00123ADE"/>
    <w:rPr>
      <w:i/>
    </w:rPr>
  </w:style>
  <w:style w:type="paragraph" w:styleId="Caption">
    <w:name w:val="caption"/>
    <w:basedOn w:val="BodyText"/>
    <w:next w:val="Normal"/>
    <w:qFormat/>
    <w:rsid w:val="00123ADE"/>
    <w:pPr>
      <w:framePr w:w="2268" w:hSpace="181" w:vSpace="181" w:wrap="around" w:vAnchor="text" w:hAnchor="page" w:x="1135" w:y="285" w:anchorLock="1"/>
    </w:pPr>
    <w:rPr>
      <w:i/>
    </w:rPr>
  </w:style>
  <w:style w:type="paragraph" w:customStyle="1" w:styleId="MiniTOCTitle">
    <w:name w:val="MiniTOCTitle"/>
    <w:basedOn w:val="Heading4"/>
    <w:rsid w:val="00123ADE"/>
    <w:pPr>
      <w:spacing w:before="240"/>
      <w:outlineLvl w:val="9"/>
    </w:pPr>
    <w:rPr>
      <w:noProof/>
      <w:sz w:val="24"/>
    </w:rPr>
  </w:style>
  <w:style w:type="paragraph" w:customStyle="1" w:styleId="MiniTOCItem">
    <w:name w:val="MiniTOCItem"/>
    <w:basedOn w:val="ListBullet"/>
    <w:rsid w:val="00123ADE"/>
    <w:pPr>
      <w:numPr>
        <w:numId w:val="0"/>
      </w:numPr>
      <w:tabs>
        <w:tab w:val="right" w:leader="dot" w:pos="6521"/>
      </w:tabs>
      <w:spacing w:before="0" w:after="0"/>
    </w:pPr>
  </w:style>
  <w:style w:type="paragraph" w:customStyle="1" w:styleId="TOFTitle">
    <w:name w:val="TOFTitle"/>
    <w:basedOn w:val="TOCTitle"/>
    <w:rsid w:val="00123ADE"/>
  </w:style>
  <w:style w:type="paragraph" w:styleId="TableofFigures">
    <w:name w:val="table of figures"/>
    <w:basedOn w:val="Normal"/>
    <w:next w:val="Normal"/>
    <w:semiHidden/>
    <w:rsid w:val="00123ADE"/>
    <w:pPr>
      <w:tabs>
        <w:tab w:val="right" w:leader="dot" w:pos="9072"/>
      </w:tabs>
      <w:ind w:left="970" w:hanging="403"/>
    </w:pPr>
    <w:rPr>
      <w:rFonts w:ascii="Times New Roman" w:hAnsi="Times New Roman"/>
      <w:b/>
    </w:rPr>
  </w:style>
  <w:style w:type="paragraph" w:styleId="ListNumber">
    <w:name w:val="List Number"/>
    <w:basedOn w:val="List"/>
    <w:rsid w:val="00123ADE"/>
    <w:pPr>
      <w:numPr>
        <w:numId w:val="10"/>
      </w:numPr>
    </w:pPr>
  </w:style>
  <w:style w:type="character" w:customStyle="1" w:styleId="WingdingSymbols">
    <w:name w:val="Wingding Symbols"/>
    <w:rsid w:val="00123ADE"/>
    <w:rPr>
      <w:rFonts w:ascii="Wingdings" w:hAnsi="Wingdings"/>
    </w:rPr>
  </w:style>
  <w:style w:type="paragraph" w:customStyle="1" w:styleId="TableHeading">
    <w:name w:val="Table Heading"/>
    <w:basedOn w:val="HeadingBase"/>
    <w:rsid w:val="00123ADE"/>
    <w:pPr>
      <w:keepLines/>
      <w:pBdr>
        <w:bottom w:val="single" w:sz="6" w:space="1" w:color="918585"/>
      </w:pBdr>
      <w:spacing w:before="240"/>
    </w:pPr>
  </w:style>
  <w:style w:type="character" w:customStyle="1" w:styleId="HotSpot">
    <w:name w:val="HotSpot"/>
    <w:rsid w:val="00123ADE"/>
    <w:rPr>
      <w:color w:val="0033CC"/>
      <w:u w:val="none"/>
    </w:rPr>
  </w:style>
  <w:style w:type="paragraph" w:customStyle="1" w:styleId="BodyTextRight">
    <w:name w:val="Body Text Right"/>
    <w:basedOn w:val="BodyText"/>
    <w:rsid w:val="00123ADE"/>
    <w:pPr>
      <w:spacing w:before="0" w:after="0"/>
      <w:jc w:val="right"/>
    </w:pPr>
  </w:style>
  <w:style w:type="paragraph" w:styleId="Index3">
    <w:name w:val="index 3"/>
    <w:basedOn w:val="ListNumber2"/>
    <w:next w:val="Normal"/>
    <w:semiHidden/>
    <w:rsid w:val="00123ADE"/>
    <w:pPr>
      <w:numPr>
        <w:numId w:val="0"/>
      </w:numPr>
      <w:tabs>
        <w:tab w:val="right" w:leader="dot" w:pos="4176"/>
      </w:tabs>
    </w:pPr>
  </w:style>
  <w:style w:type="paragraph" w:styleId="ListNumber2">
    <w:name w:val="List Number 2"/>
    <w:basedOn w:val="List2"/>
    <w:rsid w:val="00123ADE"/>
    <w:pPr>
      <w:numPr>
        <w:numId w:val="9"/>
      </w:numPr>
      <w:tabs>
        <w:tab w:val="clear" w:pos="1060"/>
      </w:tabs>
    </w:pPr>
  </w:style>
  <w:style w:type="paragraph" w:customStyle="1" w:styleId="MarginNote">
    <w:name w:val="Margin Note"/>
    <w:basedOn w:val="BodyText"/>
    <w:rsid w:val="00123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ADE"/>
    <w:rPr>
      <w:sz w:val="32"/>
    </w:rPr>
  </w:style>
  <w:style w:type="paragraph" w:customStyle="1" w:styleId="HeadingProcedure">
    <w:name w:val="Heading Procedure"/>
    <w:basedOn w:val="HeadingBase"/>
    <w:next w:val="Normal"/>
    <w:rsid w:val="00123ADE"/>
    <w:pPr>
      <w:tabs>
        <w:tab w:val="left" w:pos="0"/>
      </w:tabs>
      <w:spacing w:before="120" w:after="60"/>
    </w:pPr>
    <w:rPr>
      <w:i/>
      <w:color w:val="918585"/>
      <w:sz w:val="22"/>
    </w:rPr>
  </w:style>
  <w:style w:type="paragraph" w:customStyle="1" w:styleId="TableBodyText">
    <w:name w:val="Table Body Text"/>
    <w:basedOn w:val="BodyText"/>
    <w:rsid w:val="00123ADE"/>
    <w:pPr>
      <w:spacing w:before="60" w:after="60"/>
    </w:pPr>
  </w:style>
  <w:style w:type="paragraph" w:styleId="ListContinue">
    <w:name w:val="List Continue"/>
    <w:basedOn w:val="List"/>
    <w:rsid w:val="00123ADE"/>
    <w:pPr>
      <w:ind w:firstLine="0"/>
    </w:pPr>
  </w:style>
  <w:style w:type="paragraph" w:customStyle="1" w:styleId="ListNote">
    <w:name w:val="List Note"/>
    <w:basedOn w:val="List"/>
    <w:rsid w:val="00123ADE"/>
    <w:pPr>
      <w:pBdr>
        <w:top w:val="single" w:sz="6" w:space="2" w:color="918585"/>
        <w:bottom w:val="single" w:sz="6" w:space="2" w:color="918585"/>
      </w:pBdr>
      <w:tabs>
        <w:tab w:val="left" w:pos="1021"/>
      </w:tabs>
      <w:ind w:firstLine="0"/>
    </w:pPr>
  </w:style>
  <w:style w:type="paragraph" w:customStyle="1" w:styleId="Warning">
    <w:name w:val="Warning"/>
    <w:basedOn w:val="BodyText"/>
    <w:rsid w:val="00123ADE"/>
    <w:pPr>
      <w:shd w:val="clear" w:color="auto" w:fill="D9D9D9"/>
      <w:tabs>
        <w:tab w:val="left" w:pos="992"/>
      </w:tabs>
      <w:ind w:left="119" w:right="119"/>
    </w:pPr>
    <w:rPr>
      <w:sz w:val="20"/>
    </w:rPr>
  </w:style>
  <w:style w:type="paragraph" w:customStyle="1" w:styleId="MarginIcons">
    <w:name w:val="Margin Icons"/>
    <w:basedOn w:val="BodyText"/>
    <w:rsid w:val="00123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ADE"/>
    <w:rPr>
      <w:rFonts w:ascii="Courier New" w:hAnsi="Courier New"/>
    </w:rPr>
  </w:style>
  <w:style w:type="paragraph" w:customStyle="1" w:styleId="NoteBullet">
    <w:name w:val="Note Bullet"/>
    <w:basedOn w:val="Note"/>
    <w:rsid w:val="00123ADE"/>
    <w:pPr>
      <w:tabs>
        <w:tab w:val="clear" w:pos="680"/>
      </w:tabs>
      <w:spacing w:before="60" w:after="60"/>
    </w:pPr>
  </w:style>
  <w:style w:type="paragraph" w:customStyle="1" w:styleId="SubHeading2">
    <w:name w:val="SubHeading2"/>
    <w:basedOn w:val="HeadingBase"/>
    <w:rsid w:val="00123ADE"/>
    <w:pPr>
      <w:spacing w:before="240" w:after="60"/>
    </w:pPr>
    <w:rPr>
      <w:sz w:val="20"/>
    </w:rPr>
  </w:style>
  <w:style w:type="paragraph" w:customStyle="1" w:styleId="SubHeading1">
    <w:name w:val="SubHeading1"/>
    <w:basedOn w:val="HeadingBase"/>
    <w:rsid w:val="00123ADE"/>
    <w:pPr>
      <w:spacing w:before="240" w:after="60"/>
    </w:pPr>
    <w:rPr>
      <w:color w:val="918585"/>
      <w:sz w:val="22"/>
    </w:rPr>
  </w:style>
  <w:style w:type="paragraph" w:customStyle="1" w:styleId="SideHeading">
    <w:name w:val="Side Heading"/>
    <w:basedOn w:val="HeadingBase"/>
    <w:rsid w:val="00123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ADE"/>
    <w:pPr>
      <w:tabs>
        <w:tab w:val="num" w:pos="360"/>
      </w:tabs>
    </w:pPr>
  </w:style>
  <w:style w:type="paragraph" w:styleId="PlainText">
    <w:name w:val="Plain Text"/>
    <w:basedOn w:val="Normal"/>
    <w:link w:val="PlainTextChar"/>
    <w:rsid w:val="00123ADE"/>
    <w:rPr>
      <w:sz w:val="20"/>
    </w:rPr>
  </w:style>
  <w:style w:type="character" w:customStyle="1" w:styleId="PlainTextChar">
    <w:name w:val="Plain Text Char"/>
    <w:basedOn w:val="DefaultParagraphFont"/>
    <w:link w:val="PlainText"/>
    <w:rsid w:val="00123ADE"/>
    <w:rPr>
      <w:rFonts w:ascii="Courier New" w:eastAsia="Times New Roman" w:hAnsi="Courier New" w:cs="Times New Roman"/>
      <w:sz w:val="20"/>
      <w:szCs w:val="20"/>
      <w:lang w:eastAsia="en-US"/>
    </w:rPr>
  </w:style>
  <w:style w:type="character" w:customStyle="1" w:styleId="MenuOption">
    <w:name w:val="Menu Option"/>
    <w:basedOn w:val="DefaultParagraphFont"/>
    <w:rsid w:val="00123ADE"/>
    <w:rPr>
      <w:b/>
      <w:smallCaps/>
    </w:rPr>
  </w:style>
  <w:style w:type="paragraph" w:customStyle="1" w:styleId="TableListNumber">
    <w:name w:val="Table List Number"/>
    <w:basedOn w:val="ListNumber"/>
    <w:rsid w:val="00123ADE"/>
    <w:pPr>
      <w:numPr>
        <w:numId w:val="0"/>
      </w:numPr>
    </w:pPr>
  </w:style>
  <w:style w:type="paragraph" w:styleId="TOC4">
    <w:name w:val="toc 4"/>
    <w:basedOn w:val="TOCBase"/>
    <w:next w:val="Normal"/>
    <w:semiHidden/>
    <w:rsid w:val="00123ADE"/>
    <w:pPr>
      <w:tabs>
        <w:tab w:val="right" w:leader="dot" w:pos="9071"/>
      </w:tabs>
      <w:ind w:left="1701"/>
    </w:pPr>
  </w:style>
  <w:style w:type="paragraph" w:customStyle="1" w:styleId="ListAlpha">
    <w:name w:val="List Alpha"/>
    <w:basedOn w:val="List"/>
    <w:rsid w:val="00123ADE"/>
    <w:pPr>
      <w:numPr>
        <w:numId w:val="8"/>
      </w:numPr>
    </w:pPr>
  </w:style>
  <w:style w:type="paragraph" w:customStyle="1" w:styleId="ListAlpha2">
    <w:name w:val="List Alpha 2"/>
    <w:basedOn w:val="List2"/>
    <w:rsid w:val="00123ADE"/>
    <w:pPr>
      <w:numPr>
        <w:numId w:val="7"/>
      </w:numPr>
    </w:pPr>
  </w:style>
  <w:style w:type="paragraph" w:styleId="List3">
    <w:name w:val="List 3"/>
    <w:basedOn w:val="BodyText"/>
    <w:rsid w:val="00123ADE"/>
    <w:pPr>
      <w:tabs>
        <w:tab w:val="left" w:pos="1021"/>
      </w:tabs>
      <w:spacing w:before="60" w:after="60"/>
      <w:ind w:left="1020" w:hanging="340"/>
    </w:pPr>
  </w:style>
  <w:style w:type="paragraph" w:styleId="List4">
    <w:name w:val="List 4"/>
    <w:basedOn w:val="BodyText"/>
    <w:rsid w:val="00123ADE"/>
    <w:pPr>
      <w:tabs>
        <w:tab w:val="left" w:pos="1361"/>
      </w:tabs>
      <w:spacing w:before="60" w:after="60"/>
      <w:ind w:left="1361" w:hanging="340"/>
    </w:pPr>
  </w:style>
  <w:style w:type="paragraph" w:styleId="List5">
    <w:name w:val="List 5"/>
    <w:basedOn w:val="BodyText"/>
    <w:rsid w:val="00123ADE"/>
    <w:pPr>
      <w:tabs>
        <w:tab w:val="left" w:pos="1701"/>
      </w:tabs>
      <w:spacing w:before="60" w:after="60"/>
      <w:ind w:left="1701" w:hanging="340"/>
    </w:pPr>
  </w:style>
  <w:style w:type="paragraph" w:styleId="ListBullet3">
    <w:name w:val="List Bullet 3"/>
    <w:basedOn w:val="List3"/>
    <w:rsid w:val="00123ADE"/>
    <w:pPr>
      <w:numPr>
        <w:numId w:val="14"/>
      </w:numPr>
      <w:tabs>
        <w:tab w:val="clear" w:pos="1021"/>
      </w:tabs>
      <w:ind w:left="1037" w:hanging="357"/>
    </w:pPr>
  </w:style>
  <w:style w:type="paragraph" w:styleId="ListBullet4">
    <w:name w:val="List Bullet 4"/>
    <w:basedOn w:val="List4"/>
    <w:rsid w:val="00123ADE"/>
    <w:pPr>
      <w:numPr>
        <w:numId w:val="2"/>
      </w:numPr>
    </w:pPr>
  </w:style>
  <w:style w:type="paragraph" w:styleId="ListBullet5">
    <w:name w:val="List Bullet 5"/>
    <w:basedOn w:val="List5"/>
    <w:rsid w:val="00123ADE"/>
    <w:pPr>
      <w:numPr>
        <w:numId w:val="3"/>
      </w:numPr>
    </w:pPr>
  </w:style>
  <w:style w:type="paragraph" w:styleId="ListContinue2">
    <w:name w:val="List Continue 2"/>
    <w:basedOn w:val="List2"/>
    <w:rsid w:val="00123ADE"/>
    <w:pPr>
      <w:ind w:firstLine="0"/>
    </w:pPr>
  </w:style>
  <w:style w:type="paragraph" w:styleId="ListContinue3">
    <w:name w:val="List Continue 3"/>
    <w:basedOn w:val="List3"/>
    <w:rsid w:val="00123ADE"/>
    <w:pPr>
      <w:ind w:left="1021" w:firstLine="0"/>
    </w:pPr>
  </w:style>
  <w:style w:type="paragraph" w:styleId="ListContinue4">
    <w:name w:val="List Continue 4"/>
    <w:basedOn w:val="List4"/>
    <w:rsid w:val="00123ADE"/>
    <w:pPr>
      <w:ind w:firstLine="0"/>
    </w:pPr>
  </w:style>
  <w:style w:type="paragraph" w:styleId="ListContinue5">
    <w:name w:val="List Continue 5"/>
    <w:basedOn w:val="List5"/>
    <w:rsid w:val="00123ADE"/>
    <w:pPr>
      <w:ind w:firstLine="0"/>
    </w:pPr>
  </w:style>
  <w:style w:type="paragraph" w:styleId="ListNumber3">
    <w:name w:val="List Number 3"/>
    <w:basedOn w:val="List3"/>
    <w:rsid w:val="00123ADE"/>
    <w:pPr>
      <w:numPr>
        <w:numId w:val="4"/>
      </w:numPr>
    </w:pPr>
  </w:style>
  <w:style w:type="paragraph" w:styleId="ListNumber4">
    <w:name w:val="List Number 4"/>
    <w:basedOn w:val="List4"/>
    <w:rsid w:val="00123ADE"/>
    <w:pPr>
      <w:numPr>
        <w:numId w:val="5"/>
      </w:numPr>
    </w:pPr>
  </w:style>
  <w:style w:type="paragraph" w:styleId="ListNumber5">
    <w:name w:val="List Number 5"/>
    <w:basedOn w:val="List5"/>
    <w:rsid w:val="00123ADE"/>
    <w:pPr>
      <w:numPr>
        <w:numId w:val="6"/>
      </w:numPr>
    </w:pPr>
  </w:style>
  <w:style w:type="paragraph" w:styleId="BlockText">
    <w:name w:val="Block Text"/>
    <w:basedOn w:val="Normal"/>
    <w:rsid w:val="00123ADE"/>
    <w:pPr>
      <w:spacing w:after="120"/>
      <w:ind w:left="1440" w:right="1440"/>
    </w:pPr>
  </w:style>
  <w:style w:type="character" w:customStyle="1" w:styleId="Subscript">
    <w:name w:val="Subscript"/>
    <w:basedOn w:val="DefaultParagraphFont"/>
    <w:rsid w:val="00123ADE"/>
    <w:rPr>
      <w:sz w:val="16"/>
      <w:vertAlign w:val="subscript"/>
    </w:rPr>
  </w:style>
  <w:style w:type="character" w:customStyle="1" w:styleId="Superscript">
    <w:name w:val="Superscript"/>
    <w:basedOn w:val="DefaultParagraphFont"/>
    <w:rsid w:val="00123ADE"/>
    <w:rPr>
      <w:sz w:val="16"/>
      <w:vertAlign w:val="superscript"/>
    </w:rPr>
  </w:style>
  <w:style w:type="character" w:customStyle="1" w:styleId="Symbols">
    <w:name w:val="Symbols"/>
    <w:basedOn w:val="DefaultParagraphFont"/>
    <w:rsid w:val="00123ADE"/>
    <w:rPr>
      <w:rFonts w:ascii="Symbol" w:hAnsi="Symbol"/>
    </w:rPr>
  </w:style>
  <w:style w:type="character" w:customStyle="1" w:styleId="MenuOptions">
    <w:name w:val="Menu Options"/>
    <w:basedOn w:val="DefaultParagraphFont"/>
    <w:rsid w:val="00123ADE"/>
    <w:rPr>
      <w:rFonts w:ascii="Arial Narrow" w:hAnsi="Arial Narrow"/>
      <w:smallCaps/>
    </w:rPr>
  </w:style>
  <w:style w:type="character" w:customStyle="1" w:styleId="Buttons">
    <w:name w:val="Buttons"/>
    <w:basedOn w:val="DefaultParagraphFont"/>
    <w:rsid w:val="00123ADE"/>
    <w:rPr>
      <w:b/>
    </w:rPr>
  </w:style>
  <w:style w:type="character" w:customStyle="1" w:styleId="Underlined">
    <w:name w:val="Underlined"/>
    <w:basedOn w:val="DefaultParagraphFont"/>
    <w:rsid w:val="00123ADE"/>
    <w:rPr>
      <w:u w:val="single"/>
    </w:rPr>
  </w:style>
  <w:style w:type="paragraph" w:customStyle="1" w:styleId="TableBodyTextRight">
    <w:name w:val="Table Body Text Right"/>
    <w:basedOn w:val="TableBodyText"/>
    <w:rsid w:val="00123ADE"/>
    <w:pPr>
      <w:widowControl w:val="0"/>
      <w:autoSpaceDE w:val="0"/>
      <w:autoSpaceDN w:val="0"/>
      <w:adjustRightInd w:val="0"/>
      <w:jc w:val="right"/>
    </w:pPr>
    <w:rPr>
      <w:rFonts w:cs="Arial"/>
      <w:szCs w:val="18"/>
    </w:rPr>
  </w:style>
  <w:style w:type="paragraph" w:customStyle="1" w:styleId="CopyrightText">
    <w:name w:val="Copyright Text"/>
    <w:basedOn w:val="BodyText"/>
    <w:rsid w:val="00123ADE"/>
    <w:rPr>
      <w:sz w:val="18"/>
    </w:rPr>
  </w:style>
  <w:style w:type="paragraph" w:customStyle="1" w:styleId="BodySmallRight">
    <w:name w:val="Body Small Right"/>
    <w:basedOn w:val="BodyTextRight"/>
    <w:rsid w:val="00123ADE"/>
    <w:rPr>
      <w:sz w:val="18"/>
      <w:szCs w:val="18"/>
    </w:rPr>
  </w:style>
  <w:style w:type="paragraph" w:customStyle="1" w:styleId="MarginEdition">
    <w:name w:val="Margin Edition"/>
    <w:basedOn w:val="MarginNote"/>
    <w:rsid w:val="00123ADE"/>
    <w:pPr>
      <w:spacing w:before="0" w:after="0"/>
    </w:pPr>
    <w:rPr>
      <w:rFonts w:ascii="Times New Roman" w:hAnsi="Times New Roman"/>
      <w:color w:val="999999"/>
    </w:rPr>
  </w:style>
  <w:style w:type="paragraph" w:customStyle="1" w:styleId="Spacer">
    <w:name w:val="Spacer"/>
    <w:basedOn w:val="Normal"/>
    <w:rsid w:val="00123ADE"/>
    <w:rPr>
      <w:sz w:val="2"/>
      <w:szCs w:val="2"/>
    </w:rPr>
  </w:style>
  <w:style w:type="character" w:customStyle="1" w:styleId="Small">
    <w:name w:val="Small"/>
    <w:basedOn w:val="DefaultParagraphFont"/>
    <w:rsid w:val="00123ADE"/>
    <w:rPr>
      <w:sz w:val="16"/>
    </w:rPr>
  </w:style>
  <w:style w:type="paragraph" w:customStyle="1" w:styleId="WideTable">
    <w:name w:val="Wide Table"/>
    <w:basedOn w:val="Normal"/>
    <w:rsid w:val="00123ADE"/>
    <w:pPr>
      <w:ind w:left="-1418"/>
    </w:pPr>
    <w:rPr>
      <w:sz w:val="2"/>
      <w:szCs w:val="2"/>
    </w:rPr>
  </w:style>
  <w:style w:type="character" w:styleId="PageNumber">
    <w:name w:val="page number"/>
    <w:basedOn w:val="DefaultParagraphFont"/>
    <w:rsid w:val="00123ADE"/>
  </w:style>
  <w:style w:type="paragraph" w:styleId="Quote">
    <w:name w:val="Quote"/>
    <w:basedOn w:val="Heading1"/>
    <w:link w:val="QuoteChar"/>
    <w:qFormat/>
    <w:rsid w:val="00123ADE"/>
    <w:rPr>
      <w:b w:val="0"/>
      <w:sz w:val="72"/>
      <w:szCs w:val="72"/>
      <w:lang w:val="en-NZ"/>
    </w:rPr>
  </w:style>
  <w:style w:type="character" w:customStyle="1" w:styleId="QuoteChar">
    <w:name w:val="Quote Char"/>
    <w:basedOn w:val="DefaultParagraphFont"/>
    <w:link w:val="Quote"/>
    <w:rsid w:val="00123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ADE"/>
    <w:pPr>
      <w:pageBreakBefore/>
    </w:pPr>
  </w:style>
  <w:style w:type="paragraph" w:customStyle="1" w:styleId="Border">
    <w:name w:val="Border"/>
    <w:basedOn w:val="Normal"/>
    <w:qFormat/>
    <w:rsid w:val="00123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ADE"/>
    <w:rPr>
      <w:b/>
      <w:bCs/>
      <w:i/>
      <w:iCs/>
      <w:color w:val="auto"/>
    </w:rPr>
  </w:style>
  <w:style w:type="paragraph" w:styleId="IntenseQuote">
    <w:name w:val="Intense Quote"/>
    <w:basedOn w:val="Normal"/>
    <w:next w:val="Normal"/>
    <w:link w:val="IntenseQuoteChar"/>
    <w:uiPriority w:val="30"/>
    <w:qFormat/>
    <w:rsid w:val="00123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ADE"/>
    <w:rPr>
      <w:smallCaps/>
      <w:color w:val="auto"/>
      <w:u w:val="single"/>
    </w:rPr>
  </w:style>
  <w:style w:type="character" w:styleId="IntenseReference">
    <w:name w:val="Intense Reference"/>
    <w:basedOn w:val="DefaultParagraphFont"/>
    <w:uiPriority w:val="32"/>
    <w:qFormat/>
    <w:rsid w:val="00123ADE"/>
    <w:rPr>
      <w:b/>
      <w:bCs/>
      <w:smallCaps/>
      <w:color w:val="auto"/>
      <w:spacing w:val="5"/>
      <w:u w:val="single"/>
    </w:rPr>
  </w:style>
  <w:style w:type="paragraph" w:customStyle="1" w:styleId="2ColumnHeading">
    <w:name w:val="2Column Heading"/>
    <w:basedOn w:val="BodyText"/>
    <w:qFormat/>
    <w:rsid w:val="00123ADE"/>
    <w:pPr>
      <w:spacing w:after="60"/>
      <w:ind w:left="-2268"/>
    </w:pPr>
    <w:rPr>
      <w:b/>
    </w:rPr>
  </w:style>
  <w:style w:type="paragraph" w:customStyle="1" w:styleId="Heading1TOC">
    <w:name w:val="Heading1 TOC"/>
    <w:basedOn w:val="Normal"/>
    <w:qFormat/>
    <w:rsid w:val="00123ADE"/>
    <w:pPr>
      <w:spacing w:before="240" w:after="120"/>
    </w:pPr>
    <w:rPr>
      <w:rFonts w:ascii="Times New Roman" w:hAnsi="Times New Roman"/>
      <w:b/>
      <w:sz w:val="32"/>
    </w:rPr>
  </w:style>
  <w:style w:type="paragraph" w:customStyle="1" w:styleId="Heading2TOC">
    <w:name w:val="Heading2 TOC"/>
    <w:basedOn w:val="Normal"/>
    <w:qFormat/>
    <w:rsid w:val="00123ADE"/>
    <w:pPr>
      <w:spacing w:before="240" w:after="60"/>
    </w:pPr>
    <w:rPr>
      <w:rFonts w:ascii="Times New Roman" w:hAnsi="Times New Roman"/>
      <w:b/>
      <w:sz w:val="28"/>
    </w:rPr>
  </w:style>
  <w:style w:type="character" w:customStyle="1" w:styleId="Underline">
    <w:name w:val="Underline"/>
    <w:basedOn w:val="DefaultParagraphFont"/>
    <w:qFormat/>
    <w:rsid w:val="00123ADE"/>
    <w:rPr>
      <w:u w:val="single"/>
    </w:rPr>
  </w:style>
  <w:style w:type="character" w:customStyle="1" w:styleId="BoldandItalics">
    <w:name w:val="Bold and Italics"/>
    <w:qFormat/>
    <w:rsid w:val="00123ADE"/>
    <w:rPr>
      <w:b/>
      <w:i/>
      <w:u w:val="none"/>
    </w:rPr>
  </w:style>
  <w:style w:type="paragraph" w:styleId="BalloonText">
    <w:name w:val="Balloon Text"/>
    <w:basedOn w:val="Normal"/>
    <w:link w:val="BalloonTextChar"/>
    <w:rsid w:val="00123ADE"/>
    <w:rPr>
      <w:rFonts w:ascii="Tahoma" w:hAnsi="Tahoma" w:cs="Tahoma"/>
      <w:sz w:val="16"/>
      <w:szCs w:val="16"/>
    </w:rPr>
  </w:style>
  <w:style w:type="character" w:customStyle="1" w:styleId="BalloonTextChar">
    <w:name w:val="Balloon Text Char"/>
    <w:basedOn w:val="DefaultParagraphFont"/>
    <w:link w:val="BalloonText"/>
    <w:rsid w:val="00123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A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3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ADE"/>
    <w:rPr>
      <w:b/>
      <w:color w:val="660033"/>
      <w:spacing w:val="0"/>
    </w:rPr>
  </w:style>
  <w:style w:type="paragraph" w:customStyle="1" w:styleId="Nameditemlist">
    <w:name w:val="Named item list"/>
    <w:basedOn w:val="BodyText"/>
    <w:qFormat/>
    <w:rsid w:val="00123A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1240</Words>
  <Characters>8164</Characters>
  <Application>Microsoft Office Word</Application>
  <DocSecurity>0</DocSecurity>
  <Lines>269</Lines>
  <Paragraphs>114</Paragraphs>
  <ScaleCrop>false</ScaleCrop>
  <Company>Author-it Software Corporation Ltd.</Company>
  <LinksUpToDate>false</LinksUpToDate>
  <CharactersWithSpaces>9315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MEM15021C Conduct audits of servicing licensees and public weighbridge licensees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2012-10-05T14:58:00Z</dcterms:created>
  <dcterms:modified xsi:type="dcterms:W3CDTF">2012-10-05T14:58:00Z</dcterms:modified>
</cp:coreProperties>
</file>