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441" w:rsidP="00330441">
      <w:pPr>
        <w:pStyle w:val="Title"/>
      </w:pPr>
      <w:r>
        <w:fldChar w:fldCharType="begin"/>
      </w:r>
      <w:r>
        <w:instrText xml:space="preserve"> TITLE   \* MERGEFORMAT </w:instrText>
      </w:r>
      <w:r>
        <w:fldChar w:fldCharType="separate"/>
      </w:r>
      <w:r>
        <w:t>MEM15020C Perform verification/certification or in-service inspection</w:t>
      </w:r>
      <w:r>
        <w:fldChar w:fldCharType="end"/>
      </w:r>
    </w:p>
    <w:p w:rsidR="00330441" w:rsidP="00330441">
      <w:pPr>
        <w:pStyle w:val="Version"/>
        <w:sectPr w:rsidSect="00776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808" w:rsidP="00776808">
      <w:pPr>
        <w:pStyle w:val="SuperHeading"/>
      </w:pPr>
      <w:r w:rsidRPr="00776808">
        <w:t>MEM15020C Perform verification/certification or in-service inspection</w:t>
      </w:r>
    </w:p>
    <w:p w:rsidR="00000000" w:rsidRPr="00776808" w:rsidP="00776808">
      <w:pPr>
        <w:pStyle w:val="Heading1"/>
      </w:pPr>
      <w:bookmarkStart w:id="1" w:name="O_272202"/>
      <w:bookmarkEnd w:id="1"/>
      <w:r w:rsidRPr="00776808">
        <w:t>Modification History</w:t>
      </w:r>
    </w:p>
    <w:p w:rsidR="00000000" w:rsidRPr="00776808" w:rsidP="00776808">
      <w:pPr>
        <w:pStyle w:val="BodyText"/>
      </w:pPr>
      <w:r w:rsidRPr="00776808">
        <w:t>Not Applicable</w:t>
      </w:r>
    </w:p>
    <w:p w:rsidR="00000000" w:rsidRPr="00776808" w:rsidP="00776808">
      <w:pPr>
        <w:pStyle w:val="AllowPageBreak"/>
      </w:pPr>
    </w:p>
    <w:p w:rsidR="00000000" w:rsidRPr="00776808" w:rsidP="00776808">
      <w:pPr>
        <w:pStyle w:val="Heading1"/>
      </w:pPr>
      <w:bookmarkStart w:id="2" w:name="O_211852"/>
      <w:bookmarkEnd w:id="2"/>
      <w:r w:rsidRPr="00776808">
        <w:t>Unit Descriptor</w:t>
      </w:r>
    </w:p>
    <w:tbl>
      <w:tblPr>
        <w:tblW w:w="0" w:type="auto"/>
        <w:tblLayout w:type="fixed"/>
        <w:tblCellMar>
          <w:left w:w="62" w:type="dxa"/>
          <w:right w:w="62" w:type="dxa"/>
        </w:tblCellMar>
        <w:tblLook w:val="0000"/>
      </w:tblPr>
      <w:tblGrid>
        <w:gridCol w:w="2672"/>
        <w:gridCol w:w="5850"/>
      </w:tblGrid>
      <w:tr w:rsidTr="0033044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The unit covers testing a range of measuring instruments used for tra</w:t>
            </w:r>
            <w:r w:rsidRPr="00776808">
              <w:t>ding activities.</w:t>
            </w:r>
          </w:p>
        </w:tc>
      </w:tr>
    </w:tbl>
    <w:p w:rsidR="00330441" w:rsidP="00776808">
      <w:pPr>
        <w:pStyle w:val="BodyText"/>
      </w:pPr>
    </w:p>
    <w:p w:rsidR="00330441" w:rsidP="00776808">
      <w:pPr>
        <w:pStyle w:val="BodyText"/>
      </w:pPr>
    </w:p>
    <w:p w:rsidR="00000000" w:rsidRPr="00776808" w:rsidP="00776808">
      <w:pPr>
        <w:pStyle w:val="Heading1"/>
      </w:pPr>
      <w:bookmarkStart w:id="3" w:name="O_211856"/>
      <w:bookmarkEnd w:id="3"/>
      <w:r w:rsidRPr="00776808">
        <w:t>Application of the Unit</w:t>
      </w:r>
    </w:p>
    <w:tbl>
      <w:tblPr>
        <w:tblW w:w="0" w:type="auto"/>
        <w:tblLayout w:type="fixed"/>
        <w:tblCellMar>
          <w:left w:w="62" w:type="dxa"/>
          <w:right w:w="62" w:type="dxa"/>
        </w:tblCellMar>
        <w:tblLook w:val="0000"/>
      </w:tblPr>
      <w:tblGrid>
        <w:gridCol w:w="2743"/>
        <w:gridCol w:w="5779"/>
      </w:tblGrid>
      <w:tr w:rsidTr="0033044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This unit is designed for those performing trade measurement inspection/certification activities in public or private enterprises.</w:t>
            </w:r>
          </w:p>
          <w:p w:rsidR="00000000" w:rsidRPr="00776808" w:rsidP="00776808">
            <w:pPr>
              <w:pStyle w:val="BodyText"/>
            </w:pPr>
            <w:r w:rsidRPr="00776808">
              <w:t>This unit applies to the legal verification/certification or in-service inspection of measuring instruments used for trading activities.</w:t>
            </w:r>
          </w:p>
          <w:p w:rsidR="00000000" w:rsidRPr="00776808" w:rsidP="00776808">
            <w:pPr>
              <w:pStyle w:val="BodyText"/>
            </w:pPr>
            <w:r w:rsidRPr="00776808">
              <w:t xml:space="preserve">This unit may be applied to the inspection of trade measuring instruments, such as those used for measuring pre-packed </w:t>
            </w:r>
            <w:r w:rsidRPr="00776808">
              <w:t>articles, and direct and/or indirect trading to the public.</w:t>
            </w:r>
          </w:p>
          <w:p w:rsidR="00000000" w:rsidRPr="00776808" w:rsidP="00776808">
            <w:pPr>
              <w:pStyle w:val="BodyText"/>
            </w:pPr>
            <w:r w:rsidRPr="00776808">
              <w:t xml:space="preserve">Relevant reference material includes NSC certificates of approval, manufacturers' product specifications, Australian standards, WHS legislation, uniform test procedures, organisational procedures </w:t>
            </w:r>
            <w:r w:rsidRPr="00776808">
              <w:t>and guidelines, and certificates of verification.</w:t>
            </w:r>
          </w:p>
          <w:p w:rsidR="00000000" w:rsidRPr="00776808" w:rsidP="00776808">
            <w:pPr>
              <w:pStyle w:val="BodyText"/>
            </w:pPr>
            <w:r w:rsidRPr="00776808">
              <w:t>Where work requires measuring instruments of a lower level of complexity and range and lower scope relating to uniform test procedures, reference material etc., Unit MEM15004B (Perform inspection) or Unit M</w:t>
            </w:r>
            <w:r w:rsidRPr="00776808">
              <w:t>EM15005B (Select and control inspection processes and procedures) should be selected as appropriate.</w:t>
            </w:r>
          </w:p>
          <w:p w:rsidR="00000000" w:rsidRPr="00776808" w:rsidP="00776808">
            <w:pPr>
              <w:pStyle w:val="BodyText"/>
            </w:pPr>
            <w:r w:rsidRPr="00776808">
              <w:t>If use and maintenance of reference standards is required, Unit MEM15017C (Use and maintain reference standards) should also be selected.</w:t>
            </w:r>
          </w:p>
          <w:p w:rsidR="00000000" w:rsidRPr="00776808" w:rsidP="00776808">
            <w:pPr>
              <w:pStyle w:val="BodyText"/>
            </w:pPr>
          </w:p>
          <w:p w:rsidR="00000000" w:rsidRPr="00776808" w:rsidP="00776808">
            <w:pPr>
              <w:pStyle w:val="BodyText"/>
            </w:pPr>
            <w:r w:rsidRPr="00776808">
              <w:rPr>
                <w:rStyle w:val="SpecialBold"/>
              </w:rPr>
              <w:t>Band</w:t>
            </w:r>
            <w:r w:rsidRPr="00776808">
              <w:t>:</w:t>
            </w:r>
            <w:r w:rsidRPr="00776808">
              <w:tab/>
            </w:r>
            <w:r w:rsidRPr="00776808">
              <w:rPr>
                <w:rStyle w:val="SpecialBold"/>
              </w:rPr>
              <w:t>B</w:t>
            </w:r>
          </w:p>
          <w:p w:rsidR="00000000" w:rsidRPr="00776808" w:rsidP="00776808">
            <w:pPr>
              <w:pStyle w:val="BodyText"/>
            </w:pPr>
            <w:r w:rsidRPr="00776808">
              <w:rPr>
                <w:rStyle w:val="SpecialBold"/>
              </w:rPr>
              <w:t>Unit Wei</w:t>
            </w:r>
            <w:r w:rsidRPr="00776808">
              <w:rPr>
                <w:rStyle w:val="SpecialBold"/>
              </w:rPr>
              <w:t>ght</w:t>
            </w:r>
            <w:r w:rsidRPr="00776808">
              <w:t>:</w:t>
            </w:r>
            <w:r w:rsidRPr="00776808">
              <w:tab/>
            </w:r>
            <w:r w:rsidRPr="00776808">
              <w:rPr>
                <w:rStyle w:val="SpecialBold"/>
              </w:rPr>
              <w:t>12</w:t>
            </w:r>
          </w:p>
        </w:tc>
      </w:tr>
    </w:tbl>
    <w:p w:rsidR="00330441" w:rsidP="00776808">
      <w:pPr>
        <w:pStyle w:val="BodyText"/>
      </w:pPr>
    </w:p>
    <w:p w:rsidR="00330441" w:rsidP="00776808">
      <w:pPr>
        <w:pStyle w:val="BodyText"/>
      </w:pPr>
    </w:p>
    <w:p w:rsidR="00000000" w:rsidRPr="00776808" w:rsidP="00776808">
      <w:pPr>
        <w:pStyle w:val="Heading1"/>
      </w:pPr>
      <w:bookmarkStart w:id="4" w:name="O_280462"/>
      <w:bookmarkEnd w:id="4"/>
      <w:r w:rsidRPr="00776808">
        <w:t>Licensing/Regulatory Information</w:t>
      </w:r>
    </w:p>
    <w:p w:rsidR="00000000" w:rsidRPr="00776808" w:rsidP="00776808">
      <w:pPr>
        <w:pStyle w:val="BodyText"/>
      </w:pPr>
      <w:r w:rsidRPr="00776808">
        <w:t>Not Applicable</w:t>
      </w:r>
    </w:p>
    <w:p w:rsidR="00000000" w:rsidRPr="00776808" w:rsidP="00776808">
      <w:pPr>
        <w:pStyle w:val="AllowPageBreak"/>
      </w:pPr>
    </w:p>
    <w:p w:rsidR="00000000" w:rsidRPr="00776808" w:rsidP="00776808">
      <w:pPr>
        <w:pStyle w:val="Heading1"/>
      </w:pPr>
      <w:bookmarkStart w:id="5" w:name="O_211854"/>
      <w:bookmarkEnd w:id="5"/>
      <w:r w:rsidRPr="00776808">
        <w:t>Pre-Requisites</w:t>
      </w:r>
    </w:p>
    <w:tbl>
      <w:tblPr>
        <w:tblW w:w="0" w:type="auto"/>
        <w:tblLayout w:type="fixed"/>
        <w:tblCellMar>
          <w:left w:w="62" w:type="dxa"/>
          <w:right w:w="62" w:type="dxa"/>
        </w:tblCellMar>
        <w:tblLook w:val="0000"/>
      </w:tblPr>
      <w:tblGrid>
        <w:gridCol w:w="2707"/>
        <w:gridCol w:w="2207"/>
        <w:gridCol w:w="3608"/>
      </w:tblGrid>
      <w:tr w:rsidTr="00330441">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p>
        </w:tc>
      </w:tr>
      <w:tr w:rsidTr="0033044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Path 1</w:t>
            </w:r>
            <w:r w:rsidRPr="00776808">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MEM09002B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Interpret technical drawing</w:t>
            </w:r>
          </w:p>
        </w:tc>
      </w:tr>
      <w:tr w:rsidTr="0033044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MEM11011B</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Undertake manual handling</w:t>
            </w:r>
          </w:p>
        </w:tc>
      </w:tr>
      <w:tr w:rsidTr="0033044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MEM12023A</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Perform engineering measurements</w:t>
            </w:r>
          </w:p>
        </w:tc>
      </w:tr>
      <w:tr w:rsidTr="0033044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MEM18001C</w:t>
            </w:r>
          </w:p>
        </w:tc>
        <w:tc>
          <w:tcPr>
            <w:tcW w:w="3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Use hand tools</w:t>
            </w:r>
          </w:p>
        </w:tc>
      </w:tr>
    </w:tbl>
    <w:p w:rsidR="00330441" w:rsidP="00776808">
      <w:pPr>
        <w:pStyle w:val="BodyText"/>
      </w:pPr>
    </w:p>
    <w:p w:rsidR="00330441" w:rsidP="00776808">
      <w:pPr>
        <w:pStyle w:val="BodyText"/>
      </w:pPr>
    </w:p>
    <w:p w:rsidR="00000000" w:rsidRPr="00776808" w:rsidP="00776808">
      <w:pPr>
        <w:pStyle w:val="Heading1"/>
      </w:pPr>
      <w:bookmarkStart w:id="6" w:name="O_211853"/>
      <w:bookmarkEnd w:id="6"/>
      <w:r w:rsidRPr="00776808">
        <w:t>Employability Skills Information</w:t>
      </w:r>
    </w:p>
    <w:tbl>
      <w:tblPr>
        <w:tblW w:w="0" w:type="auto"/>
        <w:tblLayout w:type="fixed"/>
        <w:tblCellMar>
          <w:left w:w="62" w:type="dxa"/>
          <w:right w:w="62" w:type="dxa"/>
        </w:tblCellMar>
        <w:tblLook w:val="0000"/>
      </w:tblPr>
      <w:tblGrid>
        <w:gridCol w:w="2802"/>
        <w:gridCol w:w="5720"/>
      </w:tblGrid>
      <w:tr w:rsidTr="003304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This unit contains employability skills.</w:t>
            </w:r>
          </w:p>
        </w:tc>
      </w:tr>
    </w:tbl>
    <w:p w:rsidR="00330441" w:rsidP="00776808">
      <w:pPr>
        <w:pStyle w:val="BodyText"/>
      </w:pPr>
    </w:p>
    <w:p w:rsidR="00330441" w:rsidP="00776808">
      <w:pPr>
        <w:pStyle w:val="BodyText"/>
      </w:pPr>
    </w:p>
    <w:p w:rsidR="00000000" w:rsidRPr="00776808" w:rsidP="00776808">
      <w:pPr>
        <w:pStyle w:val="Heading1"/>
      </w:pPr>
      <w:bookmarkStart w:id="7" w:name="O_290248"/>
      <w:bookmarkEnd w:id="7"/>
      <w:r w:rsidRPr="00776808">
        <w:t>Elements and Performance Criteria Pre-Content</w:t>
      </w:r>
    </w:p>
    <w:tbl>
      <w:tblPr>
        <w:tblW w:w="0" w:type="auto"/>
        <w:tblLayout w:type="fixed"/>
        <w:tblCellMar>
          <w:left w:w="62" w:type="dxa"/>
          <w:right w:w="62" w:type="dxa"/>
        </w:tblCellMar>
        <w:tblLook w:val="0000"/>
      </w:tblPr>
      <w:tblGrid>
        <w:gridCol w:w="2561"/>
        <w:gridCol w:w="5961"/>
      </w:tblGrid>
      <w:tr w:rsidTr="0033044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Performance criteria describe the performance needed to demonstrate achievement of the element. Where bold italicised text is used, further information is detailed in the required skills and</w:t>
            </w:r>
            <w:r w:rsidRPr="00776808">
              <w:t xml:space="preserve"> knowledge section and the range statement. Assessment of performance is to be consistent with the evidence guide.</w:t>
            </w:r>
          </w:p>
        </w:tc>
      </w:tr>
    </w:tbl>
    <w:p w:rsidR="00000000" w:rsidRPr="00776808" w:rsidP="00776808">
      <w:pPr>
        <w:pStyle w:val="BodyText"/>
      </w:pPr>
    </w:p>
    <w:p w:rsidR="00000000" w:rsidRPr="00776808" w:rsidP="00776808">
      <w:pPr>
        <w:pStyle w:val="AllowPageBreak"/>
      </w:pPr>
    </w:p>
    <w:p w:rsidR="00000000" w:rsidRPr="00776808" w:rsidP="00776808">
      <w:pPr>
        <w:pStyle w:val="Heading1"/>
      </w:pPr>
      <w:bookmarkStart w:id="8" w:name="O_236915"/>
      <w:bookmarkEnd w:id="8"/>
      <w:r w:rsidRPr="00776808">
        <w:t>Elements and Performance Criteria</w:t>
      </w:r>
    </w:p>
    <w:tbl>
      <w:tblPr>
        <w:tblW w:w="0" w:type="auto"/>
        <w:tblLayout w:type="fixed"/>
        <w:tblCellMar>
          <w:left w:w="62" w:type="dxa"/>
          <w:right w:w="62" w:type="dxa"/>
        </w:tblCellMar>
        <w:tblLook w:val="0000"/>
      </w:tblPr>
      <w:tblGrid>
        <w:gridCol w:w="2561"/>
        <w:gridCol w:w="5961"/>
      </w:tblGrid>
      <w:tr w:rsidTr="00330441">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PERFORMANCE CRITERIA</w:t>
            </w:r>
          </w:p>
        </w:tc>
      </w:tr>
      <w:tr w:rsidTr="0033044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List"/>
              <w:rPr>
                <w:lang w:val="en-NZ"/>
              </w:rPr>
            </w:pPr>
            <w:r w:rsidRPr="00776808">
              <w:t>1.</w:t>
            </w:r>
            <w:r w:rsidRPr="00776808">
              <w:tab/>
            </w:r>
            <w:r w:rsidRPr="00776808">
              <w:t>Describe the design and application of basic components in trade measuring instruments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List2"/>
            </w:pPr>
            <w:r w:rsidRPr="00776808">
              <w:t>1.1.</w:t>
            </w:r>
            <w:r w:rsidRPr="00776808">
              <w:tab/>
              <w:t>The fundamental operating features for a range of measuring instruments are identified.</w:t>
            </w:r>
          </w:p>
          <w:p w:rsidR="00000000" w:rsidP="00776808">
            <w:pPr>
              <w:pStyle w:val="List2"/>
              <w:rPr>
                <w:lang w:val="en-NZ"/>
              </w:rPr>
            </w:pPr>
            <w:r w:rsidRPr="00776808">
              <w:t>1.2.</w:t>
            </w:r>
            <w:r w:rsidRPr="00776808">
              <w:tab/>
              <w:t>The purpose of major components within the range of measuring instrumen</w:t>
            </w:r>
            <w:r w:rsidRPr="00776808">
              <w:t>ts is described.</w:t>
            </w:r>
          </w:p>
        </w:tc>
      </w:tr>
      <w:tr w:rsidTr="0033044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List"/>
              <w:rPr>
                <w:lang w:val="en-NZ"/>
              </w:rPr>
            </w:pPr>
            <w:r w:rsidRPr="00776808">
              <w:t>2.</w:t>
            </w:r>
            <w:r w:rsidRPr="00776808">
              <w:tab/>
              <w:t>Determine the type of inspection required for a range of measuring instruments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List2"/>
            </w:pPr>
            <w:r w:rsidRPr="00776808">
              <w:t>2.1.</w:t>
            </w:r>
            <w:r w:rsidRPr="00776808">
              <w:tab/>
              <w:t>Instrument is assessed to determine whether a verification/certification or in-service tolerance is to be applied for inspection.</w:t>
            </w:r>
          </w:p>
          <w:p w:rsidR="00000000" w:rsidRPr="00776808" w:rsidP="00776808">
            <w:pPr>
              <w:pStyle w:val="List2"/>
            </w:pPr>
            <w:r w:rsidRPr="00776808">
              <w:t>2.2.</w:t>
            </w:r>
            <w:r w:rsidRPr="00776808">
              <w:tab/>
              <w:t>The processes re</w:t>
            </w:r>
            <w:r w:rsidRPr="00776808">
              <w:t>quired for both the verification/certification and in-service of a range of measuring instruments are explained.</w:t>
            </w:r>
          </w:p>
          <w:p w:rsidR="00000000" w:rsidP="00776808">
            <w:pPr>
              <w:pStyle w:val="List2"/>
              <w:rPr>
                <w:lang w:val="en-NZ"/>
              </w:rPr>
            </w:pPr>
            <w:r w:rsidRPr="00776808">
              <w:t>2.3.</w:t>
            </w:r>
            <w:r w:rsidRPr="00776808">
              <w:tab/>
              <w:t>Appropriate tolerances are identified for the determined inspection.</w:t>
            </w:r>
          </w:p>
        </w:tc>
      </w:tr>
      <w:tr w:rsidTr="0033044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List"/>
              <w:rPr>
                <w:lang w:val="en-NZ"/>
              </w:rPr>
            </w:pPr>
            <w:r w:rsidRPr="00776808">
              <w:t>3.</w:t>
            </w:r>
            <w:r w:rsidRPr="00776808">
              <w:tab/>
              <w:t>Perform inspection of measuring instruments to determine complian</w:t>
            </w:r>
            <w:r w:rsidRPr="00776808">
              <w:t>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List2"/>
            </w:pPr>
            <w:r w:rsidRPr="00776808">
              <w:t>3.1.</w:t>
            </w:r>
            <w:r w:rsidRPr="00776808">
              <w:tab/>
              <w:t>The operating environment of the instrument is analysed and monitored to determine its impact on the instrument.</w:t>
            </w:r>
          </w:p>
          <w:p w:rsidR="00000000" w:rsidRPr="00776808" w:rsidP="00776808">
            <w:pPr>
              <w:pStyle w:val="List2"/>
            </w:pPr>
            <w:r w:rsidRPr="00776808">
              <w:t>3.2.</w:t>
            </w:r>
            <w:r w:rsidRPr="00776808">
              <w:tab/>
              <w:t>Sources of any possible operational error in the use of measuring instruments/systems are identified.</w:t>
            </w:r>
          </w:p>
          <w:p w:rsidR="00000000" w:rsidRPr="00776808" w:rsidP="00776808">
            <w:pPr>
              <w:pStyle w:val="List2"/>
            </w:pPr>
            <w:r w:rsidRPr="00776808">
              <w:t>3.3.</w:t>
            </w:r>
            <w:r w:rsidRPr="00776808">
              <w:tab/>
              <w:t>Specialised equipment i</w:t>
            </w:r>
            <w:r w:rsidRPr="00776808">
              <w:t>s selected and used in the prescribed manner for the inspection.</w:t>
            </w:r>
          </w:p>
          <w:p w:rsidR="00000000" w:rsidP="00776808">
            <w:pPr>
              <w:pStyle w:val="List2"/>
              <w:rPr>
                <w:lang w:val="en-NZ"/>
              </w:rPr>
            </w:pPr>
            <w:r w:rsidRPr="00776808">
              <w:t>3.4.</w:t>
            </w:r>
            <w:r w:rsidRPr="00776808">
              <w:tab/>
              <w:t>Inspection of measuring instrument is conducted in accordance with appropriate test procedures, legislation and policies, and workplace, health and safety considerations.</w:t>
            </w:r>
          </w:p>
        </w:tc>
      </w:tr>
      <w:tr w:rsidTr="0033044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List"/>
              <w:rPr>
                <w:lang w:val="en-NZ"/>
              </w:rPr>
            </w:pPr>
            <w:r w:rsidRPr="00776808">
              <w:t>4.</w:t>
            </w:r>
            <w:r w:rsidRPr="00776808">
              <w:tab/>
            </w:r>
            <w:r w:rsidRPr="00776808">
              <w:t>Finalise inspection and take appropriate action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List2"/>
            </w:pPr>
            <w:r w:rsidRPr="00776808">
              <w:t>4.1.</w:t>
            </w:r>
            <w:r w:rsidRPr="00776808">
              <w:tab/>
              <w:t>The appropriate action to be undertaken is determined and implemented.</w:t>
            </w:r>
          </w:p>
          <w:p w:rsidR="00000000" w:rsidRPr="00776808" w:rsidP="00776808">
            <w:pPr>
              <w:pStyle w:val="List2"/>
            </w:pPr>
            <w:r w:rsidRPr="00776808">
              <w:t>4.2.</w:t>
            </w:r>
            <w:r w:rsidRPr="00776808">
              <w:tab/>
              <w:t>Performance trends of particular models of measuring instruments are identified and reported.</w:t>
            </w:r>
          </w:p>
          <w:p w:rsidR="00000000" w:rsidRPr="00776808" w:rsidP="00776808">
            <w:pPr>
              <w:pStyle w:val="List2"/>
            </w:pPr>
            <w:r w:rsidRPr="00776808">
              <w:t>4.3.</w:t>
            </w:r>
            <w:r w:rsidRPr="00776808">
              <w:tab/>
              <w:t xml:space="preserve">The information is recorded </w:t>
            </w:r>
            <w:r w:rsidRPr="00776808">
              <w:t>in the organisation's information system.</w:t>
            </w:r>
          </w:p>
        </w:tc>
      </w:tr>
    </w:tbl>
    <w:p w:rsidR="00330441" w:rsidP="00776808">
      <w:pPr>
        <w:pStyle w:val="BodyText"/>
      </w:pPr>
    </w:p>
    <w:p w:rsidR="00330441" w:rsidP="00776808">
      <w:pPr>
        <w:pStyle w:val="BodyText"/>
      </w:pPr>
    </w:p>
    <w:p w:rsidR="00000000" w:rsidRPr="00776808" w:rsidP="00776808">
      <w:pPr>
        <w:pStyle w:val="Heading1"/>
      </w:pPr>
      <w:bookmarkStart w:id="9" w:name="O_260865"/>
      <w:bookmarkEnd w:id="9"/>
      <w:r w:rsidRPr="00776808">
        <w:t>Required Skills and Knowledge</w:t>
      </w:r>
    </w:p>
    <w:tbl>
      <w:tblPr>
        <w:tblW w:w="0" w:type="auto"/>
        <w:tblLayout w:type="fixed"/>
        <w:tblCellMar>
          <w:left w:w="62" w:type="dxa"/>
          <w:right w:w="62" w:type="dxa"/>
        </w:tblCellMar>
        <w:tblLook w:val="0000"/>
      </w:tblPr>
      <w:tblGrid>
        <w:gridCol w:w="8522"/>
      </w:tblGrid>
      <w:tr w:rsidTr="003304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REQUIRED SKILLS AND KNOWLEDGE</w:t>
            </w:r>
          </w:p>
        </w:tc>
      </w:tr>
      <w:tr w:rsidTr="003304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This section describes the skills and knowledge required for this unit.</w:t>
            </w:r>
          </w:p>
        </w:tc>
      </w:tr>
      <w:tr w:rsidTr="00330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Required skills</w:t>
            </w:r>
          </w:p>
        </w:tc>
      </w:tr>
      <w:tr w:rsidTr="00330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Look for evidence that confirms skills in:</w:t>
            </w:r>
          </w:p>
          <w:p w:rsidR="00000000" w:rsidRPr="00776808" w:rsidP="00776808">
            <w:pPr>
              <w:pStyle w:val="ListBullet"/>
            </w:pPr>
            <w:r w:rsidRPr="00776808">
              <w:t xml:space="preserve">examining instruments for existing verification/certification marks </w:t>
            </w:r>
          </w:p>
          <w:p w:rsidR="00000000" w:rsidRPr="00776808" w:rsidP="00776808">
            <w:pPr>
              <w:pStyle w:val="ListBullet"/>
            </w:pPr>
            <w:r w:rsidRPr="00776808">
              <w:t>identifying operational errors relevant to the type of instrument being tested</w:t>
            </w:r>
          </w:p>
          <w:p w:rsidR="00000000" w:rsidRPr="00776808" w:rsidP="00776808">
            <w:pPr>
              <w:pStyle w:val="ListBullet"/>
            </w:pPr>
            <w:r w:rsidRPr="00776808">
              <w:t xml:space="preserve">selecting and correctly using the test equipment </w:t>
            </w:r>
          </w:p>
          <w:p w:rsidR="00000000" w:rsidRPr="00776808" w:rsidP="00776808">
            <w:pPr>
              <w:pStyle w:val="ListBullet"/>
            </w:pPr>
            <w:r w:rsidRPr="00776808">
              <w:t>testing measur</w:t>
            </w:r>
            <w:r w:rsidRPr="00776808">
              <w:t>ing instruments</w:t>
            </w:r>
          </w:p>
          <w:p w:rsidR="00000000" w:rsidRPr="00776808" w:rsidP="00776808">
            <w:pPr>
              <w:pStyle w:val="ListBullet"/>
            </w:pPr>
            <w:r w:rsidRPr="00776808">
              <w:t>preparing technical reports relating to verification/certification or in-service inspection</w:t>
            </w:r>
          </w:p>
          <w:p w:rsidR="00000000" w:rsidP="00776808">
            <w:pPr>
              <w:pStyle w:val="ListBullet"/>
              <w:rPr>
                <w:lang w:val="en-NZ"/>
              </w:rPr>
            </w:pPr>
            <w:r w:rsidRPr="00776808">
              <w:t>completing files</w:t>
            </w:r>
          </w:p>
        </w:tc>
      </w:tr>
      <w:tr w:rsidTr="00330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Required knowledge</w:t>
            </w:r>
          </w:p>
        </w:tc>
      </w:tr>
      <w:tr w:rsidTr="00330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Look for evidence that confirms knowledge of:</w:t>
            </w:r>
          </w:p>
          <w:p w:rsidR="00000000" w:rsidRPr="00776808" w:rsidP="00776808">
            <w:pPr>
              <w:pStyle w:val="ListBullet"/>
            </w:pPr>
            <w:r w:rsidRPr="00776808">
              <w:t>the major components and functions of an instrument</w:t>
            </w:r>
          </w:p>
          <w:p w:rsidR="00000000" w:rsidRPr="00776808" w:rsidP="00776808">
            <w:pPr>
              <w:pStyle w:val="ListBullet"/>
            </w:pPr>
            <w:r w:rsidRPr="00776808">
              <w:t>the purpose</w:t>
            </w:r>
            <w:r w:rsidRPr="00776808">
              <w:t xml:space="preserve"> of major components and functions of an instrument</w:t>
            </w:r>
          </w:p>
          <w:p w:rsidR="00000000" w:rsidRPr="00776808" w:rsidP="00776808">
            <w:pPr>
              <w:pStyle w:val="ListBullet"/>
            </w:pPr>
            <w:r w:rsidRPr="00776808">
              <w:t>differences in the application of tolerances being applied</w:t>
            </w:r>
          </w:p>
          <w:p w:rsidR="00000000" w:rsidRPr="00776808" w:rsidP="00776808">
            <w:pPr>
              <w:pStyle w:val="ListBullet"/>
            </w:pPr>
            <w:r w:rsidRPr="00776808">
              <w:t>process variations between verification/certification and in-service inspection</w:t>
            </w:r>
          </w:p>
          <w:p w:rsidR="00000000" w:rsidRPr="00776808" w:rsidP="00776808">
            <w:pPr>
              <w:pStyle w:val="ListBullet"/>
            </w:pPr>
            <w:r w:rsidRPr="00776808">
              <w:t>appropriate tolerances for a range of measuring instruments</w:t>
            </w:r>
          </w:p>
          <w:p w:rsidR="00000000" w:rsidRPr="00776808" w:rsidP="00776808">
            <w:pPr>
              <w:pStyle w:val="ListBullet"/>
            </w:pPr>
            <w:r w:rsidRPr="00776808">
              <w:t>environmental factors that may not result in an instrument rejection but other remedial actions</w:t>
            </w:r>
          </w:p>
          <w:p w:rsidR="00000000" w:rsidRPr="00776808" w:rsidP="00776808">
            <w:pPr>
              <w:pStyle w:val="ListBullet"/>
            </w:pPr>
            <w:r w:rsidRPr="00776808">
              <w:t>specialised equipment that may be required from other organisations</w:t>
            </w:r>
          </w:p>
          <w:p w:rsidR="00000000" w:rsidRPr="00776808" w:rsidP="00776808">
            <w:pPr>
              <w:pStyle w:val="ListBullet"/>
            </w:pPr>
            <w:r w:rsidRPr="00776808">
              <w:t>the action to be taken where a conflict occurs between uniform test procedures and those tes</w:t>
            </w:r>
            <w:r w:rsidRPr="00776808">
              <w:t xml:space="preserve">t procedures contained in certificates of approval </w:t>
            </w:r>
          </w:p>
          <w:p w:rsidR="00000000" w:rsidRPr="00776808" w:rsidP="00776808">
            <w:pPr>
              <w:pStyle w:val="ListBullet"/>
            </w:pPr>
            <w:r w:rsidRPr="00776808">
              <w:t xml:space="preserve">removal of verification/certification marks is impractical on some instruments and the appropriate action to be taken in these circumstances </w:t>
            </w:r>
          </w:p>
          <w:p w:rsidR="00000000" w:rsidRPr="00776808" w:rsidP="00776808">
            <w:pPr>
              <w:pStyle w:val="ListBullet"/>
            </w:pPr>
            <w:r w:rsidRPr="00776808">
              <w:t>methods to monitor performance trends</w:t>
            </w:r>
          </w:p>
        </w:tc>
      </w:tr>
    </w:tbl>
    <w:p w:rsidR="00330441" w:rsidP="00776808">
      <w:pPr>
        <w:pStyle w:val="BodyText"/>
      </w:pPr>
    </w:p>
    <w:p w:rsidR="00330441" w:rsidP="00776808">
      <w:pPr>
        <w:pStyle w:val="BodyText"/>
      </w:pPr>
    </w:p>
    <w:p w:rsidR="00000000" w:rsidRPr="00776808" w:rsidP="00776808">
      <w:pPr>
        <w:pStyle w:val="AllowPageBreak"/>
      </w:pPr>
    </w:p>
    <w:p w:rsidR="00000000" w:rsidRPr="00776808" w:rsidP="00776808">
      <w:pPr>
        <w:pStyle w:val="Heading1"/>
      </w:pPr>
      <w:bookmarkStart w:id="10" w:name="O_244899"/>
      <w:bookmarkEnd w:id="10"/>
      <w:r w:rsidRPr="00776808">
        <w:t>Evidence Guide</w:t>
      </w:r>
    </w:p>
    <w:tbl>
      <w:tblPr>
        <w:tblW w:w="9570" w:type="dxa"/>
        <w:tblLayout w:type="fixed"/>
        <w:tblCellMar>
          <w:left w:w="62" w:type="dxa"/>
          <w:right w:w="62" w:type="dxa"/>
        </w:tblCellMar>
        <w:tblLook w:val="0000"/>
      </w:tblPr>
      <w:tblGrid>
        <w:gridCol w:w="3908"/>
        <w:gridCol w:w="5662"/>
      </w:tblGrid>
      <w:tr w:rsidTr="003304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EVIDENCE GUIDE</w:t>
            </w:r>
          </w:p>
        </w:tc>
      </w:tr>
      <w:tr w:rsidTr="003304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The evidence guide provides advice on assessment and must be read in conjunction with the performance criteria, required skills and knowledge, range statement and the Assessment Guidelines for the Training Pa</w:t>
            </w:r>
            <w:r w:rsidRPr="00776808">
              <w:t>ckage.</w:t>
            </w:r>
          </w:p>
        </w:tc>
      </w:tr>
      <w:tr w:rsidTr="00330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A person who demonstrates competency in this unit must be able to perform verification/certification or in-service inspection. Competency in this unit cannot be claimed until all prerequisites have been satisfied.</w:t>
            </w:r>
          </w:p>
        </w:tc>
      </w:tr>
      <w:tr w:rsidTr="00330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Assessors must be satisfied that the candidate can competently and consistently perform all elements of the unit as specified by the criteria, including required k</w:t>
            </w:r>
            <w:r w:rsidRPr="00776808">
              <w:t>nowledge, and be capable of applying the competency in new and different situations and contexts.</w:t>
            </w:r>
          </w:p>
        </w:tc>
      </w:tr>
      <w:tr w:rsidTr="00330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This unit may be assessed on the job, off the job or a combination of both on and off the job. Where assessm</w:t>
            </w:r>
            <w:r w:rsidRPr="00776808">
              <w:t>ent occurs off the job, that is the candidate is not in productive work, then an appropriate simulation must be used where the range of conditions reflects realistic workplace situations. The competencies covered by this unit would be demonstrated by an in</w:t>
            </w:r>
            <w:r w:rsidRPr="00776808">
              <w:t xml:space="preserve">dividual working alone or as part of a team. The assessment environment should not disadvantage the candidate. </w:t>
            </w:r>
          </w:p>
          <w:p w:rsidR="00000000" w:rsidP="00776808">
            <w:pPr>
              <w:pStyle w:val="BodyText"/>
              <w:rPr>
                <w:lang w:val="en-NZ"/>
              </w:rPr>
            </w:pPr>
            <w:r w:rsidRPr="00776808">
              <w:t>This unit could be assessed in conjunction with any other units addressing the safety, quality, communication, materials handling, recording and</w:t>
            </w:r>
            <w:r w:rsidRPr="00776808">
              <w:t xml:space="preserve"> reporting associated with performing verification/certification, or in-service inspection or other units requiring the exercise of the skills and knowledge covered by this unit.</w:t>
            </w:r>
          </w:p>
        </w:tc>
      </w:tr>
      <w:tr w:rsidTr="00330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Assessors should gather a range of evidence that is val</w:t>
            </w:r>
            <w:r w:rsidRPr="00776808">
              <w:t>id, sufficient, current and authentic. Evidence can be gathered through a variety of ways including direct observation, supervisor's reports, project work, samples and questioning. Questioning techniques should not require language, literacy and numeracy s</w:t>
            </w:r>
            <w:r w:rsidRPr="00776808">
              <w:t>kills beyond those required in this unit of competency. The candidate must have access to all tools, equipment, materials and documentation required. The candidate must be permitted to refer to any relevant workplace procedures, product and manufacturing s</w:t>
            </w:r>
            <w:r w:rsidRPr="00776808">
              <w:t>pecifications, codes, standards, manuals and reference materials.</w:t>
            </w:r>
          </w:p>
        </w:tc>
      </w:tr>
      <w:tr w:rsidTr="00330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p>
        </w:tc>
      </w:tr>
    </w:tbl>
    <w:p w:rsidR="00330441" w:rsidP="00776808">
      <w:pPr>
        <w:pStyle w:val="BodyText"/>
      </w:pPr>
    </w:p>
    <w:p w:rsidR="00330441" w:rsidP="00776808">
      <w:pPr>
        <w:pStyle w:val="BodyText"/>
      </w:pPr>
    </w:p>
    <w:p w:rsidR="00000000" w:rsidRPr="00776808" w:rsidP="00776808">
      <w:pPr>
        <w:pStyle w:val="Heading1"/>
      </w:pPr>
      <w:bookmarkStart w:id="11" w:name="O_252882"/>
      <w:bookmarkEnd w:id="11"/>
      <w:r w:rsidRPr="00776808">
        <w:t>Range Statement</w:t>
      </w:r>
    </w:p>
    <w:tbl>
      <w:tblPr>
        <w:tblW w:w="0" w:type="auto"/>
        <w:tblLayout w:type="fixed"/>
        <w:tblCellMar>
          <w:left w:w="62" w:type="dxa"/>
          <w:right w:w="62" w:type="dxa"/>
        </w:tblCellMar>
        <w:tblLook w:val="0000"/>
      </w:tblPr>
      <w:tblGrid>
        <w:gridCol w:w="3510"/>
        <w:gridCol w:w="5012"/>
      </w:tblGrid>
      <w:tr w:rsidTr="003304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RANGE STATEMENT</w:t>
            </w:r>
          </w:p>
        </w:tc>
      </w:tr>
      <w:tr w:rsidTr="003304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The range statement relates to the unit of competency as a whole. It allows for different work environments and situations that may affect performance. Bold italicised wording, if used in the performance criteria, is detailed below. Essential operating con</w:t>
            </w:r>
            <w:r w:rsidRPr="00776808">
              <w:t>ditions that may be present with training and assessment (depending on the work situation, needs of the candidate, accessibility of the item, and local industry and regional contexts) may also be included.</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Range of measuring instruments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Length of measure</w:t>
            </w:r>
            <w:r w:rsidRPr="00776808">
              <w:t>s and measuring instruments, area measuring instruments, measures of volume, liquor measuring instruments, liquid measuring instruments, weighing instruments, milk tanks, vehicle tanks, liquefied gas flow meters, electronic metering systems, natural gas fl</w:t>
            </w:r>
            <w:r w:rsidRPr="00776808">
              <w:t>ow meters, dimensional measuring instruments, supplementary measuring instrument, auxiliary devices</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Monitoring</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Sp</w:t>
            </w:r>
            <w:r w:rsidRPr="00776808">
              <w:t>ecific test equipment, random inspections, surveillance, complaint inspection, comparison/analysis of data over time, collation of statistical information, auditing of servicing licensees</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Specialised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Reference standards, safety equipment, produc</w:t>
            </w:r>
            <w:r w:rsidRPr="00776808">
              <w:t>t handling equipment, test equipment, specialised test equipment vehicles</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Legislation and policies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 xml:space="preserve">Enabling legislation, organisational policies and procedures, workplace, health and safety, environmental legislation, enforcement policies, </w:t>
            </w:r>
            <w:r w:rsidRPr="00776808">
              <w:t>conditions of licence</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Workplace</w:t>
            </w:r>
            <w:r w:rsidRPr="00776808">
              <w:t xml:space="preserve">, </w:t>
            </w:r>
            <w:r w:rsidRPr="00776808">
              <w:rPr>
                <w:rStyle w:val="SpecialBold"/>
              </w:rPr>
              <w:t>health and safety considerations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t>Storage and transportation of test equipment, site/premises conditions, specific safety equipment and clothing, manual handling techniques</w:t>
            </w:r>
          </w:p>
        </w:tc>
      </w:tr>
      <w:tr w:rsidTr="0033044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Recording documentation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Non-compliance notices, r</w:t>
            </w:r>
            <w:r w:rsidRPr="00776808">
              <w:t>eflect/incorrect notices, fees, organisational reporting forms</w:t>
            </w:r>
          </w:p>
        </w:tc>
      </w:tr>
    </w:tbl>
    <w:p w:rsidR="00330441" w:rsidP="00776808">
      <w:pPr>
        <w:pStyle w:val="BodyText"/>
      </w:pPr>
    </w:p>
    <w:p w:rsidR="00330441" w:rsidP="00776808">
      <w:pPr>
        <w:pStyle w:val="BodyText"/>
      </w:pPr>
    </w:p>
    <w:p w:rsidR="00000000" w:rsidRPr="00776808" w:rsidP="00776808">
      <w:pPr>
        <w:pStyle w:val="Heading1"/>
      </w:pPr>
      <w:bookmarkStart w:id="12" w:name="O_211858"/>
      <w:bookmarkEnd w:id="12"/>
      <w:r w:rsidRPr="00776808">
        <w:t>Unit Sector(s)</w:t>
      </w:r>
    </w:p>
    <w:tbl>
      <w:tblPr>
        <w:tblW w:w="0" w:type="auto"/>
        <w:tblLayout w:type="fixed"/>
        <w:tblCellMar>
          <w:left w:w="62" w:type="dxa"/>
          <w:right w:w="62" w:type="dxa"/>
        </w:tblCellMar>
        <w:tblLook w:val="0000"/>
      </w:tblPr>
      <w:tblGrid>
        <w:gridCol w:w="2654"/>
        <w:gridCol w:w="5868"/>
      </w:tblGrid>
      <w:tr w:rsidTr="003304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p>
        </w:tc>
      </w:tr>
    </w:tbl>
    <w:p w:rsidR="00330441" w:rsidP="00776808">
      <w:pPr>
        <w:pStyle w:val="BodyText"/>
      </w:pPr>
    </w:p>
    <w:p w:rsidR="00330441" w:rsidP="00776808">
      <w:pPr>
        <w:pStyle w:val="BodyText"/>
      </w:pPr>
    </w:p>
    <w:p w:rsidR="00000000" w:rsidRPr="00776808" w:rsidP="00776808">
      <w:pPr>
        <w:pStyle w:val="Heading1"/>
      </w:pPr>
      <w:bookmarkStart w:id="13" w:name="O_211855"/>
      <w:bookmarkEnd w:id="13"/>
      <w:r w:rsidRPr="00776808">
        <w:t>Co-requisite units</w:t>
      </w:r>
    </w:p>
    <w:tbl>
      <w:tblPr>
        <w:tblW w:w="0" w:type="auto"/>
        <w:tblLayout w:type="fixed"/>
        <w:tblCellMar>
          <w:left w:w="62" w:type="dxa"/>
          <w:right w:w="62" w:type="dxa"/>
        </w:tblCellMar>
        <w:tblLook w:val="0000"/>
      </w:tblPr>
      <w:tblGrid>
        <w:gridCol w:w="2641"/>
        <w:gridCol w:w="1322"/>
        <w:gridCol w:w="4559"/>
      </w:tblGrid>
      <w:tr w:rsidTr="003304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p>
        </w:tc>
      </w:tr>
      <w:tr w:rsidTr="003304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p>
        </w:tc>
      </w:tr>
      <w:tr w:rsidTr="003304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p>
        </w:tc>
      </w:tr>
    </w:tbl>
    <w:p w:rsidR="00330441" w:rsidP="00776808">
      <w:pPr>
        <w:pStyle w:val="BodyText"/>
      </w:pPr>
    </w:p>
    <w:p w:rsidR="00330441" w:rsidP="00776808">
      <w:pPr>
        <w:pStyle w:val="BodyText"/>
      </w:pPr>
    </w:p>
    <w:p w:rsidR="00000000" w:rsidRPr="00776808" w:rsidP="00776808">
      <w:pPr>
        <w:pStyle w:val="Heading1"/>
      </w:pPr>
      <w:bookmarkStart w:id="14" w:name="O_211857"/>
      <w:bookmarkEnd w:id="14"/>
      <w:r w:rsidRPr="00776808">
        <w:t>Competency field</w:t>
      </w:r>
    </w:p>
    <w:tbl>
      <w:tblPr>
        <w:tblW w:w="0" w:type="auto"/>
        <w:tblLayout w:type="fixed"/>
        <w:tblCellMar>
          <w:left w:w="62" w:type="dxa"/>
          <w:right w:w="62" w:type="dxa"/>
        </w:tblCellMar>
        <w:tblLook w:val="0000"/>
      </w:tblPr>
      <w:tblGrid>
        <w:gridCol w:w="2778"/>
        <w:gridCol w:w="5744"/>
      </w:tblGrid>
      <w:tr w:rsidTr="0033044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808">
            <w:pPr>
              <w:pStyle w:val="BodyText"/>
              <w:rPr>
                <w:lang w:val="en-NZ"/>
              </w:rPr>
            </w:pPr>
            <w:r w:rsidRPr="0077680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808" w:rsidP="00776808">
            <w:pPr>
              <w:pStyle w:val="BodyText"/>
            </w:pPr>
            <w:r w:rsidRPr="00776808">
              <w:t>Quality</w:t>
            </w:r>
          </w:p>
        </w:tc>
      </w:tr>
    </w:tbl>
    <w:p w:rsidR="00330441" w:rsidP="00776808">
      <w:pPr>
        <w:pStyle w:val="BodyText"/>
      </w:pPr>
    </w:p>
    <w:p w:rsidR="00330441" w:rsidP="00776808">
      <w:pPr>
        <w:pStyle w:val="BodyText"/>
      </w:pPr>
    </w:p>
    <w:p w:rsidR="00000000" w:rsidRPr="00776808" w:rsidP="00776808"/>
    <w:sectPr w:rsidSect="00776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441" w:rsidP="00330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441" w:rsidP="00776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0441" w:rsidP="007768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0441" w:rsidP="007768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441" w:rsidP="003304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441" w:rsidP="00776808">
    <w:pPr>
      <w:pStyle w:val="Header"/>
      <w:framePr w:wrap="around"/>
    </w:pPr>
    <w:r>
      <w:fldChar w:fldCharType="begin"/>
    </w:r>
    <w:r>
      <w:instrText xml:space="preserve"> TITLE   \* MERGEFORMAT </w:instrText>
    </w:r>
    <w:r>
      <w:fldChar w:fldCharType="separate"/>
    </w:r>
    <w:r>
      <w:t>MEM15020C Perform verification/certification or in-service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0441" w:rsidP="007768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6C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505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8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808"/>
    <w:pPr>
      <w:spacing w:before="360" w:after="60"/>
      <w:outlineLvl w:val="0"/>
    </w:pPr>
    <w:rPr>
      <w:sz w:val="32"/>
    </w:rPr>
  </w:style>
  <w:style w:type="paragraph" w:styleId="Heading2">
    <w:name w:val="heading 2"/>
    <w:basedOn w:val="HeadingBase"/>
    <w:next w:val="BodyText"/>
    <w:link w:val="Heading2Char"/>
    <w:qFormat/>
    <w:rsid w:val="00776808"/>
    <w:pPr>
      <w:keepLines/>
      <w:spacing w:before="240" w:after="120"/>
      <w:outlineLvl w:val="1"/>
    </w:pPr>
    <w:rPr>
      <w:sz w:val="28"/>
      <w:szCs w:val="40"/>
    </w:rPr>
  </w:style>
  <w:style w:type="paragraph" w:styleId="Heading3">
    <w:name w:val="heading 3"/>
    <w:basedOn w:val="HeadingBase"/>
    <w:next w:val="BodyText"/>
    <w:link w:val="Heading3Char"/>
    <w:qFormat/>
    <w:rsid w:val="00776808"/>
    <w:pPr>
      <w:spacing w:before="180" w:after="120"/>
      <w:outlineLvl w:val="2"/>
    </w:pPr>
    <w:rPr>
      <w:spacing w:val="-10"/>
      <w:kern w:val="32"/>
    </w:rPr>
  </w:style>
  <w:style w:type="paragraph" w:styleId="Heading4">
    <w:name w:val="heading 4"/>
    <w:basedOn w:val="HeadingBase"/>
    <w:next w:val="BodyText"/>
    <w:link w:val="Heading4Char"/>
    <w:qFormat/>
    <w:rsid w:val="00776808"/>
    <w:pPr>
      <w:spacing w:before="160" w:after="120"/>
      <w:outlineLvl w:val="3"/>
    </w:pPr>
    <w:rPr>
      <w:sz w:val="22"/>
    </w:rPr>
  </w:style>
  <w:style w:type="paragraph" w:styleId="Heading5">
    <w:name w:val="heading 5"/>
    <w:basedOn w:val="HeadingBase"/>
    <w:next w:val="Normal"/>
    <w:link w:val="Heading5Char"/>
    <w:qFormat/>
    <w:rsid w:val="00776808"/>
    <w:pPr>
      <w:spacing w:before="80"/>
      <w:outlineLvl w:val="4"/>
    </w:pPr>
    <w:rPr>
      <w:color w:val="918585"/>
      <w:sz w:val="20"/>
    </w:rPr>
  </w:style>
  <w:style w:type="paragraph" w:styleId="Heading6">
    <w:name w:val="heading 6"/>
    <w:basedOn w:val="HeadingBase"/>
    <w:next w:val="Normal"/>
    <w:link w:val="Heading6Char"/>
    <w:qFormat/>
    <w:rsid w:val="00776808"/>
    <w:pPr>
      <w:spacing w:before="60"/>
      <w:outlineLvl w:val="5"/>
    </w:pPr>
    <w:rPr>
      <w:color w:val="918585"/>
      <w:sz w:val="20"/>
    </w:rPr>
  </w:style>
  <w:style w:type="paragraph" w:styleId="Heading7">
    <w:name w:val="heading 7"/>
    <w:basedOn w:val="Normal"/>
    <w:next w:val="Normal"/>
    <w:link w:val="Heading7Char"/>
    <w:qFormat/>
    <w:rsid w:val="00776808"/>
    <w:pPr>
      <w:ind w:left="720"/>
      <w:outlineLvl w:val="6"/>
    </w:pPr>
    <w:rPr>
      <w:i/>
    </w:rPr>
  </w:style>
  <w:style w:type="paragraph" w:styleId="Heading8">
    <w:name w:val="heading 8"/>
    <w:basedOn w:val="Normal"/>
    <w:next w:val="Normal"/>
    <w:link w:val="Heading8Char"/>
    <w:qFormat/>
    <w:rsid w:val="00776808"/>
    <w:pPr>
      <w:ind w:left="720"/>
      <w:outlineLvl w:val="7"/>
    </w:pPr>
    <w:rPr>
      <w:i/>
    </w:rPr>
  </w:style>
  <w:style w:type="paragraph" w:styleId="Heading9">
    <w:name w:val="heading 9"/>
    <w:basedOn w:val="Normal"/>
    <w:next w:val="Normal"/>
    <w:link w:val="Heading9Char"/>
    <w:qFormat/>
    <w:rsid w:val="00776808"/>
    <w:pPr>
      <w:ind w:left="720"/>
      <w:outlineLvl w:val="8"/>
    </w:pPr>
    <w:rPr>
      <w:i/>
    </w:rPr>
  </w:style>
  <w:style w:type="character" w:default="1" w:styleId="DefaultParagraphFont">
    <w:name w:val="Default Paragraph Font"/>
    <w:uiPriority w:val="1"/>
    <w:unhideWhenUsed/>
    <w:rsid w:val="00776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808"/>
  </w:style>
  <w:style w:type="character" w:customStyle="1" w:styleId="Heading1Char">
    <w:name w:val="Heading 1 Char"/>
    <w:basedOn w:val="DefaultParagraphFont"/>
    <w:link w:val="Heading1"/>
    <w:rsid w:val="00776808"/>
    <w:rPr>
      <w:rFonts w:ascii="Times New Roman" w:eastAsia="Times New Roman" w:hAnsi="Times New Roman" w:cs="Times New Roman"/>
      <w:b/>
      <w:sz w:val="32"/>
      <w:szCs w:val="20"/>
      <w:lang w:eastAsia="en-US"/>
    </w:rPr>
  </w:style>
  <w:style w:type="paragraph" w:styleId="BodyText">
    <w:name w:val="Body Text"/>
    <w:basedOn w:val="Normal"/>
    <w:link w:val="BodyTextChar"/>
    <w:rsid w:val="00776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808"/>
    <w:rPr>
      <w:rFonts w:ascii="Times New Roman" w:eastAsia="Times New Roman" w:hAnsi="Times New Roman" w:cs="Times New Roman"/>
      <w:sz w:val="24"/>
      <w:lang w:val="en-US" w:eastAsia="en-US"/>
    </w:rPr>
  </w:style>
  <w:style w:type="paragraph" w:styleId="Footer">
    <w:name w:val="footer"/>
    <w:basedOn w:val="Normal"/>
    <w:link w:val="FooterChar"/>
    <w:rsid w:val="00776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808"/>
    <w:rPr>
      <w:rFonts w:ascii="Times New Roman" w:eastAsia="Times New Roman" w:hAnsi="Times New Roman" w:cs="Times New Roman"/>
      <w:sz w:val="16"/>
      <w:lang w:val="en-US" w:eastAsia="en-US"/>
    </w:rPr>
  </w:style>
  <w:style w:type="paragraph" w:styleId="List">
    <w:name w:val="List"/>
    <w:basedOn w:val="BodyText"/>
    <w:next w:val="BodyText"/>
    <w:rsid w:val="00776808"/>
    <w:pPr>
      <w:tabs>
        <w:tab w:val="left" w:pos="340"/>
      </w:tabs>
      <w:spacing w:before="60" w:after="60"/>
      <w:ind w:left="340" w:hanging="340"/>
    </w:pPr>
  </w:style>
  <w:style w:type="paragraph" w:styleId="ListBullet">
    <w:name w:val="List Bullet"/>
    <w:basedOn w:val="List"/>
    <w:rsid w:val="00776808"/>
    <w:pPr>
      <w:numPr>
        <w:numId w:val="12"/>
      </w:numPr>
      <w:tabs>
        <w:tab w:val="clear" w:pos="340"/>
      </w:tabs>
      <w:spacing w:before="40" w:after="40"/>
    </w:pPr>
  </w:style>
  <w:style w:type="character" w:customStyle="1" w:styleId="SpecialBold">
    <w:name w:val="Special Bold"/>
    <w:basedOn w:val="DefaultParagraphFont"/>
    <w:rsid w:val="00776808"/>
    <w:rPr>
      <w:b/>
      <w:spacing w:val="0"/>
    </w:rPr>
  </w:style>
  <w:style w:type="paragraph" w:styleId="Header">
    <w:name w:val="header"/>
    <w:basedOn w:val="Normal"/>
    <w:link w:val="HeaderChar"/>
    <w:rsid w:val="00776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8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808"/>
    <w:pPr>
      <w:spacing w:before="240" w:after="120"/>
      <w:outlineLvl w:val="0"/>
    </w:pPr>
    <w:rPr>
      <w:rFonts w:ascii="Times New Roman" w:hAnsi="Times New Roman"/>
      <w:b/>
      <w:sz w:val="28"/>
    </w:rPr>
  </w:style>
  <w:style w:type="paragraph" w:customStyle="1" w:styleId="AllowPageBreak">
    <w:name w:val="AllowPageBreak"/>
    <w:rsid w:val="007768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6808"/>
    <w:pPr>
      <w:tabs>
        <w:tab w:val="left" w:pos="680"/>
      </w:tabs>
      <w:spacing w:before="60" w:after="60"/>
      <w:ind w:left="680" w:hanging="340"/>
    </w:pPr>
  </w:style>
  <w:style w:type="character" w:customStyle="1" w:styleId="Heading2Char">
    <w:name w:val="Heading 2 Char"/>
    <w:basedOn w:val="DefaultParagraphFont"/>
    <w:link w:val="Heading2"/>
    <w:rsid w:val="00776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8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8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808"/>
    <w:rPr>
      <w:rFonts w:ascii="Courier New" w:eastAsia="Times New Roman" w:hAnsi="Courier New" w:cs="Times New Roman"/>
      <w:i/>
      <w:szCs w:val="20"/>
      <w:lang w:val="en-US" w:eastAsia="en-US"/>
    </w:rPr>
  </w:style>
  <w:style w:type="paragraph" w:customStyle="1" w:styleId="HeadingBase">
    <w:name w:val="Heading Base"/>
    <w:rsid w:val="00776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808"/>
    <w:pPr>
      <w:tabs>
        <w:tab w:val="right" w:leader="dot" w:pos="9072"/>
      </w:tabs>
      <w:ind w:left="567"/>
    </w:pPr>
    <w:rPr>
      <w:szCs w:val="22"/>
    </w:rPr>
  </w:style>
  <w:style w:type="paragraph" w:customStyle="1" w:styleId="TOCBase">
    <w:name w:val="TOC Base"/>
    <w:rsid w:val="00776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808"/>
    <w:pPr>
      <w:tabs>
        <w:tab w:val="right" w:leader="dot" w:pos="9072"/>
      </w:tabs>
      <w:spacing w:before="40" w:after="40"/>
      <w:ind w:left="284"/>
    </w:pPr>
    <w:rPr>
      <w:rFonts w:ascii="Times New Roman" w:hAnsi="Times New Roman"/>
    </w:rPr>
  </w:style>
  <w:style w:type="paragraph" w:styleId="TOC1">
    <w:name w:val="toc 1"/>
    <w:basedOn w:val="TOCBase"/>
    <w:next w:val="Normal"/>
    <w:rsid w:val="007768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808"/>
    <w:pPr>
      <w:spacing w:before="5040"/>
      <w:jc w:val="center"/>
    </w:pPr>
    <w:rPr>
      <w:sz w:val="48"/>
      <w:szCs w:val="72"/>
      <w:lang w:val="en-US"/>
    </w:rPr>
  </w:style>
  <w:style w:type="character" w:customStyle="1" w:styleId="TitleChar">
    <w:name w:val="Title Char"/>
    <w:basedOn w:val="DefaultParagraphFont"/>
    <w:link w:val="Title"/>
    <w:rsid w:val="00776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808"/>
    <w:pPr>
      <w:tabs>
        <w:tab w:val="left" w:pos="3600"/>
        <w:tab w:val="left" w:pos="3958"/>
      </w:tabs>
    </w:pPr>
  </w:style>
  <w:style w:type="paragraph" w:customStyle="1" w:styleId="Note">
    <w:name w:val="Note"/>
    <w:basedOn w:val="BodyText"/>
    <w:rsid w:val="00776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808"/>
    <w:pPr>
      <w:framePr w:wrap="auto" w:hAnchor="text" w:y="6049"/>
    </w:pPr>
    <w:rPr>
      <w:color w:val="000000"/>
      <w:sz w:val="40"/>
    </w:rPr>
  </w:style>
  <w:style w:type="paragraph" w:customStyle="1" w:styleId="TOCTitle">
    <w:name w:val="TOCTitle"/>
    <w:basedOn w:val="Heading1"/>
    <w:rsid w:val="00776808"/>
    <w:pPr>
      <w:spacing w:after="240"/>
      <w:jc w:val="center"/>
      <w:outlineLvl w:val="9"/>
    </w:pPr>
    <w:rPr>
      <w:caps/>
    </w:rPr>
  </w:style>
  <w:style w:type="paragraph" w:customStyle="1" w:styleId="Version">
    <w:name w:val="Version"/>
    <w:rsid w:val="007768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808"/>
    <w:pPr>
      <w:numPr>
        <w:numId w:val="13"/>
      </w:numPr>
      <w:tabs>
        <w:tab w:val="clear" w:pos="680"/>
      </w:tabs>
    </w:pPr>
  </w:style>
  <w:style w:type="paragraph" w:styleId="Index1">
    <w:name w:val="index 1"/>
    <w:basedOn w:val="Normal"/>
    <w:next w:val="Normal"/>
    <w:semiHidden/>
    <w:rsid w:val="00776808"/>
    <w:pPr>
      <w:keepNext w:val="0"/>
      <w:tabs>
        <w:tab w:val="right" w:pos="4176"/>
      </w:tabs>
      <w:ind w:left="198" w:hanging="198"/>
    </w:pPr>
    <w:rPr>
      <w:rFonts w:ascii="Garamond" w:hAnsi="Garamond"/>
    </w:rPr>
  </w:style>
  <w:style w:type="paragraph" w:styleId="IndexHeading">
    <w:name w:val="index heading"/>
    <w:basedOn w:val="Normal"/>
    <w:next w:val="Index1"/>
    <w:semiHidden/>
    <w:rsid w:val="00776808"/>
    <w:pPr>
      <w:spacing w:before="120" w:after="120"/>
    </w:pPr>
    <w:rPr>
      <w:rFonts w:ascii="Arial" w:hAnsi="Arial"/>
      <w:b/>
      <w:color w:val="918585"/>
      <w:sz w:val="24"/>
    </w:rPr>
  </w:style>
  <w:style w:type="paragraph" w:customStyle="1" w:styleId="Chapter">
    <w:name w:val="Chapter"/>
    <w:basedOn w:val="Normal"/>
    <w:rsid w:val="00776808"/>
    <w:pPr>
      <w:spacing w:before="240"/>
    </w:pPr>
    <w:rPr>
      <w:rFonts w:ascii="Times New Roman" w:hAnsi="Times New Roman"/>
      <w:smallCaps/>
      <w:spacing w:val="80"/>
      <w:sz w:val="28"/>
    </w:rPr>
  </w:style>
  <w:style w:type="paragraph" w:customStyle="1" w:styleId="InChapter">
    <w:name w:val="InChapter"/>
    <w:basedOn w:val="Heading3"/>
    <w:rsid w:val="00776808"/>
    <w:pPr>
      <w:spacing w:after="240"/>
      <w:outlineLvl w:val="9"/>
    </w:pPr>
    <w:rPr>
      <w:noProof/>
    </w:rPr>
  </w:style>
  <w:style w:type="paragraph" w:styleId="Index2">
    <w:name w:val="index 2"/>
    <w:basedOn w:val="Normal"/>
    <w:next w:val="Normal"/>
    <w:semiHidden/>
    <w:rsid w:val="00776808"/>
    <w:pPr>
      <w:tabs>
        <w:tab w:val="right" w:pos="4176"/>
      </w:tabs>
      <w:ind w:left="568" w:hanging="284"/>
    </w:pPr>
    <w:rPr>
      <w:rFonts w:ascii="Garamond" w:hAnsi="Garamond"/>
    </w:rPr>
  </w:style>
  <w:style w:type="paragraph" w:customStyle="1" w:styleId="Byline">
    <w:name w:val="Byline"/>
    <w:rsid w:val="00776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808"/>
    <w:pPr>
      <w:tabs>
        <w:tab w:val="clear" w:pos="3600"/>
        <w:tab w:val="clear" w:pos="3958"/>
      </w:tabs>
      <w:jc w:val="right"/>
    </w:pPr>
  </w:style>
  <w:style w:type="character" w:styleId="Emphasis">
    <w:name w:val="Emphasis"/>
    <w:basedOn w:val="DefaultParagraphFont"/>
    <w:qFormat/>
    <w:rsid w:val="00776808"/>
    <w:rPr>
      <w:i/>
    </w:rPr>
  </w:style>
  <w:style w:type="paragraph" w:styleId="Caption">
    <w:name w:val="caption"/>
    <w:basedOn w:val="BodyText"/>
    <w:next w:val="Normal"/>
    <w:qFormat/>
    <w:rsid w:val="00776808"/>
    <w:pPr>
      <w:framePr w:w="2268" w:hSpace="181" w:vSpace="181" w:wrap="around" w:vAnchor="text" w:hAnchor="page" w:x="1135" w:y="285" w:anchorLock="1"/>
    </w:pPr>
    <w:rPr>
      <w:i/>
    </w:rPr>
  </w:style>
  <w:style w:type="paragraph" w:customStyle="1" w:styleId="MiniTOCTitle">
    <w:name w:val="MiniTOCTitle"/>
    <w:basedOn w:val="Heading4"/>
    <w:rsid w:val="00776808"/>
    <w:pPr>
      <w:spacing w:before="240"/>
      <w:outlineLvl w:val="9"/>
    </w:pPr>
    <w:rPr>
      <w:noProof/>
      <w:sz w:val="24"/>
    </w:rPr>
  </w:style>
  <w:style w:type="paragraph" w:customStyle="1" w:styleId="MiniTOCItem">
    <w:name w:val="MiniTOCItem"/>
    <w:basedOn w:val="ListBullet"/>
    <w:rsid w:val="00776808"/>
    <w:pPr>
      <w:numPr>
        <w:numId w:val="0"/>
      </w:numPr>
      <w:tabs>
        <w:tab w:val="right" w:leader="dot" w:pos="6521"/>
      </w:tabs>
      <w:spacing w:before="0" w:after="0"/>
    </w:pPr>
  </w:style>
  <w:style w:type="paragraph" w:customStyle="1" w:styleId="TOFTitle">
    <w:name w:val="TOFTitle"/>
    <w:basedOn w:val="TOCTitle"/>
    <w:rsid w:val="00776808"/>
  </w:style>
  <w:style w:type="paragraph" w:styleId="TableofFigures">
    <w:name w:val="table of figures"/>
    <w:basedOn w:val="Normal"/>
    <w:next w:val="Normal"/>
    <w:semiHidden/>
    <w:rsid w:val="00776808"/>
    <w:pPr>
      <w:tabs>
        <w:tab w:val="right" w:leader="dot" w:pos="9072"/>
      </w:tabs>
      <w:ind w:left="970" w:hanging="403"/>
    </w:pPr>
    <w:rPr>
      <w:rFonts w:ascii="Times New Roman" w:hAnsi="Times New Roman"/>
      <w:b/>
    </w:rPr>
  </w:style>
  <w:style w:type="paragraph" w:styleId="ListNumber">
    <w:name w:val="List Number"/>
    <w:basedOn w:val="List"/>
    <w:rsid w:val="00776808"/>
    <w:pPr>
      <w:numPr>
        <w:numId w:val="10"/>
      </w:numPr>
    </w:pPr>
  </w:style>
  <w:style w:type="character" w:customStyle="1" w:styleId="WingdingSymbols">
    <w:name w:val="Wingding Symbols"/>
    <w:rsid w:val="00776808"/>
    <w:rPr>
      <w:rFonts w:ascii="Wingdings" w:hAnsi="Wingdings"/>
    </w:rPr>
  </w:style>
  <w:style w:type="paragraph" w:customStyle="1" w:styleId="TableHeading">
    <w:name w:val="Table Heading"/>
    <w:basedOn w:val="HeadingBase"/>
    <w:rsid w:val="00776808"/>
    <w:pPr>
      <w:keepLines/>
      <w:pBdr>
        <w:bottom w:val="single" w:sz="6" w:space="1" w:color="918585"/>
      </w:pBdr>
      <w:spacing w:before="240"/>
    </w:pPr>
  </w:style>
  <w:style w:type="character" w:customStyle="1" w:styleId="HotSpot">
    <w:name w:val="HotSpot"/>
    <w:rsid w:val="00776808"/>
    <w:rPr>
      <w:color w:val="0033CC"/>
      <w:u w:val="none"/>
    </w:rPr>
  </w:style>
  <w:style w:type="paragraph" w:customStyle="1" w:styleId="BodyTextRight">
    <w:name w:val="Body Text Right"/>
    <w:basedOn w:val="BodyText"/>
    <w:rsid w:val="00776808"/>
    <w:pPr>
      <w:spacing w:before="0" w:after="0"/>
      <w:jc w:val="right"/>
    </w:pPr>
  </w:style>
  <w:style w:type="paragraph" w:styleId="Index3">
    <w:name w:val="index 3"/>
    <w:basedOn w:val="ListNumber2"/>
    <w:next w:val="Normal"/>
    <w:semiHidden/>
    <w:rsid w:val="00776808"/>
    <w:pPr>
      <w:numPr>
        <w:numId w:val="0"/>
      </w:numPr>
      <w:tabs>
        <w:tab w:val="right" w:leader="dot" w:pos="4176"/>
      </w:tabs>
    </w:pPr>
  </w:style>
  <w:style w:type="paragraph" w:styleId="ListNumber2">
    <w:name w:val="List Number 2"/>
    <w:basedOn w:val="List2"/>
    <w:rsid w:val="00776808"/>
    <w:pPr>
      <w:numPr>
        <w:numId w:val="9"/>
      </w:numPr>
      <w:tabs>
        <w:tab w:val="clear" w:pos="1060"/>
      </w:tabs>
    </w:pPr>
  </w:style>
  <w:style w:type="paragraph" w:customStyle="1" w:styleId="MarginNote">
    <w:name w:val="Margin Note"/>
    <w:basedOn w:val="BodyText"/>
    <w:rsid w:val="00776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8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808"/>
    <w:rPr>
      <w:sz w:val="32"/>
    </w:rPr>
  </w:style>
  <w:style w:type="paragraph" w:customStyle="1" w:styleId="HeadingProcedure">
    <w:name w:val="Heading Procedure"/>
    <w:basedOn w:val="HeadingBase"/>
    <w:next w:val="Normal"/>
    <w:rsid w:val="00776808"/>
    <w:pPr>
      <w:tabs>
        <w:tab w:val="left" w:pos="0"/>
      </w:tabs>
      <w:spacing w:before="120" w:after="60"/>
    </w:pPr>
    <w:rPr>
      <w:i/>
      <w:color w:val="918585"/>
      <w:sz w:val="22"/>
    </w:rPr>
  </w:style>
  <w:style w:type="paragraph" w:customStyle="1" w:styleId="TableBodyText">
    <w:name w:val="Table Body Text"/>
    <w:basedOn w:val="BodyText"/>
    <w:rsid w:val="00776808"/>
    <w:pPr>
      <w:spacing w:before="60" w:after="60"/>
    </w:pPr>
  </w:style>
  <w:style w:type="paragraph" w:styleId="ListContinue">
    <w:name w:val="List Continue"/>
    <w:basedOn w:val="List"/>
    <w:rsid w:val="00776808"/>
    <w:pPr>
      <w:ind w:firstLine="0"/>
    </w:pPr>
  </w:style>
  <w:style w:type="paragraph" w:customStyle="1" w:styleId="ListNote">
    <w:name w:val="List Note"/>
    <w:basedOn w:val="List"/>
    <w:rsid w:val="00776808"/>
    <w:pPr>
      <w:pBdr>
        <w:top w:val="single" w:sz="6" w:space="2" w:color="918585"/>
        <w:bottom w:val="single" w:sz="6" w:space="2" w:color="918585"/>
      </w:pBdr>
      <w:tabs>
        <w:tab w:val="left" w:pos="1021"/>
      </w:tabs>
      <w:ind w:firstLine="0"/>
    </w:pPr>
  </w:style>
  <w:style w:type="paragraph" w:customStyle="1" w:styleId="Warning">
    <w:name w:val="Warning"/>
    <w:basedOn w:val="BodyText"/>
    <w:rsid w:val="00776808"/>
    <w:pPr>
      <w:shd w:val="clear" w:color="auto" w:fill="D9D9D9"/>
      <w:tabs>
        <w:tab w:val="left" w:pos="992"/>
      </w:tabs>
      <w:ind w:left="119" w:right="119"/>
    </w:pPr>
    <w:rPr>
      <w:sz w:val="20"/>
    </w:rPr>
  </w:style>
  <w:style w:type="paragraph" w:customStyle="1" w:styleId="MarginIcons">
    <w:name w:val="Margin Icons"/>
    <w:basedOn w:val="BodyText"/>
    <w:rsid w:val="00776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808"/>
    <w:rPr>
      <w:rFonts w:ascii="Courier New" w:hAnsi="Courier New"/>
    </w:rPr>
  </w:style>
  <w:style w:type="paragraph" w:customStyle="1" w:styleId="NoteBullet">
    <w:name w:val="Note Bullet"/>
    <w:basedOn w:val="Note"/>
    <w:rsid w:val="00776808"/>
    <w:pPr>
      <w:tabs>
        <w:tab w:val="clear" w:pos="680"/>
      </w:tabs>
      <w:spacing w:before="60" w:after="60"/>
    </w:pPr>
  </w:style>
  <w:style w:type="paragraph" w:customStyle="1" w:styleId="SubHeading2">
    <w:name w:val="SubHeading2"/>
    <w:basedOn w:val="HeadingBase"/>
    <w:rsid w:val="00776808"/>
    <w:pPr>
      <w:spacing w:before="240" w:after="60"/>
    </w:pPr>
    <w:rPr>
      <w:sz w:val="20"/>
    </w:rPr>
  </w:style>
  <w:style w:type="paragraph" w:customStyle="1" w:styleId="SubHeading1">
    <w:name w:val="SubHeading1"/>
    <w:basedOn w:val="HeadingBase"/>
    <w:rsid w:val="00776808"/>
    <w:pPr>
      <w:spacing w:before="240" w:after="60"/>
    </w:pPr>
    <w:rPr>
      <w:color w:val="918585"/>
      <w:sz w:val="22"/>
    </w:rPr>
  </w:style>
  <w:style w:type="paragraph" w:customStyle="1" w:styleId="SideHeading">
    <w:name w:val="Side Heading"/>
    <w:basedOn w:val="HeadingBase"/>
    <w:rsid w:val="00776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808"/>
    <w:pPr>
      <w:tabs>
        <w:tab w:val="num" w:pos="360"/>
      </w:tabs>
    </w:pPr>
  </w:style>
  <w:style w:type="paragraph" w:styleId="PlainText">
    <w:name w:val="Plain Text"/>
    <w:basedOn w:val="Normal"/>
    <w:link w:val="PlainTextChar"/>
    <w:rsid w:val="00776808"/>
    <w:rPr>
      <w:sz w:val="20"/>
    </w:rPr>
  </w:style>
  <w:style w:type="character" w:customStyle="1" w:styleId="PlainTextChar">
    <w:name w:val="Plain Text Char"/>
    <w:basedOn w:val="DefaultParagraphFont"/>
    <w:link w:val="PlainText"/>
    <w:rsid w:val="007768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808"/>
    <w:rPr>
      <w:b/>
      <w:smallCaps/>
    </w:rPr>
  </w:style>
  <w:style w:type="paragraph" w:customStyle="1" w:styleId="TableListNumber">
    <w:name w:val="Table List Number"/>
    <w:basedOn w:val="ListNumber"/>
    <w:rsid w:val="00776808"/>
    <w:pPr>
      <w:numPr>
        <w:numId w:val="0"/>
      </w:numPr>
    </w:pPr>
  </w:style>
  <w:style w:type="paragraph" w:styleId="TOC4">
    <w:name w:val="toc 4"/>
    <w:basedOn w:val="TOCBase"/>
    <w:next w:val="Normal"/>
    <w:semiHidden/>
    <w:rsid w:val="00776808"/>
    <w:pPr>
      <w:tabs>
        <w:tab w:val="right" w:leader="dot" w:pos="9071"/>
      </w:tabs>
      <w:ind w:left="1701"/>
    </w:pPr>
  </w:style>
  <w:style w:type="paragraph" w:customStyle="1" w:styleId="ListAlpha">
    <w:name w:val="List Alpha"/>
    <w:basedOn w:val="List"/>
    <w:rsid w:val="00776808"/>
    <w:pPr>
      <w:numPr>
        <w:numId w:val="8"/>
      </w:numPr>
    </w:pPr>
  </w:style>
  <w:style w:type="paragraph" w:customStyle="1" w:styleId="ListAlpha2">
    <w:name w:val="List Alpha 2"/>
    <w:basedOn w:val="List2"/>
    <w:rsid w:val="00776808"/>
    <w:pPr>
      <w:numPr>
        <w:numId w:val="7"/>
      </w:numPr>
    </w:pPr>
  </w:style>
  <w:style w:type="paragraph" w:styleId="List3">
    <w:name w:val="List 3"/>
    <w:basedOn w:val="BodyText"/>
    <w:rsid w:val="00776808"/>
    <w:pPr>
      <w:tabs>
        <w:tab w:val="left" w:pos="1021"/>
      </w:tabs>
      <w:spacing w:before="60" w:after="60"/>
      <w:ind w:left="1020" w:hanging="340"/>
    </w:pPr>
  </w:style>
  <w:style w:type="paragraph" w:styleId="List4">
    <w:name w:val="List 4"/>
    <w:basedOn w:val="BodyText"/>
    <w:rsid w:val="00776808"/>
    <w:pPr>
      <w:tabs>
        <w:tab w:val="left" w:pos="1361"/>
      </w:tabs>
      <w:spacing w:before="60" w:after="60"/>
      <w:ind w:left="1361" w:hanging="340"/>
    </w:pPr>
  </w:style>
  <w:style w:type="paragraph" w:styleId="List5">
    <w:name w:val="List 5"/>
    <w:basedOn w:val="BodyText"/>
    <w:rsid w:val="00776808"/>
    <w:pPr>
      <w:tabs>
        <w:tab w:val="left" w:pos="1701"/>
      </w:tabs>
      <w:spacing w:before="60" w:after="60"/>
      <w:ind w:left="1701" w:hanging="340"/>
    </w:pPr>
  </w:style>
  <w:style w:type="paragraph" w:styleId="ListBullet3">
    <w:name w:val="List Bullet 3"/>
    <w:basedOn w:val="List3"/>
    <w:rsid w:val="00776808"/>
    <w:pPr>
      <w:numPr>
        <w:numId w:val="14"/>
      </w:numPr>
      <w:tabs>
        <w:tab w:val="clear" w:pos="1021"/>
      </w:tabs>
      <w:ind w:left="1037" w:hanging="357"/>
    </w:pPr>
  </w:style>
  <w:style w:type="paragraph" w:styleId="ListBullet4">
    <w:name w:val="List Bullet 4"/>
    <w:basedOn w:val="List4"/>
    <w:rsid w:val="00776808"/>
    <w:pPr>
      <w:numPr>
        <w:numId w:val="2"/>
      </w:numPr>
    </w:pPr>
  </w:style>
  <w:style w:type="paragraph" w:styleId="ListBullet5">
    <w:name w:val="List Bullet 5"/>
    <w:basedOn w:val="List5"/>
    <w:rsid w:val="00776808"/>
    <w:pPr>
      <w:numPr>
        <w:numId w:val="3"/>
      </w:numPr>
    </w:pPr>
  </w:style>
  <w:style w:type="paragraph" w:styleId="ListContinue2">
    <w:name w:val="List Continue 2"/>
    <w:basedOn w:val="List2"/>
    <w:rsid w:val="00776808"/>
    <w:pPr>
      <w:ind w:firstLine="0"/>
    </w:pPr>
  </w:style>
  <w:style w:type="paragraph" w:styleId="ListContinue3">
    <w:name w:val="List Continue 3"/>
    <w:basedOn w:val="List3"/>
    <w:rsid w:val="00776808"/>
    <w:pPr>
      <w:ind w:left="1021" w:firstLine="0"/>
    </w:pPr>
  </w:style>
  <w:style w:type="paragraph" w:styleId="ListContinue4">
    <w:name w:val="List Continue 4"/>
    <w:basedOn w:val="List4"/>
    <w:rsid w:val="00776808"/>
    <w:pPr>
      <w:ind w:firstLine="0"/>
    </w:pPr>
  </w:style>
  <w:style w:type="paragraph" w:styleId="ListContinue5">
    <w:name w:val="List Continue 5"/>
    <w:basedOn w:val="List5"/>
    <w:rsid w:val="00776808"/>
    <w:pPr>
      <w:ind w:firstLine="0"/>
    </w:pPr>
  </w:style>
  <w:style w:type="paragraph" w:styleId="ListNumber3">
    <w:name w:val="List Number 3"/>
    <w:basedOn w:val="List3"/>
    <w:rsid w:val="00776808"/>
    <w:pPr>
      <w:numPr>
        <w:numId w:val="4"/>
      </w:numPr>
    </w:pPr>
  </w:style>
  <w:style w:type="paragraph" w:styleId="ListNumber4">
    <w:name w:val="List Number 4"/>
    <w:basedOn w:val="List4"/>
    <w:rsid w:val="00776808"/>
    <w:pPr>
      <w:numPr>
        <w:numId w:val="5"/>
      </w:numPr>
    </w:pPr>
  </w:style>
  <w:style w:type="paragraph" w:styleId="ListNumber5">
    <w:name w:val="List Number 5"/>
    <w:basedOn w:val="List5"/>
    <w:rsid w:val="00776808"/>
    <w:pPr>
      <w:numPr>
        <w:numId w:val="6"/>
      </w:numPr>
    </w:pPr>
  </w:style>
  <w:style w:type="paragraph" w:styleId="BlockText">
    <w:name w:val="Block Text"/>
    <w:basedOn w:val="Normal"/>
    <w:rsid w:val="00776808"/>
    <w:pPr>
      <w:spacing w:after="120"/>
      <w:ind w:left="1440" w:right="1440"/>
    </w:pPr>
  </w:style>
  <w:style w:type="character" w:customStyle="1" w:styleId="Subscript">
    <w:name w:val="Subscript"/>
    <w:basedOn w:val="DefaultParagraphFont"/>
    <w:rsid w:val="00776808"/>
    <w:rPr>
      <w:sz w:val="16"/>
      <w:vertAlign w:val="subscript"/>
    </w:rPr>
  </w:style>
  <w:style w:type="character" w:customStyle="1" w:styleId="Superscript">
    <w:name w:val="Superscript"/>
    <w:basedOn w:val="DefaultParagraphFont"/>
    <w:rsid w:val="00776808"/>
    <w:rPr>
      <w:sz w:val="16"/>
      <w:vertAlign w:val="superscript"/>
    </w:rPr>
  </w:style>
  <w:style w:type="character" w:customStyle="1" w:styleId="Symbols">
    <w:name w:val="Symbols"/>
    <w:basedOn w:val="DefaultParagraphFont"/>
    <w:rsid w:val="00776808"/>
    <w:rPr>
      <w:rFonts w:ascii="Symbol" w:hAnsi="Symbol"/>
    </w:rPr>
  </w:style>
  <w:style w:type="character" w:customStyle="1" w:styleId="MenuOptions">
    <w:name w:val="Menu Options"/>
    <w:basedOn w:val="DefaultParagraphFont"/>
    <w:rsid w:val="00776808"/>
    <w:rPr>
      <w:rFonts w:ascii="Arial Narrow" w:hAnsi="Arial Narrow"/>
      <w:smallCaps/>
    </w:rPr>
  </w:style>
  <w:style w:type="character" w:customStyle="1" w:styleId="Buttons">
    <w:name w:val="Buttons"/>
    <w:basedOn w:val="DefaultParagraphFont"/>
    <w:rsid w:val="00776808"/>
    <w:rPr>
      <w:b/>
    </w:rPr>
  </w:style>
  <w:style w:type="character" w:customStyle="1" w:styleId="Underlined">
    <w:name w:val="Underlined"/>
    <w:basedOn w:val="DefaultParagraphFont"/>
    <w:rsid w:val="00776808"/>
    <w:rPr>
      <w:u w:val="single"/>
    </w:rPr>
  </w:style>
  <w:style w:type="paragraph" w:customStyle="1" w:styleId="TableBodyTextRight">
    <w:name w:val="Table Body Text Right"/>
    <w:basedOn w:val="TableBodyText"/>
    <w:rsid w:val="00776808"/>
    <w:pPr>
      <w:widowControl w:val="0"/>
      <w:autoSpaceDE w:val="0"/>
      <w:autoSpaceDN w:val="0"/>
      <w:adjustRightInd w:val="0"/>
      <w:jc w:val="right"/>
    </w:pPr>
    <w:rPr>
      <w:rFonts w:cs="Arial"/>
      <w:szCs w:val="18"/>
    </w:rPr>
  </w:style>
  <w:style w:type="paragraph" w:customStyle="1" w:styleId="CopyrightText">
    <w:name w:val="Copyright Text"/>
    <w:basedOn w:val="BodyText"/>
    <w:rsid w:val="00776808"/>
    <w:rPr>
      <w:sz w:val="18"/>
    </w:rPr>
  </w:style>
  <w:style w:type="paragraph" w:customStyle="1" w:styleId="BodySmallRight">
    <w:name w:val="Body Small Right"/>
    <w:basedOn w:val="BodyTextRight"/>
    <w:rsid w:val="00776808"/>
    <w:rPr>
      <w:sz w:val="18"/>
      <w:szCs w:val="18"/>
    </w:rPr>
  </w:style>
  <w:style w:type="paragraph" w:customStyle="1" w:styleId="MarginEdition">
    <w:name w:val="Margin Edition"/>
    <w:basedOn w:val="MarginNote"/>
    <w:rsid w:val="00776808"/>
    <w:pPr>
      <w:spacing w:before="0" w:after="0"/>
    </w:pPr>
    <w:rPr>
      <w:rFonts w:ascii="Times New Roman" w:hAnsi="Times New Roman"/>
      <w:color w:val="999999"/>
    </w:rPr>
  </w:style>
  <w:style w:type="paragraph" w:customStyle="1" w:styleId="Spacer">
    <w:name w:val="Spacer"/>
    <w:basedOn w:val="Normal"/>
    <w:rsid w:val="00776808"/>
    <w:rPr>
      <w:sz w:val="2"/>
      <w:szCs w:val="2"/>
    </w:rPr>
  </w:style>
  <w:style w:type="character" w:customStyle="1" w:styleId="Small">
    <w:name w:val="Small"/>
    <w:basedOn w:val="DefaultParagraphFont"/>
    <w:rsid w:val="00776808"/>
    <w:rPr>
      <w:sz w:val="16"/>
    </w:rPr>
  </w:style>
  <w:style w:type="paragraph" w:customStyle="1" w:styleId="WideTable">
    <w:name w:val="Wide Table"/>
    <w:basedOn w:val="Normal"/>
    <w:rsid w:val="00776808"/>
    <w:pPr>
      <w:ind w:left="-1418"/>
    </w:pPr>
    <w:rPr>
      <w:sz w:val="2"/>
      <w:szCs w:val="2"/>
    </w:rPr>
  </w:style>
  <w:style w:type="character" w:styleId="PageNumber">
    <w:name w:val="page number"/>
    <w:basedOn w:val="DefaultParagraphFont"/>
    <w:rsid w:val="00776808"/>
  </w:style>
  <w:style w:type="paragraph" w:styleId="Quote">
    <w:name w:val="Quote"/>
    <w:basedOn w:val="Heading1"/>
    <w:link w:val="QuoteChar"/>
    <w:qFormat/>
    <w:rsid w:val="00776808"/>
    <w:rPr>
      <w:b w:val="0"/>
      <w:sz w:val="72"/>
      <w:szCs w:val="72"/>
      <w:lang w:val="en-NZ"/>
    </w:rPr>
  </w:style>
  <w:style w:type="character" w:customStyle="1" w:styleId="QuoteChar">
    <w:name w:val="Quote Char"/>
    <w:basedOn w:val="DefaultParagraphFont"/>
    <w:link w:val="Quote"/>
    <w:rsid w:val="00776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808"/>
    <w:pPr>
      <w:pageBreakBefore/>
    </w:pPr>
  </w:style>
  <w:style w:type="paragraph" w:customStyle="1" w:styleId="Border">
    <w:name w:val="Border"/>
    <w:basedOn w:val="Normal"/>
    <w:qFormat/>
    <w:rsid w:val="00776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808"/>
    <w:rPr>
      <w:b/>
      <w:bCs/>
      <w:i/>
      <w:iCs/>
      <w:color w:val="auto"/>
    </w:rPr>
  </w:style>
  <w:style w:type="paragraph" w:styleId="IntenseQuote">
    <w:name w:val="Intense Quote"/>
    <w:basedOn w:val="Normal"/>
    <w:next w:val="Normal"/>
    <w:link w:val="IntenseQuoteChar"/>
    <w:uiPriority w:val="30"/>
    <w:qFormat/>
    <w:rsid w:val="00776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8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808"/>
    <w:rPr>
      <w:smallCaps/>
      <w:color w:val="auto"/>
      <w:u w:val="single"/>
    </w:rPr>
  </w:style>
  <w:style w:type="character" w:styleId="IntenseReference">
    <w:name w:val="Intense Reference"/>
    <w:basedOn w:val="DefaultParagraphFont"/>
    <w:uiPriority w:val="32"/>
    <w:qFormat/>
    <w:rsid w:val="00776808"/>
    <w:rPr>
      <w:b/>
      <w:bCs/>
      <w:smallCaps/>
      <w:color w:val="auto"/>
      <w:spacing w:val="5"/>
      <w:u w:val="single"/>
    </w:rPr>
  </w:style>
  <w:style w:type="paragraph" w:customStyle="1" w:styleId="2ColumnHeading">
    <w:name w:val="2Column Heading"/>
    <w:basedOn w:val="BodyText"/>
    <w:qFormat/>
    <w:rsid w:val="00776808"/>
    <w:pPr>
      <w:spacing w:after="60"/>
      <w:ind w:left="-2268"/>
    </w:pPr>
    <w:rPr>
      <w:b/>
    </w:rPr>
  </w:style>
  <w:style w:type="paragraph" w:customStyle="1" w:styleId="Heading1TOC">
    <w:name w:val="Heading1 TOC"/>
    <w:basedOn w:val="Normal"/>
    <w:qFormat/>
    <w:rsid w:val="00776808"/>
    <w:pPr>
      <w:spacing w:before="240" w:after="120"/>
    </w:pPr>
    <w:rPr>
      <w:rFonts w:ascii="Times New Roman" w:hAnsi="Times New Roman"/>
      <w:b/>
      <w:sz w:val="32"/>
    </w:rPr>
  </w:style>
  <w:style w:type="paragraph" w:customStyle="1" w:styleId="Heading2TOC">
    <w:name w:val="Heading2 TOC"/>
    <w:basedOn w:val="Normal"/>
    <w:qFormat/>
    <w:rsid w:val="00776808"/>
    <w:pPr>
      <w:spacing w:before="240" w:after="60"/>
    </w:pPr>
    <w:rPr>
      <w:rFonts w:ascii="Times New Roman" w:hAnsi="Times New Roman"/>
      <w:b/>
      <w:sz w:val="28"/>
    </w:rPr>
  </w:style>
  <w:style w:type="character" w:customStyle="1" w:styleId="Underline">
    <w:name w:val="Underline"/>
    <w:basedOn w:val="DefaultParagraphFont"/>
    <w:qFormat/>
    <w:rsid w:val="00776808"/>
    <w:rPr>
      <w:u w:val="single"/>
    </w:rPr>
  </w:style>
  <w:style w:type="character" w:customStyle="1" w:styleId="BoldandItalics">
    <w:name w:val="Bold and Italics"/>
    <w:qFormat/>
    <w:rsid w:val="00776808"/>
    <w:rPr>
      <w:b/>
      <w:i/>
      <w:u w:val="none"/>
    </w:rPr>
  </w:style>
  <w:style w:type="paragraph" w:styleId="BalloonText">
    <w:name w:val="Balloon Text"/>
    <w:basedOn w:val="Normal"/>
    <w:link w:val="BalloonTextChar"/>
    <w:rsid w:val="00776808"/>
    <w:rPr>
      <w:rFonts w:ascii="Tahoma" w:hAnsi="Tahoma" w:cs="Tahoma"/>
      <w:sz w:val="16"/>
      <w:szCs w:val="16"/>
    </w:rPr>
  </w:style>
  <w:style w:type="character" w:customStyle="1" w:styleId="BalloonTextChar">
    <w:name w:val="Balloon Text Char"/>
    <w:basedOn w:val="DefaultParagraphFont"/>
    <w:link w:val="BalloonText"/>
    <w:rsid w:val="007768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8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8232</Characters>
  <Application>Microsoft Office Word</Application>
  <DocSecurity>0</DocSecurity>
  <Lines>282</Lines>
  <Paragraphs>114</Paragraphs>
  <ScaleCrop>false</ScaleCrop>
  <Company>Author-it Software Corporation Ltd.</Company>
  <LinksUpToDate>false</LinksUpToDate>
  <CharactersWithSpaces>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MEM15020C Perform verification/certification or in-service inspection</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2012-05-27T01:48:00Z</dcterms:created>
  <dcterms:modified xsi:type="dcterms:W3CDTF">2012-05-27T01:48:00Z</dcterms:modified>
</cp:coreProperties>
</file>