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000" w:rsidP="00811000">
      <w:pPr>
        <w:pStyle w:val="Title"/>
      </w:pPr>
      <w:r>
        <w:fldChar w:fldCharType="begin"/>
      </w:r>
      <w:r>
        <w:instrText xml:space="preserve"> TITLE   \* MERGEFORMAT </w:instrText>
      </w:r>
      <w:r>
        <w:fldChar w:fldCharType="separate"/>
      </w:r>
      <w:r>
        <w:t>MEM15019B Conduct a field inspection</w:t>
      </w:r>
      <w:r>
        <w:fldChar w:fldCharType="end"/>
      </w:r>
    </w:p>
    <w:p w:rsidR="00811000" w:rsidP="00811000">
      <w:pPr>
        <w:pStyle w:val="Version"/>
        <w:sectPr w:rsidSect="00843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2BE" w:rsidP="008432BE">
      <w:pPr>
        <w:pStyle w:val="SuperHeading"/>
      </w:pPr>
      <w:r w:rsidRPr="008432BE">
        <w:t>MEM15019B Conduct a field inspection</w:t>
      </w:r>
    </w:p>
    <w:p w:rsidR="00000000" w:rsidRPr="008432BE" w:rsidP="008432BE">
      <w:pPr>
        <w:pStyle w:val="Heading1"/>
      </w:pPr>
      <w:bookmarkStart w:id="1" w:name="O_272201"/>
      <w:bookmarkEnd w:id="1"/>
      <w:r w:rsidRPr="008432BE">
        <w:t>Modification History</w:t>
      </w:r>
    </w:p>
    <w:p w:rsidR="00000000" w:rsidRPr="008432BE" w:rsidP="008432BE">
      <w:pPr>
        <w:pStyle w:val="BodyText"/>
      </w:pPr>
      <w:r w:rsidRPr="008432BE">
        <w:t>Not Applicable</w:t>
      </w:r>
    </w:p>
    <w:p w:rsidR="00000000" w:rsidRPr="008432BE" w:rsidP="008432BE">
      <w:pPr>
        <w:pStyle w:val="AllowPageBreak"/>
      </w:pPr>
    </w:p>
    <w:p w:rsidR="00000000" w:rsidRPr="008432BE" w:rsidP="008432BE">
      <w:pPr>
        <w:pStyle w:val="Heading1"/>
      </w:pPr>
      <w:bookmarkStart w:id="2" w:name="O_211845"/>
      <w:bookmarkEnd w:id="2"/>
      <w:r w:rsidRPr="008432BE">
        <w:t>Unit Descriptor</w:t>
      </w:r>
    </w:p>
    <w:tbl>
      <w:tblPr>
        <w:tblW w:w="0" w:type="auto"/>
        <w:tblLayout w:type="fixed"/>
        <w:tblCellMar>
          <w:left w:w="62" w:type="dxa"/>
          <w:right w:w="62" w:type="dxa"/>
        </w:tblCellMar>
        <w:tblLook w:val="0000"/>
      </w:tblPr>
      <w:tblGrid>
        <w:gridCol w:w="2668"/>
        <w:gridCol w:w="5854"/>
      </w:tblGrid>
      <w:tr w:rsidTr="0081100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The unit covers conducting a trade measurement field inspection on trader's premises.</w:t>
            </w:r>
          </w:p>
        </w:tc>
      </w:tr>
    </w:tbl>
    <w:p w:rsidR="00811000" w:rsidP="008432BE">
      <w:pPr>
        <w:pStyle w:val="BodyText"/>
      </w:pPr>
    </w:p>
    <w:p w:rsidR="00811000" w:rsidP="008432BE">
      <w:pPr>
        <w:pStyle w:val="BodyText"/>
      </w:pPr>
    </w:p>
    <w:p w:rsidR="00000000" w:rsidRPr="008432BE" w:rsidP="008432BE">
      <w:pPr>
        <w:pStyle w:val="Heading1"/>
      </w:pPr>
      <w:bookmarkStart w:id="3" w:name="O_211849"/>
      <w:bookmarkEnd w:id="3"/>
      <w:r w:rsidRPr="008432BE">
        <w:t>Application of the Unit</w:t>
      </w:r>
    </w:p>
    <w:tbl>
      <w:tblPr>
        <w:tblW w:w="0" w:type="auto"/>
        <w:tblLayout w:type="fixed"/>
        <w:tblCellMar>
          <w:left w:w="62" w:type="dxa"/>
          <w:right w:w="62" w:type="dxa"/>
        </w:tblCellMar>
        <w:tblLook w:val="0000"/>
      </w:tblPr>
      <w:tblGrid>
        <w:gridCol w:w="2743"/>
        <w:gridCol w:w="5779"/>
      </w:tblGrid>
      <w:tr w:rsidTr="0081100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This unit is designed for those performing trade measurement inspection activities in trading environments. It may be applied to trade measurement inspections involving pre-packed articles, auditing servicing</w:t>
            </w:r>
            <w:r w:rsidRPr="008432BE">
              <w:t xml:space="preserve"> licensees, public weighbridges, investigating consumer complaints, examining trading practices, performing verification/certification and in-service inspection. Relevant legislation/policies include enabling legislation, uniform test procedures, organisat</w:t>
            </w:r>
            <w:r w:rsidRPr="008432BE">
              <w:t>ional policies and procedures, workplace, health and safety and enforcement policies.</w:t>
            </w:r>
          </w:p>
          <w:p w:rsidR="00000000" w:rsidRPr="008432BE" w:rsidP="008432BE">
            <w:pPr>
              <w:pStyle w:val="BodyText"/>
            </w:pPr>
          </w:p>
          <w:p w:rsidR="00000000" w:rsidRPr="008432BE" w:rsidP="008432BE">
            <w:pPr>
              <w:pStyle w:val="BodyText"/>
            </w:pPr>
            <w:r w:rsidRPr="008432BE">
              <w:rPr>
                <w:rStyle w:val="SpecialBold"/>
              </w:rPr>
              <w:t>Band</w:t>
            </w:r>
            <w:r w:rsidRPr="008432BE">
              <w:t>:</w:t>
            </w:r>
            <w:r w:rsidRPr="008432BE">
              <w:tab/>
            </w:r>
            <w:r w:rsidRPr="008432BE">
              <w:rPr>
                <w:rStyle w:val="SpecialBold"/>
              </w:rPr>
              <w:t>B</w:t>
            </w:r>
          </w:p>
          <w:p w:rsidR="00000000" w:rsidRPr="008432BE" w:rsidP="008432BE">
            <w:pPr>
              <w:pStyle w:val="BodyText"/>
            </w:pPr>
            <w:r w:rsidRPr="008432BE">
              <w:rPr>
                <w:rStyle w:val="SpecialBold"/>
              </w:rPr>
              <w:t>Unit Weight</w:t>
            </w:r>
            <w:r w:rsidRPr="008432BE">
              <w:t>:</w:t>
            </w:r>
            <w:r w:rsidRPr="008432BE">
              <w:tab/>
            </w:r>
            <w:r w:rsidRPr="008432BE">
              <w:rPr>
                <w:rStyle w:val="SpecialBold"/>
              </w:rPr>
              <w:t>12</w:t>
            </w:r>
          </w:p>
        </w:tc>
      </w:tr>
    </w:tbl>
    <w:p w:rsidR="00811000" w:rsidP="008432BE">
      <w:pPr>
        <w:pStyle w:val="BodyText"/>
      </w:pPr>
    </w:p>
    <w:p w:rsidR="00811000" w:rsidP="008432BE">
      <w:pPr>
        <w:pStyle w:val="BodyText"/>
      </w:pPr>
    </w:p>
    <w:p w:rsidR="00000000" w:rsidRPr="008432BE" w:rsidP="008432BE">
      <w:pPr>
        <w:pStyle w:val="Heading1"/>
      </w:pPr>
      <w:bookmarkStart w:id="4" w:name="O_280461"/>
      <w:bookmarkEnd w:id="4"/>
      <w:r w:rsidRPr="008432BE">
        <w:t>Licensing/Regulatory Information</w:t>
      </w:r>
    </w:p>
    <w:p w:rsidR="00000000" w:rsidRPr="008432BE" w:rsidP="008432BE">
      <w:pPr>
        <w:pStyle w:val="BodyText"/>
      </w:pPr>
      <w:r w:rsidRPr="008432BE">
        <w:t>Not Applicable</w:t>
      </w:r>
    </w:p>
    <w:p w:rsidR="00000000" w:rsidRPr="008432BE" w:rsidP="008432BE">
      <w:pPr>
        <w:pStyle w:val="AllowPageBreak"/>
      </w:pPr>
    </w:p>
    <w:p w:rsidR="00000000" w:rsidRPr="008432BE" w:rsidP="008432BE">
      <w:pPr>
        <w:pStyle w:val="Heading1"/>
      </w:pPr>
      <w:bookmarkStart w:id="5" w:name="O_211847"/>
      <w:bookmarkEnd w:id="5"/>
      <w:r w:rsidRPr="008432BE">
        <w:t>Pre-Requisites</w:t>
      </w:r>
    </w:p>
    <w:tbl>
      <w:tblPr>
        <w:tblW w:w="0" w:type="auto"/>
        <w:tblLayout w:type="fixed"/>
        <w:tblCellMar>
          <w:left w:w="62" w:type="dxa"/>
          <w:right w:w="62" w:type="dxa"/>
        </w:tblCellMar>
        <w:tblLook w:val="0000"/>
      </w:tblPr>
      <w:tblGrid>
        <w:gridCol w:w="2702"/>
        <w:gridCol w:w="2207"/>
        <w:gridCol w:w="3613"/>
      </w:tblGrid>
      <w:tr w:rsidTr="00811000">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Interpret technical drawing</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MEM11011B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Undertake manual handling</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MEM12003B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Perform precision mechanical measurement</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MEM12004B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Perform precision electrical/electronic measurement</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MEM12005B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Calibrate measuring equipment</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Perform engineering measurements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MEM13003B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Work safely with industrial chemicals and materials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MEM15004B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Perform inspection</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MEM15005B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Select and control inspection processes and procedures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MEM15015C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Examine trading practices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MEM15016B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Inspect pre-packed articles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MEM15017C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Use and maintain reference standards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MEM15018B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Investigate consumer complaints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MEM16002C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Conduct formal interviews and negotiations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MEM16004B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Perform internal/external customer service</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Use hand tools</w:t>
            </w:r>
          </w:p>
        </w:tc>
      </w:tr>
      <w:tr w:rsidTr="00811000">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Use power tools/hand held operations</w:t>
            </w:r>
          </w:p>
        </w:tc>
      </w:tr>
    </w:tbl>
    <w:p w:rsidR="00811000" w:rsidP="008432BE">
      <w:pPr>
        <w:pStyle w:val="BodyText"/>
      </w:pPr>
    </w:p>
    <w:p w:rsidR="00811000" w:rsidP="008432BE">
      <w:pPr>
        <w:pStyle w:val="BodyText"/>
      </w:pPr>
    </w:p>
    <w:p w:rsidR="00000000" w:rsidRPr="008432BE" w:rsidP="008432BE">
      <w:pPr>
        <w:pStyle w:val="Heading1"/>
      </w:pPr>
      <w:bookmarkStart w:id="6" w:name="O_211846"/>
      <w:bookmarkEnd w:id="6"/>
      <w:r w:rsidRPr="008432BE">
        <w:t>Employability Skills Information</w:t>
      </w:r>
    </w:p>
    <w:tbl>
      <w:tblPr>
        <w:tblW w:w="0" w:type="auto"/>
        <w:tblLayout w:type="fixed"/>
        <w:tblCellMar>
          <w:left w:w="62" w:type="dxa"/>
          <w:right w:w="62" w:type="dxa"/>
        </w:tblCellMar>
        <w:tblLook w:val="0000"/>
      </w:tblPr>
      <w:tblGrid>
        <w:gridCol w:w="2802"/>
        <w:gridCol w:w="5720"/>
      </w:tblGrid>
      <w:tr w:rsidTr="008110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This unit contains employability skills.</w:t>
            </w:r>
          </w:p>
        </w:tc>
      </w:tr>
    </w:tbl>
    <w:p w:rsidR="00811000" w:rsidP="008432BE">
      <w:pPr>
        <w:pStyle w:val="BodyText"/>
      </w:pPr>
    </w:p>
    <w:p w:rsidR="00811000" w:rsidP="008432BE">
      <w:pPr>
        <w:pStyle w:val="BodyText"/>
      </w:pPr>
    </w:p>
    <w:p w:rsidR="00000000" w:rsidRPr="008432BE" w:rsidP="008432BE">
      <w:pPr>
        <w:pStyle w:val="Heading1"/>
      </w:pPr>
      <w:bookmarkStart w:id="7" w:name="O_290247"/>
      <w:bookmarkEnd w:id="7"/>
      <w:r w:rsidRPr="008432BE">
        <w:t>Elements and Performance Criteria Pre-Content</w:t>
      </w:r>
    </w:p>
    <w:tbl>
      <w:tblPr>
        <w:tblW w:w="0" w:type="auto"/>
        <w:tblLayout w:type="fixed"/>
        <w:tblCellMar>
          <w:left w:w="62" w:type="dxa"/>
          <w:right w:w="62" w:type="dxa"/>
        </w:tblCellMar>
        <w:tblLook w:val="0000"/>
      </w:tblPr>
      <w:tblGrid>
        <w:gridCol w:w="2583"/>
        <w:gridCol w:w="5939"/>
      </w:tblGrid>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Performance criteria describe the performance needed to demonstrate achievement of the element. Where bold italicised text is used, further information is detailed in the required skills and</w:t>
            </w:r>
            <w:r w:rsidRPr="008432BE">
              <w:t xml:space="preserve"> knowledge section and the range statement. Assessment of performance is to be consistent with the evidence guide.</w:t>
            </w:r>
          </w:p>
        </w:tc>
      </w:tr>
    </w:tbl>
    <w:p w:rsidR="00000000" w:rsidRPr="008432BE" w:rsidP="008432BE">
      <w:pPr>
        <w:pStyle w:val="BodyText"/>
      </w:pPr>
    </w:p>
    <w:p w:rsidR="00000000" w:rsidRPr="008432BE" w:rsidP="008432BE">
      <w:pPr>
        <w:pStyle w:val="AllowPageBreak"/>
      </w:pPr>
    </w:p>
    <w:p w:rsidR="00000000" w:rsidRPr="008432BE" w:rsidP="008432BE">
      <w:pPr>
        <w:pStyle w:val="Heading1"/>
      </w:pPr>
      <w:bookmarkStart w:id="8" w:name="O_236914"/>
      <w:bookmarkEnd w:id="8"/>
      <w:r w:rsidRPr="008432BE">
        <w:t>Elements and Performance Criteria</w:t>
      </w:r>
    </w:p>
    <w:tbl>
      <w:tblPr>
        <w:tblW w:w="0" w:type="auto"/>
        <w:tblLayout w:type="fixed"/>
        <w:tblCellMar>
          <w:left w:w="62" w:type="dxa"/>
          <w:right w:w="62" w:type="dxa"/>
        </w:tblCellMar>
        <w:tblLook w:val="0000"/>
      </w:tblPr>
      <w:tblGrid>
        <w:gridCol w:w="2583"/>
        <w:gridCol w:w="5939"/>
      </w:tblGrid>
      <w:tr w:rsidTr="0081100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PERFORMANCE CRITERIA</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1.</w:t>
            </w:r>
            <w:r w:rsidRPr="008432BE">
              <w:tab/>
              <w:t>Develop a work plan to conduct field inspections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1.1.</w:t>
            </w:r>
            <w:r w:rsidRPr="008432BE">
              <w:tab/>
            </w:r>
            <w:r w:rsidRPr="008432BE">
              <w:t>Traders are identified for inspection in accordance with organisational priorities.</w:t>
            </w:r>
          </w:p>
          <w:p w:rsidR="00000000" w:rsidRPr="008432BE" w:rsidP="008432BE">
            <w:pPr>
              <w:pStyle w:val="List2"/>
            </w:pPr>
            <w:r w:rsidRPr="008432BE">
              <w:t>1.2.</w:t>
            </w:r>
            <w:r w:rsidRPr="008432BE">
              <w:tab/>
              <w:t>Routine field inspections are scheduled to complement other inspection activities whilst maximising organisational efficiencies and effectiveness.</w:t>
            </w:r>
          </w:p>
          <w:p w:rsidR="00000000" w:rsidRPr="008432BE" w:rsidP="008432BE">
            <w:pPr>
              <w:pStyle w:val="List2"/>
            </w:pPr>
            <w:r w:rsidRPr="008432BE">
              <w:t>1.3.</w:t>
            </w:r>
            <w:r w:rsidRPr="008432BE">
              <w:tab/>
              <w:t>Appropriate equ</w:t>
            </w:r>
            <w:r w:rsidRPr="008432BE">
              <w:t>ipment is identified and accessed.</w:t>
            </w:r>
          </w:p>
          <w:p w:rsidR="00000000" w:rsidRPr="008432BE" w:rsidP="008432BE">
            <w:pPr>
              <w:pStyle w:val="List2"/>
            </w:pPr>
            <w:r w:rsidRPr="008432BE">
              <w:t>1.4.</w:t>
            </w:r>
            <w:r w:rsidRPr="008432BE">
              <w:tab/>
              <w:t>Specific inspection arrangements are made with the trader.</w:t>
            </w:r>
          </w:p>
          <w:p w:rsidR="00000000" w:rsidP="008432BE">
            <w:pPr>
              <w:pStyle w:val="List2"/>
              <w:rPr>
                <w:lang w:val="en-NZ"/>
              </w:rPr>
            </w:pPr>
            <w:r w:rsidRPr="008432BE">
              <w:t>1.5.</w:t>
            </w:r>
            <w:r w:rsidRPr="008432BE">
              <w:tab/>
              <w:t>Relevant reference and/or technical information and trader history is researched.</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2.</w:t>
            </w:r>
            <w:r w:rsidRPr="008432BE">
              <w:tab/>
              <w:t>Maintain test equipment during a field inspection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2.1.</w:t>
            </w:r>
            <w:r w:rsidRPr="008432BE">
              <w:tab/>
              <w:t>Test equipm</w:t>
            </w:r>
            <w:r w:rsidRPr="008432BE">
              <w:t>ent is transported in accordance with manufacturers' specifications and organisational procedures.</w:t>
            </w:r>
          </w:p>
          <w:p w:rsidR="00000000" w:rsidRPr="008432BE" w:rsidP="008432BE">
            <w:pPr>
              <w:pStyle w:val="List2"/>
            </w:pPr>
            <w:r w:rsidRPr="008432BE">
              <w:t>2.2.</w:t>
            </w:r>
            <w:r w:rsidRPr="008432BE">
              <w:tab/>
              <w:t>Test equipment is operated within manufacturers' specifications and organisational procedures.</w:t>
            </w:r>
          </w:p>
          <w:p w:rsidR="00000000" w:rsidP="008432BE">
            <w:pPr>
              <w:pStyle w:val="List2"/>
              <w:rPr>
                <w:lang w:val="en-NZ"/>
              </w:rPr>
            </w:pPr>
            <w:r w:rsidRPr="008432BE">
              <w:t>2.3.</w:t>
            </w:r>
            <w:r w:rsidRPr="008432BE">
              <w:tab/>
              <w:t xml:space="preserve">Failures and repairs of test equipment are reported </w:t>
            </w:r>
            <w:r w:rsidRPr="008432BE">
              <w:t>in accordance with organisational procedures.</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3.</w:t>
            </w:r>
            <w:r w:rsidRPr="008432BE">
              <w:tab/>
              <w:t>Conduct initial on-site assessment of the trading premises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3.1.</w:t>
            </w:r>
            <w:r w:rsidRPr="008432BE">
              <w:tab/>
              <w:t>Surveillance of the trading premises is undertaken to evaluate the trading practices in use.</w:t>
            </w:r>
          </w:p>
          <w:p w:rsidR="00000000" w:rsidRPr="008432BE" w:rsidP="008432BE">
            <w:pPr>
              <w:pStyle w:val="List2"/>
            </w:pPr>
            <w:r w:rsidRPr="008432BE">
              <w:t>3.2.</w:t>
            </w:r>
            <w:r w:rsidRPr="008432BE">
              <w:tab/>
              <w:t xml:space="preserve">Officer establishes their </w:t>
            </w:r>
            <w:r w:rsidRPr="008432BE">
              <w:t>identity with the trader or responsible person and explains the purpose of the inspection.</w:t>
            </w:r>
          </w:p>
          <w:p w:rsidR="00000000" w:rsidRPr="008432BE" w:rsidP="008432BE">
            <w:pPr>
              <w:pStyle w:val="List2"/>
            </w:pPr>
            <w:r w:rsidRPr="008432BE">
              <w:t>3.3.</w:t>
            </w:r>
            <w:r w:rsidRPr="008432BE">
              <w:tab/>
              <w:t>Local workplace, health and safety issues relevant to the premises are identified and appropriate action is taken to comply.</w:t>
            </w:r>
          </w:p>
          <w:p w:rsidR="00000000" w:rsidRPr="008432BE" w:rsidP="008432BE">
            <w:pPr>
              <w:pStyle w:val="List2"/>
            </w:pPr>
            <w:r w:rsidRPr="008432BE">
              <w:t>3.4.</w:t>
            </w:r>
            <w:r w:rsidRPr="008432BE">
              <w:tab/>
              <w:t>Measuring instruments used for</w:t>
            </w:r>
            <w:r w:rsidRPr="008432BE">
              <w:t xml:space="preserve"> trade are identified and the inspection is planned with minimal disruption to the trader.</w:t>
            </w:r>
          </w:p>
          <w:p w:rsidR="00000000" w:rsidP="008432BE">
            <w:pPr>
              <w:pStyle w:val="List2"/>
              <w:rPr>
                <w:lang w:val="en-NZ"/>
              </w:rPr>
            </w:pPr>
            <w:r w:rsidRPr="008432BE">
              <w:t>3.5.</w:t>
            </w:r>
            <w:r w:rsidRPr="008432BE">
              <w:tab/>
              <w:t>Locations for product return or disposal are identified for later use.</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4.</w:t>
            </w:r>
            <w:r w:rsidRPr="008432BE">
              <w:tab/>
              <w:t>Inspect instruments and/or trading practices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4.1.</w:t>
            </w:r>
            <w:r w:rsidRPr="008432BE">
              <w:tab/>
              <w:t xml:space="preserve">Measuring instruments are selected </w:t>
            </w:r>
            <w:r w:rsidRPr="008432BE">
              <w:t>for inspection in accordance with organisational guidelines.</w:t>
            </w:r>
          </w:p>
          <w:p w:rsidR="00000000" w:rsidRPr="008432BE" w:rsidP="008432BE">
            <w:pPr>
              <w:pStyle w:val="List2"/>
            </w:pPr>
            <w:r w:rsidRPr="008432BE">
              <w:t>4.2.</w:t>
            </w:r>
            <w:r w:rsidRPr="008432BE">
              <w:tab/>
              <w:t>Test equipment is used in accordance with organisational procedures taking into consideration workplace health and safety factors.</w:t>
            </w:r>
          </w:p>
          <w:p w:rsidR="00000000" w:rsidRPr="008432BE" w:rsidP="008432BE">
            <w:pPr>
              <w:pStyle w:val="List2"/>
            </w:pPr>
            <w:r w:rsidRPr="008432BE">
              <w:t>4.3.</w:t>
            </w:r>
            <w:r w:rsidRPr="008432BE">
              <w:tab/>
              <w:t>Relevant test procedures for verification and in-servi</w:t>
            </w:r>
            <w:r w:rsidRPr="008432BE">
              <w:t>ce inspection are conducted in accordance with organisational procedures.</w:t>
            </w:r>
          </w:p>
          <w:p w:rsidR="00000000" w:rsidRPr="008432BE" w:rsidP="008432BE">
            <w:pPr>
              <w:pStyle w:val="List2"/>
            </w:pPr>
            <w:r w:rsidRPr="008432BE">
              <w:t>4.4.</w:t>
            </w:r>
            <w:r w:rsidRPr="008432BE">
              <w:tab/>
              <w:t xml:space="preserve">Inspection of pre-packed articles is conducted in </w:t>
            </w:r>
            <w:r w:rsidRPr="008432BE">
              <w:t>accordance with organisational procedures.</w:t>
            </w:r>
          </w:p>
          <w:p w:rsidR="00000000" w:rsidP="008432BE">
            <w:pPr>
              <w:pStyle w:val="List2"/>
              <w:rPr>
                <w:lang w:val="en-NZ"/>
              </w:rPr>
            </w:pPr>
            <w:r w:rsidRPr="008432BE">
              <w:t>4.5.</w:t>
            </w:r>
            <w:r w:rsidRPr="008432BE">
              <w:tab/>
              <w:t>Trading practices are identified and action is taken to remedy any non-complian</w:t>
            </w:r>
            <w:r w:rsidRPr="008432BE">
              <w:t>ce.</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5.</w:t>
            </w:r>
            <w:r w:rsidRPr="008432BE">
              <w:tab/>
              <w:t>Undertake an investigation where a breach is detected</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5.1.</w:t>
            </w:r>
            <w:r w:rsidRPr="008432BE">
              <w:tab/>
              <w:t>Evidence relating to the breach is gathered.</w:t>
            </w:r>
          </w:p>
          <w:p w:rsidR="00000000" w:rsidRPr="008432BE" w:rsidP="008432BE">
            <w:pPr>
              <w:pStyle w:val="List2"/>
            </w:pPr>
            <w:r w:rsidRPr="008432BE">
              <w:t>5.2.</w:t>
            </w:r>
            <w:r w:rsidRPr="008432BE">
              <w:tab/>
              <w:t>Trader and witnesses are interviewed for supporting evidence.</w:t>
            </w:r>
          </w:p>
          <w:p w:rsidR="00000000" w:rsidP="008432BE">
            <w:pPr>
              <w:pStyle w:val="List2"/>
              <w:rPr>
                <w:lang w:val="en-NZ"/>
              </w:rPr>
            </w:pPr>
            <w:r w:rsidRPr="008432BE">
              <w:t>5.3.</w:t>
            </w:r>
            <w:r w:rsidRPr="008432BE">
              <w:tab/>
              <w:t>Chain of evidence is maintained.</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6.</w:t>
            </w:r>
            <w:r w:rsidRPr="008432BE">
              <w:tab/>
              <w:t>Complete documentation for inspecti</w:t>
            </w:r>
            <w:r w:rsidRPr="008432BE">
              <w:t>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6.1.</w:t>
            </w:r>
            <w:r w:rsidRPr="008432BE">
              <w:tab/>
              <w:t>Instrument and trader information is recorded accurately for the organisation's information system.</w:t>
            </w:r>
          </w:p>
          <w:p w:rsidR="00000000" w:rsidP="008432BE">
            <w:pPr>
              <w:pStyle w:val="List2"/>
              <w:rPr>
                <w:lang w:val="en-NZ"/>
              </w:rPr>
            </w:pPr>
            <w:r w:rsidRPr="008432BE">
              <w:t>6.2.</w:t>
            </w:r>
            <w:r w:rsidRPr="008432BE">
              <w:tab/>
              <w:t>Inspection documentation is completed in accordance with organisational procedures.</w:t>
            </w:r>
          </w:p>
        </w:tc>
      </w:tr>
      <w:tr w:rsidTr="0081100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List"/>
              <w:rPr>
                <w:lang w:val="en-NZ"/>
              </w:rPr>
            </w:pPr>
            <w:r w:rsidRPr="008432BE">
              <w:t>7.</w:t>
            </w:r>
            <w:r w:rsidRPr="008432BE">
              <w:tab/>
              <w:t>Advise trader of inspection outcomes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List2"/>
            </w:pPr>
            <w:r w:rsidRPr="008432BE">
              <w:t>7.1.</w:t>
            </w:r>
            <w:r w:rsidRPr="008432BE">
              <w:tab/>
            </w:r>
            <w:r w:rsidRPr="008432BE">
              <w:t>The trader is advised of instrument test, pre-packed article and trading practice results where appropriate.</w:t>
            </w:r>
          </w:p>
          <w:p w:rsidR="00000000" w:rsidRPr="008432BE" w:rsidP="008432BE">
            <w:pPr>
              <w:pStyle w:val="List2"/>
            </w:pPr>
            <w:r w:rsidRPr="008432BE">
              <w:t>7.2.</w:t>
            </w:r>
            <w:r w:rsidRPr="008432BE">
              <w:tab/>
              <w:t>The trader's enquiries and concerns are discussed.</w:t>
            </w:r>
          </w:p>
          <w:p w:rsidR="00000000" w:rsidRPr="008432BE" w:rsidP="008432BE">
            <w:pPr>
              <w:pStyle w:val="List2"/>
            </w:pPr>
            <w:r w:rsidRPr="008432BE">
              <w:t>7.3.</w:t>
            </w:r>
            <w:r w:rsidRPr="008432BE">
              <w:tab/>
              <w:t xml:space="preserve">Legislative requirements, obligations and possible corrective solutions are explained </w:t>
            </w:r>
            <w:r w:rsidRPr="008432BE">
              <w:t>to the trader where appropriate.</w:t>
            </w:r>
          </w:p>
          <w:p w:rsidR="00000000" w:rsidRPr="008432BE" w:rsidP="008432BE">
            <w:pPr>
              <w:pStyle w:val="List2"/>
            </w:pPr>
            <w:r w:rsidRPr="008432BE">
              <w:t>7.4.</w:t>
            </w:r>
            <w:r w:rsidRPr="008432BE">
              <w:tab/>
              <w:t>The trader is advised of reporting procedures and possible outcomes for any detected breaches.</w:t>
            </w:r>
          </w:p>
          <w:p w:rsidR="00000000" w:rsidRPr="008432BE" w:rsidP="008432BE">
            <w:pPr>
              <w:pStyle w:val="List2"/>
            </w:pPr>
            <w:r w:rsidRPr="008432BE">
              <w:t>7.5.</w:t>
            </w:r>
            <w:r w:rsidRPr="008432BE">
              <w:tab/>
              <w:t>Follow-up activities are planned if required.</w:t>
            </w:r>
          </w:p>
        </w:tc>
      </w:tr>
    </w:tbl>
    <w:p w:rsidR="00811000" w:rsidP="008432BE">
      <w:pPr>
        <w:pStyle w:val="BodyText"/>
      </w:pPr>
    </w:p>
    <w:p w:rsidR="00811000" w:rsidP="008432BE">
      <w:pPr>
        <w:pStyle w:val="BodyText"/>
      </w:pPr>
    </w:p>
    <w:p w:rsidR="00000000" w:rsidRPr="008432BE" w:rsidP="008432BE">
      <w:pPr>
        <w:pStyle w:val="Heading1"/>
      </w:pPr>
      <w:bookmarkStart w:id="9" w:name="O_260864"/>
      <w:bookmarkEnd w:id="9"/>
      <w:r w:rsidRPr="008432BE">
        <w:t>Required Skills and Knowledge</w:t>
      </w:r>
    </w:p>
    <w:tbl>
      <w:tblPr>
        <w:tblW w:w="0" w:type="auto"/>
        <w:tblLayout w:type="fixed"/>
        <w:tblCellMar>
          <w:left w:w="62" w:type="dxa"/>
          <w:right w:w="62" w:type="dxa"/>
        </w:tblCellMar>
        <w:tblLook w:val="0000"/>
      </w:tblPr>
      <w:tblGrid>
        <w:gridCol w:w="8522"/>
      </w:tblGrid>
      <w:tr w:rsidTr="008110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REQUIRED SKILLS AND KNOWLEDGE</w:t>
            </w:r>
          </w:p>
        </w:tc>
      </w:tr>
      <w:tr w:rsidTr="008110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This section describes the skills and knowledge required for this unit.</w:t>
            </w:r>
          </w:p>
        </w:tc>
      </w:tr>
      <w:tr w:rsidTr="0081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Required skills</w:t>
            </w:r>
          </w:p>
        </w:tc>
      </w:tr>
      <w:tr w:rsidTr="0081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Look for evidence that confirms skills in:</w:t>
            </w:r>
          </w:p>
          <w:p w:rsidR="00000000" w:rsidRPr="008432BE" w:rsidP="008432BE">
            <w:pPr>
              <w:pStyle w:val="ListBullet"/>
            </w:pPr>
            <w:r w:rsidRPr="008432BE">
              <w:t xml:space="preserve">accessing and interrogating organisation's information system for relevant trader </w:t>
            </w:r>
            <w:r w:rsidRPr="008432BE">
              <w:t>information</w:t>
            </w:r>
          </w:p>
          <w:p w:rsidR="00000000" w:rsidRPr="008432BE" w:rsidP="008432BE">
            <w:pPr>
              <w:pStyle w:val="ListBullet"/>
            </w:pPr>
            <w:r w:rsidRPr="008432BE">
              <w:t>researching and collecting information</w:t>
            </w:r>
          </w:p>
          <w:p w:rsidR="00000000" w:rsidRPr="008432BE" w:rsidP="008432BE">
            <w:pPr>
              <w:pStyle w:val="ListBullet"/>
            </w:pPr>
            <w:r w:rsidRPr="008432BE">
              <w:t>scheduling inspection activities</w:t>
            </w:r>
          </w:p>
          <w:p w:rsidR="00000000" w:rsidRPr="008432BE" w:rsidP="008432BE">
            <w:pPr>
              <w:pStyle w:val="ListBullet"/>
            </w:pPr>
            <w:r w:rsidRPr="008432BE">
              <w:t>identifying priorities and their integration into routine field inspections</w:t>
            </w:r>
          </w:p>
          <w:p w:rsidR="00000000" w:rsidRPr="008432BE" w:rsidP="008432BE">
            <w:pPr>
              <w:pStyle w:val="ListBullet"/>
            </w:pPr>
            <w:r w:rsidRPr="008432BE">
              <w:t>being aware of the operational needs of the trader</w:t>
            </w:r>
          </w:p>
          <w:p w:rsidR="00000000" w:rsidRPr="008432BE" w:rsidP="008432BE">
            <w:pPr>
              <w:pStyle w:val="ListBullet"/>
            </w:pPr>
            <w:r w:rsidRPr="008432BE">
              <w:t xml:space="preserve">selecting instruments for tests </w:t>
            </w:r>
          </w:p>
          <w:p w:rsidR="00000000" w:rsidRPr="008432BE" w:rsidP="008432BE">
            <w:pPr>
              <w:pStyle w:val="ListBullet"/>
            </w:pPr>
            <w:r w:rsidRPr="008432BE">
              <w:t>completing c</w:t>
            </w:r>
            <w:r w:rsidRPr="008432BE">
              <w:t xml:space="preserve">alibration/repairs </w:t>
            </w:r>
          </w:p>
          <w:p w:rsidR="00000000" w:rsidRPr="008432BE" w:rsidP="008432BE">
            <w:pPr>
              <w:pStyle w:val="ListBullet"/>
            </w:pPr>
            <w:r w:rsidRPr="008432BE">
              <w:t>evaluating information gathered during surveillance to identify non-compliance</w:t>
            </w:r>
          </w:p>
          <w:p w:rsidR="00000000" w:rsidRPr="008432BE" w:rsidP="008432BE">
            <w:pPr>
              <w:pStyle w:val="ListBullet"/>
            </w:pPr>
            <w:r w:rsidRPr="008432BE">
              <w:t>conducting surveillance of trading premises</w:t>
            </w:r>
          </w:p>
          <w:p w:rsidR="00000000" w:rsidRPr="008432BE" w:rsidP="008432BE">
            <w:pPr>
              <w:pStyle w:val="ListBullet"/>
            </w:pPr>
            <w:r w:rsidRPr="008432BE">
              <w:t>using the organisation's identification procedure (e.g. ID card)</w:t>
            </w:r>
          </w:p>
          <w:p w:rsidR="00000000" w:rsidRPr="008432BE" w:rsidP="008432BE">
            <w:pPr>
              <w:pStyle w:val="ListBullet"/>
            </w:pPr>
            <w:r w:rsidRPr="008432BE">
              <w:t xml:space="preserve">explaining the purpose of the inspection to the </w:t>
            </w:r>
            <w:r w:rsidRPr="008432BE">
              <w:t>trader</w:t>
            </w:r>
          </w:p>
          <w:p w:rsidR="00000000" w:rsidRPr="008432BE" w:rsidP="008432BE">
            <w:pPr>
              <w:pStyle w:val="ListBullet"/>
            </w:pPr>
            <w:r w:rsidRPr="008432BE">
              <w:t>obtaining workplace, health and safety information specific to the trading environment</w:t>
            </w:r>
          </w:p>
          <w:p w:rsidR="00000000" w:rsidRPr="008432BE" w:rsidP="008432BE">
            <w:pPr>
              <w:pStyle w:val="ListBullet"/>
            </w:pPr>
            <w:r w:rsidRPr="008432BE">
              <w:t xml:space="preserve">recording data plate information and instrument errors </w:t>
            </w:r>
          </w:p>
          <w:p w:rsidR="00000000" w:rsidRPr="008432BE" w:rsidP="008432BE">
            <w:pPr>
              <w:pStyle w:val="ListBullet"/>
            </w:pPr>
            <w:r w:rsidRPr="008432BE">
              <w:t>monitoring sales transactions</w:t>
            </w:r>
          </w:p>
          <w:p w:rsidR="00000000" w:rsidRPr="008432BE" w:rsidP="008432BE">
            <w:pPr>
              <w:pStyle w:val="ListBullet"/>
            </w:pPr>
            <w:r w:rsidRPr="008432BE">
              <w:t>assessing advertising used on or outside the premises</w:t>
            </w:r>
          </w:p>
          <w:p w:rsidR="00000000" w:rsidRPr="008432BE" w:rsidP="008432BE">
            <w:pPr>
              <w:pStyle w:val="ListBullet"/>
            </w:pPr>
            <w:r w:rsidRPr="008432BE">
              <w:t xml:space="preserve">identifying incorrect trading practices </w:t>
            </w:r>
          </w:p>
          <w:p w:rsidR="00000000" w:rsidRPr="008432BE" w:rsidP="008432BE">
            <w:pPr>
              <w:pStyle w:val="ListBullet"/>
            </w:pPr>
            <w:r w:rsidRPr="008432BE">
              <w:t>gathering evidence to prove a breach</w:t>
            </w:r>
          </w:p>
          <w:p w:rsidR="00000000" w:rsidRPr="008432BE" w:rsidP="008432BE">
            <w:pPr>
              <w:pStyle w:val="ListBullet"/>
            </w:pPr>
            <w:r w:rsidRPr="008432BE">
              <w:t>preparing interview questions to cover all elements of an offence</w:t>
            </w:r>
          </w:p>
          <w:p w:rsidR="00000000" w:rsidP="008432BE">
            <w:pPr>
              <w:pStyle w:val="ListBullet"/>
              <w:rPr>
                <w:lang w:val="en-NZ"/>
              </w:rPr>
            </w:pPr>
            <w:r w:rsidRPr="008432BE">
              <w:t xml:space="preserve">using assertive communication and active listening </w:t>
            </w:r>
          </w:p>
        </w:tc>
      </w:tr>
      <w:tr w:rsidTr="0081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Required knowledge</w:t>
            </w:r>
          </w:p>
        </w:tc>
      </w:tr>
      <w:tr w:rsidTr="0081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Look for evidence that confirms knowled</w:t>
            </w:r>
            <w:r w:rsidRPr="008432BE">
              <w:t>ge of:</w:t>
            </w:r>
          </w:p>
          <w:p w:rsidR="00000000" w:rsidRPr="008432BE" w:rsidP="008432BE">
            <w:pPr>
              <w:pStyle w:val="ListBullet"/>
            </w:pPr>
            <w:r w:rsidRPr="008432BE">
              <w:t>the organisation's inspection priorities</w:t>
            </w:r>
          </w:p>
          <w:p w:rsidR="00000000" w:rsidRPr="008432BE" w:rsidP="008432BE">
            <w:pPr>
              <w:pStyle w:val="ListBullet"/>
            </w:pPr>
            <w:r w:rsidRPr="008432BE">
              <w:t>options for dealing with conflicting priorities</w:t>
            </w:r>
          </w:p>
          <w:p w:rsidR="00000000" w:rsidRPr="008432BE" w:rsidP="008432BE">
            <w:pPr>
              <w:pStyle w:val="ListBullet"/>
            </w:pPr>
            <w:r w:rsidRPr="008432BE">
              <w:t>a range of equipment used for trade measurement field inspections</w:t>
            </w:r>
          </w:p>
          <w:p w:rsidR="00000000" w:rsidRPr="008432BE" w:rsidP="008432BE">
            <w:pPr>
              <w:pStyle w:val="ListBullet"/>
            </w:pPr>
            <w:r w:rsidRPr="008432BE">
              <w:t>alternative contact arrangements</w:t>
            </w:r>
          </w:p>
          <w:p w:rsidR="00000000" w:rsidRPr="008432BE" w:rsidP="008432BE">
            <w:pPr>
              <w:pStyle w:val="ListBullet"/>
            </w:pPr>
            <w:r w:rsidRPr="008432BE">
              <w:t>a range of environmental factors that impinge on measuring i</w:t>
            </w:r>
            <w:r w:rsidRPr="008432BE">
              <w:t>nstruments</w:t>
            </w:r>
          </w:p>
          <w:p w:rsidR="00000000" w:rsidRPr="008432BE" w:rsidP="008432BE">
            <w:pPr>
              <w:pStyle w:val="ListBullet"/>
            </w:pPr>
            <w:r w:rsidRPr="008432BE">
              <w:t>criteria for selecting instruments</w:t>
            </w:r>
          </w:p>
          <w:p w:rsidR="00000000" w:rsidRPr="008432BE" w:rsidP="008432BE">
            <w:pPr>
              <w:pStyle w:val="ListBullet"/>
            </w:pPr>
            <w:r w:rsidRPr="008432BE">
              <w:t>test equipment transportation specifications and procedures</w:t>
            </w:r>
          </w:p>
          <w:p w:rsidR="00000000" w:rsidRPr="008432BE" w:rsidP="008432BE">
            <w:pPr>
              <w:pStyle w:val="ListBullet"/>
            </w:pPr>
            <w:r w:rsidRPr="008432BE">
              <w:t xml:space="preserve">variations from transport specifications and procedures requiring appropriate approval </w:t>
            </w:r>
          </w:p>
          <w:p w:rsidR="00000000" w:rsidRPr="008432BE" w:rsidP="008432BE">
            <w:pPr>
              <w:pStyle w:val="ListBullet"/>
            </w:pPr>
            <w:r w:rsidRPr="008432BE">
              <w:t xml:space="preserve">variations from operating specifications and procedures requiring appropriate approval </w:t>
            </w:r>
          </w:p>
          <w:p w:rsidR="00000000" w:rsidRPr="008432BE" w:rsidP="008432BE">
            <w:pPr>
              <w:pStyle w:val="ListBullet"/>
            </w:pPr>
            <w:r w:rsidRPr="008432BE">
              <w:t>types of failure that might occur and possible remedies in a range of test equipment</w:t>
            </w:r>
          </w:p>
          <w:p w:rsidR="00000000" w:rsidRPr="008432BE" w:rsidP="008432BE">
            <w:pPr>
              <w:pStyle w:val="ListBullet"/>
            </w:pPr>
            <w:r w:rsidRPr="008432BE">
              <w:t>preventative work practices/maintenance to keep equipment in good working order</w:t>
            </w:r>
          </w:p>
          <w:p w:rsidR="00000000" w:rsidRPr="008432BE" w:rsidP="008432BE">
            <w:pPr>
              <w:pStyle w:val="ListBullet"/>
            </w:pPr>
            <w:r w:rsidRPr="008432BE">
              <w:t>met</w:t>
            </w:r>
            <w:r w:rsidRPr="008432BE">
              <w:t>hods of surveillance</w:t>
            </w:r>
          </w:p>
          <w:p w:rsidR="00000000" w:rsidRPr="008432BE" w:rsidP="008432BE">
            <w:pPr>
              <w:pStyle w:val="ListBullet"/>
            </w:pPr>
            <w:r w:rsidRPr="008432BE">
              <w:t>legislative requirements for the inspection</w:t>
            </w:r>
          </w:p>
          <w:p w:rsidR="00000000" w:rsidRPr="008432BE" w:rsidP="008432BE">
            <w:pPr>
              <w:pStyle w:val="ListBullet"/>
            </w:pPr>
            <w:r w:rsidRPr="008432BE">
              <w:t>personal responsibility for workplace, health and safety</w:t>
            </w:r>
          </w:p>
          <w:p w:rsidR="00000000" w:rsidRPr="008432BE" w:rsidP="008432BE">
            <w:pPr>
              <w:pStyle w:val="ListBullet"/>
            </w:pPr>
            <w:r w:rsidRPr="008432BE">
              <w:t>workplace, health and safety issues relating to a range of occupational and business environments</w:t>
            </w:r>
          </w:p>
          <w:p w:rsidR="00000000" w:rsidRPr="008432BE" w:rsidP="008432BE">
            <w:pPr>
              <w:pStyle w:val="ListBullet"/>
            </w:pPr>
            <w:r w:rsidRPr="008432BE">
              <w:t xml:space="preserve">contingencies to facilitate minimal </w:t>
            </w:r>
            <w:r w:rsidRPr="008432BE">
              <w:t>disruption to the trader</w:t>
            </w:r>
          </w:p>
          <w:p w:rsidR="00000000" w:rsidRPr="008432BE" w:rsidP="008432BE">
            <w:pPr>
              <w:pStyle w:val="ListBullet"/>
            </w:pPr>
            <w:r w:rsidRPr="008432BE">
              <w:t>action that would be taken if incorrect disposal occurs</w:t>
            </w:r>
          </w:p>
          <w:p w:rsidR="00000000" w:rsidRPr="008432BE" w:rsidP="008432BE">
            <w:pPr>
              <w:pStyle w:val="ListBullet"/>
            </w:pPr>
            <w:r w:rsidRPr="008432BE">
              <w:t>research methods used to determine instrument performance trends</w:t>
            </w:r>
          </w:p>
          <w:p w:rsidR="00000000" w:rsidRPr="008432BE" w:rsidP="008432BE">
            <w:pPr>
              <w:pStyle w:val="ListBullet"/>
            </w:pPr>
            <w:r w:rsidRPr="008432BE">
              <w:t>workplace, health and safety requirements for a range of test procedures and working environments</w:t>
            </w:r>
          </w:p>
          <w:p w:rsidR="00000000" w:rsidRPr="008432BE" w:rsidP="008432BE">
            <w:pPr>
              <w:pStyle w:val="ListBullet"/>
            </w:pPr>
            <w:r w:rsidRPr="008432BE">
              <w:t>a range of e</w:t>
            </w:r>
            <w:r w:rsidRPr="008432BE">
              <w:t>nvironmental and operational factors that may adversely influence the accuracy of instruments, and action required to remedy their effect</w:t>
            </w:r>
          </w:p>
          <w:p w:rsidR="00000000" w:rsidRPr="008432BE" w:rsidP="008432BE">
            <w:pPr>
              <w:pStyle w:val="ListBullet"/>
            </w:pPr>
            <w:r w:rsidRPr="008432BE">
              <w:t>organisational guidelines for the selection of pre-packed articles for inspection</w:t>
            </w:r>
          </w:p>
          <w:p w:rsidR="00000000" w:rsidRPr="008432BE" w:rsidP="008432BE">
            <w:pPr>
              <w:pStyle w:val="ListBullet"/>
            </w:pPr>
            <w:r w:rsidRPr="008432BE">
              <w:t>a range of non-compliance issues for</w:t>
            </w:r>
            <w:r w:rsidRPr="008432BE">
              <w:t xml:space="preserve"> trading practices</w:t>
            </w:r>
          </w:p>
          <w:p w:rsidR="00000000" w:rsidRPr="008432BE" w:rsidP="008432BE">
            <w:pPr>
              <w:pStyle w:val="ListBullet"/>
            </w:pPr>
            <w:r w:rsidRPr="008432BE">
              <w:t>strategies used to prove breaches of trading practices including trial purchases</w:t>
            </w:r>
          </w:p>
          <w:p w:rsidR="00000000" w:rsidRPr="008432BE" w:rsidP="008432BE">
            <w:pPr>
              <w:pStyle w:val="ListBullet"/>
            </w:pPr>
            <w:r w:rsidRPr="008432BE">
              <w:t>the format and procedure for conducting an interview in accordance with organisational guidelines</w:t>
            </w:r>
          </w:p>
          <w:p w:rsidR="00000000" w:rsidRPr="008432BE" w:rsidP="008432BE">
            <w:pPr>
              <w:pStyle w:val="ListBullet"/>
            </w:pPr>
            <w:r w:rsidRPr="008432BE">
              <w:t>the principles of natural justice; requirements of appropr</w:t>
            </w:r>
            <w:r w:rsidRPr="008432BE">
              <w:t>iate legislation; judges' or court rules; the organisation's code of conduct</w:t>
            </w:r>
          </w:p>
          <w:p w:rsidR="00000000" w:rsidRPr="008432BE" w:rsidP="008432BE">
            <w:pPr>
              <w:pStyle w:val="ListBullet"/>
            </w:pPr>
            <w:r w:rsidRPr="008432BE">
              <w:t>strategies for handling conflict</w:t>
            </w:r>
          </w:p>
          <w:p w:rsidR="00000000" w:rsidRPr="008432BE" w:rsidP="008432BE">
            <w:pPr>
              <w:pStyle w:val="ListBullet"/>
            </w:pPr>
            <w:r w:rsidRPr="008432BE">
              <w:t>cultural and gender issues that influence the communication/interviewing process</w:t>
            </w:r>
          </w:p>
          <w:p w:rsidR="00000000" w:rsidRPr="008432BE" w:rsidP="008432BE">
            <w:pPr>
              <w:pStyle w:val="ListBullet"/>
            </w:pPr>
            <w:r w:rsidRPr="008432BE">
              <w:t>maintenance of evidence integrity</w:t>
            </w:r>
          </w:p>
          <w:p w:rsidR="00000000" w:rsidRPr="008432BE" w:rsidP="008432BE">
            <w:pPr>
              <w:pStyle w:val="ListBullet"/>
            </w:pPr>
            <w:r w:rsidRPr="008432BE">
              <w:t>recording and secure storage of evidence in accordance with organisational procedures can be explained.</w:t>
            </w:r>
          </w:p>
          <w:p w:rsidR="00000000" w:rsidRPr="008432BE" w:rsidP="008432BE">
            <w:pPr>
              <w:pStyle w:val="ListBullet"/>
            </w:pPr>
            <w:r w:rsidRPr="008432BE">
              <w:t>types of ownership entities for legal responsibilities</w:t>
            </w:r>
          </w:p>
          <w:p w:rsidR="00000000" w:rsidRPr="008432BE" w:rsidP="008432BE">
            <w:pPr>
              <w:pStyle w:val="ListBullet"/>
            </w:pPr>
            <w:r w:rsidRPr="008432BE">
              <w:t>appropriate forms used for inspection outcomes including non-compliance and rejection notices, in</w:t>
            </w:r>
            <w:r w:rsidRPr="008432BE">
              <w:t>strument performance records, fees and traders' files</w:t>
            </w:r>
          </w:p>
          <w:p w:rsidR="00000000" w:rsidRPr="008432BE" w:rsidP="008432BE">
            <w:pPr>
              <w:pStyle w:val="ListBullet"/>
            </w:pPr>
            <w:r w:rsidRPr="008432BE">
              <w:t>suitable environment to communicate inspection outcomes with trader</w:t>
            </w:r>
          </w:p>
          <w:p w:rsidR="00000000" w:rsidRPr="008432BE" w:rsidP="008432BE">
            <w:pPr>
              <w:pStyle w:val="ListBullet"/>
            </w:pPr>
            <w:r w:rsidRPr="008432BE">
              <w:t>strategies for handling conflict situation</w:t>
            </w:r>
          </w:p>
          <w:p w:rsidR="00000000" w:rsidRPr="008432BE" w:rsidP="008432BE">
            <w:pPr>
              <w:pStyle w:val="ListBullet"/>
            </w:pPr>
            <w:r w:rsidRPr="008432BE">
              <w:t>sensitivity to cultural and gender issues that influence the communication process</w:t>
            </w:r>
          </w:p>
          <w:p w:rsidR="00000000" w:rsidRPr="008432BE" w:rsidP="008432BE">
            <w:pPr>
              <w:pStyle w:val="ListBullet"/>
            </w:pPr>
            <w:r w:rsidRPr="008432BE">
              <w:t>correcti</w:t>
            </w:r>
            <w:r w:rsidRPr="008432BE">
              <w:t xml:space="preserve">ve solutions for a range of scenarios </w:t>
            </w:r>
          </w:p>
          <w:p w:rsidR="00000000" w:rsidRPr="008432BE" w:rsidP="008432BE">
            <w:pPr>
              <w:pStyle w:val="ListBullet"/>
            </w:pPr>
            <w:r w:rsidRPr="008432BE">
              <w:t>legislative requirements for a range of trading environments</w:t>
            </w:r>
          </w:p>
          <w:p w:rsidR="00000000" w:rsidRPr="008432BE" w:rsidP="008432BE">
            <w:pPr>
              <w:pStyle w:val="ListBullet"/>
            </w:pPr>
            <w:r w:rsidRPr="008432BE">
              <w:t>reporting processes and outcomes</w:t>
            </w:r>
          </w:p>
          <w:p w:rsidR="00000000" w:rsidRPr="008432BE" w:rsidP="008432BE">
            <w:pPr>
              <w:pStyle w:val="ListBullet"/>
            </w:pPr>
            <w:r w:rsidRPr="008432BE">
              <w:t>accurate interpretation of enforcement guidelines</w:t>
            </w:r>
          </w:p>
          <w:p w:rsidR="00000000" w:rsidRPr="008432BE" w:rsidP="008432BE">
            <w:pPr>
              <w:pStyle w:val="ListBullet"/>
            </w:pPr>
            <w:r w:rsidRPr="008432BE">
              <w:t>methods for conducting a follow-up activity</w:t>
            </w:r>
          </w:p>
        </w:tc>
      </w:tr>
    </w:tbl>
    <w:p w:rsidR="00811000" w:rsidP="008432BE">
      <w:pPr>
        <w:pStyle w:val="BodyText"/>
      </w:pPr>
    </w:p>
    <w:p w:rsidR="00811000" w:rsidP="008432BE">
      <w:pPr>
        <w:pStyle w:val="BodyText"/>
      </w:pPr>
    </w:p>
    <w:p w:rsidR="00000000" w:rsidRPr="008432BE" w:rsidP="008432BE">
      <w:pPr>
        <w:pStyle w:val="AllowPageBreak"/>
      </w:pPr>
    </w:p>
    <w:p w:rsidR="00000000" w:rsidRPr="008432BE" w:rsidP="008432BE">
      <w:pPr>
        <w:pStyle w:val="Heading1"/>
      </w:pPr>
      <w:bookmarkStart w:id="10" w:name="O_244898"/>
      <w:bookmarkEnd w:id="10"/>
      <w:r w:rsidRPr="008432BE">
        <w:t>Evidence Guide</w:t>
      </w:r>
    </w:p>
    <w:tbl>
      <w:tblPr>
        <w:tblW w:w="9570" w:type="dxa"/>
        <w:tblLayout w:type="fixed"/>
        <w:tblCellMar>
          <w:left w:w="62" w:type="dxa"/>
          <w:right w:w="62" w:type="dxa"/>
        </w:tblCellMar>
        <w:tblLook w:val="0000"/>
      </w:tblPr>
      <w:tblGrid>
        <w:gridCol w:w="3908"/>
        <w:gridCol w:w="5662"/>
      </w:tblGrid>
      <w:tr w:rsidTr="008110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EVIDENCE GUIDE</w:t>
            </w:r>
          </w:p>
        </w:tc>
      </w:tr>
      <w:tr w:rsidTr="008110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The evidence guide provides advice on assessment and must be read in conjunction with the performance criteria, required skills and knowledge, range statement and the Assessment Guidelines for the Training Package.</w:t>
            </w:r>
          </w:p>
        </w:tc>
      </w:tr>
      <w:tr w:rsidTr="0081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A person who demonstrates competency in this unit must be able to conduct a field inspection. Competency in this unit cannot be claimed until all prerequisites have been satisfied.</w:t>
            </w:r>
          </w:p>
        </w:tc>
      </w:tr>
      <w:tr w:rsidTr="0081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Critical aspects for assessment and evidence requi</w:t>
            </w:r>
            <w:r w:rsidRPr="008432BE">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Assessors must be satisfied that the candidate can competently and consistently perform all elements of the unit as specified by the criteria, including required knowledge, and be capable of applying the competenc</w:t>
            </w:r>
            <w:r w:rsidRPr="008432BE">
              <w:t>y in new and different situations and contexts.</w:t>
            </w:r>
          </w:p>
        </w:tc>
      </w:tr>
      <w:tr w:rsidTr="0081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This unit may be assessed on the job, off the job or a combination of both on and off the job. Where assessment occurs off the job, that is the candidate is n</w:t>
            </w:r>
            <w:r w:rsidRPr="008432BE">
              <w:t>ot in productive work, then an appropriate simulation must be used where the range of conditions reflects realistic workplace situations. The competencies covered by this unit would be demonstrated by an individual working alone or as part of a team. The a</w:t>
            </w:r>
            <w:r w:rsidRPr="008432BE">
              <w:t xml:space="preserve">ssessment environment should not disadvantage the candidate. </w:t>
            </w:r>
          </w:p>
          <w:p w:rsidR="00000000" w:rsidP="008432BE">
            <w:pPr>
              <w:pStyle w:val="BodyText"/>
              <w:rPr>
                <w:lang w:val="en-NZ"/>
              </w:rPr>
            </w:pPr>
            <w:r w:rsidRPr="008432BE">
              <w:t>This unit could be assessed in conjunction with any other units addressing the safety, quality, communication, materials handling, recording and reporting associated with conducting a field inspection, or other units requiring the exercise of the skills an</w:t>
            </w:r>
            <w:r w:rsidRPr="008432BE">
              <w:t>d knowledge covered by this unit.</w:t>
            </w:r>
          </w:p>
        </w:tc>
      </w:tr>
      <w:tr w:rsidTr="0081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Assessors should gather a range of evidence that is valid, sufficient, current and authentic. Evidence can be gathered through a variety of ways including direct observation, supervisor's reports, pro</w:t>
            </w:r>
            <w:r w:rsidRPr="008432BE">
              <w:t>ject work, samples and questioning. Questioning techniques should not require language, literacy and numeracy skills beyond those required in this unit of competency. The candidate must have access to all tools, equipment, materials and documentation requi</w:t>
            </w:r>
            <w:r w:rsidRPr="008432BE">
              <w:t>red. The candidate must be permitted to refer to any relevant workplace procedures, product and manufacturing specifications, codes, standards, manuals and reference materials.</w:t>
            </w:r>
          </w:p>
        </w:tc>
      </w:tr>
      <w:tr w:rsidTr="0081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p>
        </w:tc>
      </w:tr>
    </w:tbl>
    <w:p w:rsidR="00811000" w:rsidP="008432BE">
      <w:pPr>
        <w:pStyle w:val="BodyText"/>
      </w:pPr>
    </w:p>
    <w:p w:rsidR="00811000" w:rsidP="008432BE">
      <w:pPr>
        <w:pStyle w:val="BodyText"/>
      </w:pPr>
    </w:p>
    <w:p w:rsidR="00000000" w:rsidRPr="008432BE" w:rsidP="008432BE">
      <w:pPr>
        <w:pStyle w:val="Heading1"/>
      </w:pPr>
      <w:bookmarkStart w:id="11" w:name="O_252881"/>
      <w:bookmarkEnd w:id="11"/>
      <w:r w:rsidRPr="008432BE">
        <w:t>Range Statement</w:t>
      </w:r>
    </w:p>
    <w:tbl>
      <w:tblPr>
        <w:tblW w:w="0" w:type="auto"/>
        <w:tblLayout w:type="fixed"/>
        <w:tblCellMar>
          <w:left w:w="62" w:type="dxa"/>
          <w:right w:w="62" w:type="dxa"/>
        </w:tblCellMar>
        <w:tblLook w:val="0000"/>
      </w:tblPr>
      <w:tblGrid>
        <w:gridCol w:w="3525"/>
        <w:gridCol w:w="4997"/>
      </w:tblGrid>
      <w:tr w:rsidTr="008110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RAN</w:t>
            </w:r>
            <w:r w:rsidRPr="008432BE">
              <w:rPr>
                <w:rStyle w:val="SpecialBold"/>
              </w:rPr>
              <w:t>GE STATEMENT</w:t>
            </w:r>
          </w:p>
        </w:tc>
      </w:tr>
      <w:tr w:rsidTr="008110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 xml:space="preserve">The range statement relates to the unit of competency as a whole. It allows for different work environments and situations that may affect </w:t>
            </w:r>
            <w:r w:rsidRPr="008432BE">
              <w:t>performance. Bold italicised wording, if used in the performance criteria, is detailed below. Essential operating conditions that may be present with training and assessment (depending on the work situation, needs of the candidate, accessibility of the ite</w:t>
            </w:r>
            <w:r w:rsidRPr="008432BE">
              <w:t>m, and local industry and regional contexts) may also be included.</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Technical information and trader history</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Organisation's databases, business/company details</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Trading practices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Advertising, over the counter sales, correct use of measuring instruments, m</w:t>
            </w:r>
            <w:r w:rsidRPr="008432BE">
              <w:t>ethod of sale of goods, positioning of instruments, environmental factors, suitability of instrument, over-pricing, incorrect measurement</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Test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Specific test equipment, reference standards, safety equipment, product handling equipment</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Workplace</w:t>
            </w:r>
            <w:r w:rsidRPr="008432BE">
              <w:t xml:space="preserve">, </w:t>
            </w:r>
            <w:r w:rsidRPr="008432BE">
              <w:rPr>
                <w:rStyle w:val="SpecialBold"/>
              </w:rPr>
              <w:t>health</w:t>
            </w:r>
            <w:r w:rsidRPr="008432BE">
              <w:t>&amp;</w:t>
            </w:r>
            <w:r w:rsidRPr="008432BE">
              <w:rPr>
                <w:rStyle w:val="SpecialBold"/>
              </w:rPr>
              <w:t>safety</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Storage of test equipment, site/premises conditions, disposal of dangerous materials, storage of seized equipment, specific safety equipment and clothing</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Non-compliance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t>Short measure, over-pricing, incorrect marking of packages</w:t>
            </w:r>
          </w:p>
        </w:tc>
      </w:tr>
      <w:tr w:rsidTr="00811000">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Documentat</w:t>
            </w:r>
            <w:r w:rsidRPr="008432BE">
              <w:rPr>
                <w:rStyle w:val="SpecialBold"/>
              </w:rPr>
              <w: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Organisational forms, notices, field books, evaluation form or report, fees, servicing licensee forms, educational material/brochures</w:t>
            </w:r>
          </w:p>
        </w:tc>
      </w:tr>
    </w:tbl>
    <w:p w:rsidR="00811000" w:rsidP="008432BE">
      <w:pPr>
        <w:pStyle w:val="BodyText"/>
      </w:pPr>
    </w:p>
    <w:p w:rsidR="00811000" w:rsidP="008432BE">
      <w:pPr>
        <w:pStyle w:val="BodyText"/>
      </w:pPr>
    </w:p>
    <w:p w:rsidR="00000000" w:rsidRPr="008432BE" w:rsidP="008432BE">
      <w:pPr>
        <w:pStyle w:val="Heading1"/>
      </w:pPr>
      <w:bookmarkStart w:id="12" w:name="O_211851"/>
      <w:bookmarkEnd w:id="12"/>
      <w:r w:rsidRPr="008432BE">
        <w:t>Unit Sector(s)</w:t>
      </w:r>
    </w:p>
    <w:tbl>
      <w:tblPr>
        <w:tblW w:w="0" w:type="auto"/>
        <w:tblLayout w:type="fixed"/>
        <w:tblCellMar>
          <w:left w:w="62" w:type="dxa"/>
          <w:right w:w="62" w:type="dxa"/>
        </w:tblCellMar>
        <w:tblLook w:val="0000"/>
      </w:tblPr>
      <w:tblGrid>
        <w:gridCol w:w="2654"/>
        <w:gridCol w:w="5868"/>
      </w:tblGrid>
      <w:tr w:rsidTr="008110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p>
        </w:tc>
      </w:tr>
    </w:tbl>
    <w:p w:rsidR="00811000" w:rsidP="008432BE">
      <w:pPr>
        <w:pStyle w:val="BodyText"/>
      </w:pPr>
    </w:p>
    <w:p w:rsidR="00811000" w:rsidP="008432BE">
      <w:pPr>
        <w:pStyle w:val="BodyText"/>
      </w:pPr>
    </w:p>
    <w:p w:rsidR="00000000" w:rsidRPr="008432BE" w:rsidP="008432BE">
      <w:pPr>
        <w:pStyle w:val="Heading1"/>
      </w:pPr>
      <w:bookmarkStart w:id="13" w:name="O_211848"/>
      <w:bookmarkEnd w:id="13"/>
      <w:r w:rsidRPr="008432BE">
        <w:t>Co-requisite units</w:t>
      </w:r>
    </w:p>
    <w:tbl>
      <w:tblPr>
        <w:tblW w:w="0" w:type="auto"/>
        <w:tblLayout w:type="fixed"/>
        <w:tblCellMar>
          <w:left w:w="62" w:type="dxa"/>
          <w:right w:w="62" w:type="dxa"/>
        </w:tblCellMar>
        <w:tblLook w:val="0000"/>
      </w:tblPr>
      <w:tblGrid>
        <w:gridCol w:w="2641"/>
        <w:gridCol w:w="1322"/>
        <w:gridCol w:w="4559"/>
      </w:tblGrid>
      <w:tr w:rsidTr="008110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1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p>
        </w:tc>
      </w:tr>
      <w:tr w:rsidTr="00811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p>
        </w:tc>
      </w:tr>
    </w:tbl>
    <w:p w:rsidR="00811000" w:rsidP="008432BE">
      <w:pPr>
        <w:pStyle w:val="BodyText"/>
      </w:pPr>
    </w:p>
    <w:p w:rsidR="00811000" w:rsidP="008432BE">
      <w:pPr>
        <w:pStyle w:val="BodyText"/>
      </w:pPr>
    </w:p>
    <w:p w:rsidR="00000000" w:rsidRPr="008432BE" w:rsidP="008432BE">
      <w:pPr>
        <w:pStyle w:val="Heading1"/>
      </w:pPr>
      <w:bookmarkStart w:id="14" w:name="O_211850"/>
      <w:bookmarkEnd w:id="14"/>
      <w:r w:rsidRPr="008432BE">
        <w:t>Competency field</w:t>
      </w:r>
    </w:p>
    <w:tbl>
      <w:tblPr>
        <w:tblW w:w="0" w:type="auto"/>
        <w:tblLayout w:type="fixed"/>
        <w:tblCellMar>
          <w:left w:w="62" w:type="dxa"/>
          <w:right w:w="62" w:type="dxa"/>
        </w:tblCellMar>
        <w:tblLook w:val="0000"/>
      </w:tblPr>
      <w:tblGrid>
        <w:gridCol w:w="2778"/>
        <w:gridCol w:w="5744"/>
      </w:tblGrid>
      <w:tr w:rsidTr="0081100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2BE">
            <w:pPr>
              <w:pStyle w:val="BodyText"/>
              <w:rPr>
                <w:lang w:val="en-NZ"/>
              </w:rPr>
            </w:pPr>
            <w:r w:rsidRPr="008432B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2BE" w:rsidP="008432BE">
            <w:pPr>
              <w:pStyle w:val="BodyText"/>
            </w:pPr>
            <w:r w:rsidRPr="008432BE">
              <w:t>Quality</w:t>
            </w:r>
          </w:p>
        </w:tc>
      </w:tr>
    </w:tbl>
    <w:p w:rsidR="00811000" w:rsidP="008432BE">
      <w:pPr>
        <w:pStyle w:val="BodyText"/>
      </w:pPr>
    </w:p>
    <w:p w:rsidR="00811000" w:rsidP="008432BE">
      <w:pPr>
        <w:pStyle w:val="BodyText"/>
      </w:pPr>
    </w:p>
    <w:p w:rsidR="00000000" w:rsidRPr="008432BE" w:rsidP="008432BE"/>
    <w:sectPr w:rsidSect="00843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000" w:rsidP="00811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000" w:rsidP="00843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1000" w:rsidP="00843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1000" w:rsidP="00843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000" w:rsidP="008110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000" w:rsidP="008432BE">
    <w:pPr>
      <w:pStyle w:val="Header"/>
      <w:framePr w:wrap="around"/>
    </w:pPr>
    <w:r>
      <w:fldChar w:fldCharType="begin"/>
    </w:r>
    <w:r>
      <w:instrText xml:space="preserve"> TITLE   \* MERGEFORMAT </w:instrText>
    </w:r>
    <w:r>
      <w:fldChar w:fldCharType="separate"/>
    </w:r>
    <w:r>
      <w:t>MEM15019B Conduct a field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000" w:rsidP="00843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78A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60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2BE"/>
    <w:pPr>
      <w:spacing w:before="360" w:after="60"/>
      <w:outlineLvl w:val="0"/>
    </w:pPr>
    <w:rPr>
      <w:sz w:val="32"/>
    </w:rPr>
  </w:style>
  <w:style w:type="paragraph" w:styleId="Heading2">
    <w:name w:val="heading 2"/>
    <w:basedOn w:val="HeadingBase"/>
    <w:next w:val="BodyText"/>
    <w:link w:val="Heading2Char"/>
    <w:qFormat/>
    <w:rsid w:val="008432BE"/>
    <w:pPr>
      <w:keepLines/>
      <w:spacing w:before="240" w:after="120"/>
      <w:outlineLvl w:val="1"/>
    </w:pPr>
    <w:rPr>
      <w:sz w:val="28"/>
      <w:szCs w:val="40"/>
    </w:rPr>
  </w:style>
  <w:style w:type="paragraph" w:styleId="Heading3">
    <w:name w:val="heading 3"/>
    <w:basedOn w:val="HeadingBase"/>
    <w:next w:val="BodyText"/>
    <w:link w:val="Heading3Char"/>
    <w:qFormat/>
    <w:rsid w:val="008432BE"/>
    <w:pPr>
      <w:spacing w:before="180" w:after="120"/>
      <w:outlineLvl w:val="2"/>
    </w:pPr>
    <w:rPr>
      <w:spacing w:val="-10"/>
      <w:kern w:val="32"/>
    </w:rPr>
  </w:style>
  <w:style w:type="paragraph" w:styleId="Heading4">
    <w:name w:val="heading 4"/>
    <w:basedOn w:val="HeadingBase"/>
    <w:next w:val="BodyText"/>
    <w:link w:val="Heading4Char"/>
    <w:qFormat/>
    <w:rsid w:val="008432BE"/>
    <w:pPr>
      <w:spacing w:before="160" w:after="120"/>
      <w:outlineLvl w:val="3"/>
    </w:pPr>
    <w:rPr>
      <w:sz w:val="22"/>
    </w:rPr>
  </w:style>
  <w:style w:type="paragraph" w:styleId="Heading5">
    <w:name w:val="heading 5"/>
    <w:basedOn w:val="HeadingBase"/>
    <w:next w:val="Normal"/>
    <w:link w:val="Heading5Char"/>
    <w:qFormat/>
    <w:rsid w:val="008432BE"/>
    <w:pPr>
      <w:spacing w:before="80"/>
      <w:outlineLvl w:val="4"/>
    </w:pPr>
    <w:rPr>
      <w:color w:val="918585"/>
      <w:sz w:val="20"/>
    </w:rPr>
  </w:style>
  <w:style w:type="paragraph" w:styleId="Heading6">
    <w:name w:val="heading 6"/>
    <w:basedOn w:val="HeadingBase"/>
    <w:next w:val="Normal"/>
    <w:link w:val="Heading6Char"/>
    <w:qFormat/>
    <w:rsid w:val="008432BE"/>
    <w:pPr>
      <w:spacing w:before="60"/>
      <w:outlineLvl w:val="5"/>
    </w:pPr>
    <w:rPr>
      <w:color w:val="918585"/>
      <w:sz w:val="20"/>
    </w:rPr>
  </w:style>
  <w:style w:type="paragraph" w:styleId="Heading7">
    <w:name w:val="heading 7"/>
    <w:basedOn w:val="Normal"/>
    <w:next w:val="Normal"/>
    <w:link w:val="Heading7Char"/>
    <w:qFormat/>
    <w:rsid w:val="008432BE"/>
    <w:pPr>
      <w:ind w:left="720"/>
      <w:outlineLvl w:val="6"/>
    </w:pPr>
    <w:rPr>
      <w:i/>
    </w:rPr>
  </w:style>
  <w:style w:type="paragraph" w:styleId="Heading8">
    <w:name w:val="heading 8"/>
    <w:basedOn w:val="Normal"/>
    <w:next w:val="Normal"/>
    <w:link w:val="Heading8Char"/>
    <w:qFormat/>
    <w:rsid w:val="008432BE"/>
    <w:pPr>
      <w:ind w:left="720"/>
      <w:outlineLvl w:val="7"/>
    </w:pPr>
    <w:rPr>
      <w:i/>
    </w:rPr>
  </w:style>
  <w:style w:type="paragraph" w:styleId="Heading9">
    <w:name w:val="heading 9"/>
    <w:basedOn w:val="Normal"/>
    <w:next w:val="Normal"/>
    <w:link w:val="Heading9Char"/>
    <w:qFormat/>
    <w:rsid w:val="008432BE"/>
    <w:pPr>
      <w:ind w:left="720"/>
      <w:outlineLvl w:val="8"/>
    </w:pPr>
    <w:rPr>
      <w:i/>
    </w:rPr>
  </w:style>
  <w:style w:type="character" w:default="1" w:styleId="DefaultParagraphFont">
    <w:name w:val="Default Paragraph Font"/>
    <w:uiPriority w:val="1"/>
    <w:unhideWhenUsed/>
    <w:rsid w:val="00843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2BE"/>
  </w:style>
  <w:style w:type="character" w:customStyle="1" w:styleId="Heading1Char">
    <w:name w:val="Heading 1 Char"/>
    <w:basedOn w:val="DefaultParagraphFont"/>
    <w:link w:val="Heading1"/>
    <w:rsid w:val="008432BE"/>
    <w:rPr>
      <w:rFonts w:ascii="Times New Roman" w:eastAsia="Times New Roman" w:hAnsi="Times New Roman" w:cs="Times New Roman"/>
      <w:b/>
      <w:sz w:val="32"/>
      <w:szCs w:val="20"/>
      <w:lang w:eastAsia="en-US"/>
    </w:rPr>
  </w:style>
  <w:style w:type="paragraph" w:styleId="BodyText">
    <w:name w:val="Body Text"/>
    <w:basedOn w:val="Normal"/>
    <w:link w:val="BodyTextChar"/>
    <w:rsid w:val="00843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2BE"/>
    <w:rPr>
      <w:rFonts w:ascii="Times New Roman" w:eastAsia="Times New Roman" w:hAnsi="Times New Roman" w:cs="Times New Roman"/>
      <w:sz w:val="24"/>
      <w:lang w:val="en-US" w:eastAsia="en-US"/>
    </w:rPr>
  </w:style>
  <w:style w:type="paragraph" w:styleId="Footer">
    <w:name w:val="footer"/>
    <w:basedOn w:val="Normal"/>
    <w:link w:val="FooterChar"/>
    <w:rsid w:val="00843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2BE"/>
    <w:rPr>
      <w:rFonts w:ascii="Times New Roman" w:eastAsia="Times New Roman" w:hAnsi="Times New Roman" w:cs="Times New Roman"/>
      <w:sz w:val="16"/>
      <w:lang w:val="en-US" w:eastAsia="en-US"/>
    </w:rPr>
  </w:style>
  <w:style w:type="paragraph" w:styleId="List">
    <w:name w:val="List"/>
    <w:basedOn w:val="BodyText"/>
    <w:next w:val="BodyText"/>
    <w:rsid w:val="008432BE"/>
    <w:pPr>
      <w:tabs>
        <w:tab w:val="left" w:pos="340"/>
      </w:tabs>
      <w:spacing w:before="60" w:after="60"/>
      <w:ind w:left="340" w:hanging="340"/>
    </w:pPr>
  </w:style>
  <w:style w:type="paragraph" w:styleId="ListBullet">
    <w:name w:val="List Bullet"/>
    <w:basedOn w:val="List"/>
    <w:rsid w:val="008432BE"/>
    <w:pPr>
      <w:numPr>
        <w:numId w:val="12"/>
      </w:numPr>
      <w:tabs>
        <w:tab w:val="clear" w:pos="340"/>
      </w:tabs>
      <w:spacing w:before="40" w:after="40"/>
    </w:pPr>
  </w:style>
  <w:style w:type="character" w:customStyle="1" w:styleId="SpecialBold">
    <w:name w:val="Special Bold"/>
    <w:basedOn w:val="DefaultParagraphFont"/>
    <w:rsid w:val="008432BE"/>
    <w:rPr>
      <w:b/>
      <w:spacing w:val="0"/>
    </w:rPr>
  </w:style>
  <w:style w:type="paragraph" w:styleId="Header">
    <w:name w:val="header"/>
    <w:basedOn w:val="Normal"/>
    <w:link w:val="HeaderChar"/>
    <w:rsid w:val="00843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2BE"/>
    <w:pPr>
      <w:spacing w:before="240" w:after="120"/>
      <w:outlineLvl w:val="0"/>
    </w:pPr>
    <w:rPr>
      <w:rFonts w:ascii="Times New Roman" w:hAnsi="Times New Roman"/>
      <w:b/>
      <w:sz w:val="28"/>
    </w:rPr>
  </w:style>
  <w:style w:type="paragraph" w:customStyle="1" w:styleId="AllowPageBreak">
    <w:name w:val="AllowPageBreak"/>
    <w:rsid w:val="00843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2BE"/>
    <w:pPr>
      <w:tabs>
        <w:tab w:val="left" w:pos="680"/>
      </w:tabs>
      <w:spacing w:before="60" w:after="60"/>
      <w:ind w:left="680" w:hanging="340"/>
    </w:pPr>
  </w:style>
  <w:style w:type="character" w:customStyle="1" w:styleId="Heading2Char">
    <w:name w:val="Heading 2 Char"/>
    <w:basedOn w:val="DefaultParagraphFont"/>
    <w:link w:val="Heading2"/>
    <w:rsid w:val="00843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2BE"/>
    <w:rPr>
      <w:rFonts w:ascii="Courier New" w:eastAsia="Times New Roman" w:hAnsi="Courier New" w:cs="Times New Roman"/>
      <w:i/>
      <w:szCs w:val="20"/>
      <w:lang w:val="en-US" w:eastAsia="en-US"/>
    </w:rPr>
  </w:style>
  <w:style w:type="paragraph" w:customStyle="1" w:styleId="HeadingBase">
    <w:name w:val="Heading Base"/>
    <w:rsid w:val="00843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2BE"/>
    <w:pPr>
      <w:tabs>
        <w:tab w:val="right" w:leader="dot" w:pos="9072"/>
      </w:tabs>
      <w:ind w:left="567"/>
    </w:pPr>
    <w:rPr>
      <w:szCs w:val="22"/>
    </w:rPr>
  </w:style>
  <w:style w:type="paragraph" w:customStyle="1" w:styleId="TOCBase">
    <w:name w:val="TOC Base"/>
    <w:rsid w:val="00843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2BE"/>
    <w:pPr>
      <w:tabs>
        <w:tab w:val="right" w:leader="dot" w:pos="9072"/>
      </w:tabs>
      <w:spacing w:before="40" w:after="40"/>
      <w:ind w:left="284"/>
    </w:pPr>
    <w:rPr>
      <w:rFonts w:ascii="Times New Roman" w:hAnsi="Times New Roman"/>
    </w:rPr>
  </w:style>
  <w:style w:type="paragraph" w:styleId="TOC1">
    <w:name w:val="toc 1"/>
    <w:basedOn w:val="TOCBase"/>
    <w:next w:val="Normal"/>
    <w:rsid w:val="00843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2BE"/>
    <w:pPr>
      <w:spacing w:before="5040"/>
      <w:jc w:val="center"/>
    </w:pPr>
    <w:rPr>
      <w:sz w:val="48"/>
      <w:szCs w:val="72"/>
      <w:lang w:val="en-US"/>
    </w:rPr>
  </w:style>
  <w:style w:type="character" w:customStyle="1" w:styleId="TitleChar">
    <w:name w:val="Title Char"/>
    <w:basedOn w:val="DefaultParagraphFont"/>
    <w:link w:val="Title"/>
    <w:rsid w:val="00843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2BE"/>
    <w:pPr>
      <w:tabs>
        <w:tab w:val="left" w:pos="3600"/>
        <w:tab w:val="left" w:pos="3958"/>
      </w:tabs>
    </w:pPr>
  </w:style>
  <w:style w:type="paragraph" w:customStyle="1" w:styleId="Note">
    <w:name w:val="Note"/>
    <w:basedOn w:val="BodyText"/>
    <w:rsid w:val="00843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2BE"/>
    <w:pPr>
      <w:framePr w:wrap="auto" w:hAnchor="text" w:y="6049"/>
    </w:pPr>
    <w:rPr>
      <w:color w:val="000000"/>
      <w:sz w:val="40"/>
    </w:rPr>
  </w:style>
  <w:style w:type="paragraph" w:customStyle="1" w:styleId="TOCTitle">
    <w:name w:val="TOCTitle"/>
    <w:basedOn w:val="Heading1"/>
    <w:rsid w:val="008432BE"/>
    <w:pPr>
      <w:spacing w:after="240"/>
      <w:jc w:val="center"/>
      <w:outlineLvl w:val="9"/>
    </w:pPr>
    <w:rPr>
      <w:caps/>
    </w:rPr>
  </w:style>
  <w:style w:type="paragraph" w:customStyle="1" w:styleId="Version">
    <w:name w:val="Version"/>
    <w:rsid w:val="00843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2BE"/>
    <w:pPr>
      <w:numPr>
        <w:numId w:val="13"/>
      </w:numPr>
      <w:tabs>
        <w:tab w:val="clear" w:pos="680"/>
      </w:tabs>
    </w:pPr>
  </w:style>
  <w:style w:type="paragraph" w:styleId="Index1">
    <w:name w:val="index 1"/>
    <w:basedOn w:val="Normal"/>
    <w:next w:val="Normal"/>
    <w:semiHidden/>
    <w:rsid w:val="008432BE"/>
    <w:pPr>
      <w:keepNext w:val="0"/>
      <w:tabs>
        <w:tab w:val="right" w:pos="4176"/>
      </w:tabs>
      <w:ind w:left="198" w:hanging="198"/>
    </w:pPr>
    <w:rPr>
      <w:rFonts w:ascii="Garamond" w:hAnsi="Garamond"/>
    </w:rPr>
  </w:style>
  <w:style w:type="paragraph" w:styleId="IndexHeading">
    <w:name w:val="index heading"/>
    <w:basedOn w:val="Normal"/>
    <w:next w:val="Index1"/>
    <w:semiHidden/>
    <w:rsid w:val="008432BE"/>
    <w:pPr>
      <w:spacing w:before="120" w:after="120"/>
    </w:pPr>
    <w:rPr>
      <w:rFonts w:ascii="Arial" w:hAnsi="Arial"/>
      <w:b/>
      <w:color w:val="918585"/>
      <w:sz w:val="24"/>
    </w:rPr>
  </w:style>
  <w:style w:type="paragraph" w:customStyle="1" w:styleId="Chapter">
    <w:name w:val="Chapter"/>
    <w:basedOn w:val="Normal"/>
    <w:rsid w:val="008432BE"/>
    <w:pPr>
      <w:spacing w:before="240"/>
    </w:pPr>
    <w:rPr>
      <w:rFonts w:ascii="Times New Roman" w:hAnsi="Times New Roman"/>
      <w:smallCaps/>
      <w:spacing w:val="80"/>
      <w:sz w:val="28"/>
    </w:rPr>
  </w:style>
  <w:style w:type="paragraph" w:customStyle="1" w:styleId="InChapter">
    <w:name w:val="InChapter"/>
    <w:basedOn w:val="Heading3"/>
    <w:rsid w:val="008432BE"/>
    <w:pPr>
      <w:spacing w:after="240"/>
      <w:outlineLvl w:val="9"/>
    </w:pPr>
    <w:rPr>
      <w:noProof/>
    </w:rPr>
  </w:style>
  <w:style w:type="paragraph" w:styleId="Index2">
    <w:name w:val="index 2"/>
    <w:basedOn w:val="Normal"/>
    <w:next w:val="Normal"/>
    <w:semiHidden/>
    <w:rsid w:val="008432BE"/>
    <w:pPr>
      <w:tabs>
        <w:tab w:val="right" w:pos="4176"/>
      </w:tabs>
      <w:ind w:left="568" w:hanging="284"/>
    </w:pPr>
    <w:rPr>
      <w:rFonts w:ascii="Garamond" w:hAnsi="Garamond"/>
    </w:rPr>
  </w:style>
  <w:style w:type="paragraph" w:customStyle="1" w:styleId="Byline">
    <w:name w:val="Byline"/>
    <w:rsid w:val="00843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2BE"/>
    <w:pPr>
      <w:tabs>
        <w:tab w:val="clear" w:pos="3600"/>
        <w:tab w:val="clear" w:pos="3958"/>
      </w:tabs>
      <w:jc w:val="right"/>
    </w:pPr>
  </w:style>
  <w:style w:type="character" w:styleId="Emphasis">
    <w:name w:val="Emphasis"/>
    <w:basedOn w:val="DefaultParagraphFont"/>
    <w:qFormat/>
    <w:rsid w:val="008432BE"/>
    <w:rPr>
      <w:i/>
    </w:rPr>
  </w:style>
  <w:style w:type="paragraph" w:styleId="Caption">
    <w:name w:val="caption"/>
    <w:basedOn w:val="BodyText"/>
    <w:next w:val="Normal"/>
    <w:qFormat/>
    <w:rsid w:val="008432BE"/>
    <w:pPr>
      <w:framePr w:w="2268" w:hSpace="181" w:vSpace="181" w:wrap="around" w:vAnchor="text" w:hAnchor="page" w:x="1135" w:y="285" w:anchorLock="1"/>
    </w:pPr>
    <w:rPr>
      <w:i/>
    </w:rPr>
  </w:style>
  <w:style w:type="paragraph" w:customStyle="1" w:styleId="MiniTOCTitle">
    <w:name w:val="MiniTOCTitle"/>
    <w:basedOn w:val="Heading4"/>
    <w:rsid w:val="008432BE"/>
    <w:pPr>
      <w:spacing w:before="240"/>
      <w:outlineLvl w:val="9"/>
    </w:pPr>
    <w:rPr>
      <w:noProof/>
      <w:sz w:val="24"/>
    </w:rPr>
  </w:style>
  <w:style w:type="paragraph" w:customStyle="1" w:styleId="MiniTOCItem">
    <w:name w:val="MiniTOCItem"/>
    <w:basedOn w:val="ListBullet"/>
    <w:rsid w:val="008432BE"/>
    <w:pPr>
      <w:numPr>
        <w:numId w:val="0"/>
      </w:numPr>
      <w:tabs>
        <w:tab w:val="right" w:leader="dot" w:pos="6521"/>
      </w:tabs>
      <w:spacing w:before="0" w:after="0"/>
    </w:pPr>
  </w:style>
  <w:style w:type="paragraph" w:customStyle="1" w:styleId="TOFTitle">
    <w:name w:val="TOFTitle"/>
    <w:basedOn w:val="TOCTitle"/>
    <w:rsid w:val="008432BE"/>
  </w:style>
  <w:style w:type="paragraph" w:styleId="TableofFigures">
    <w:name w:val="table of figures"/>
    <w:basedOn w:val="Normal"/>
    <w:next w:val="Normal"/>
    <w:semiHidden/>
    <w:rsid w:val="008432BE"/>
    <w:pPr>
      <w:tabs>
        <w:tab w:val="right" w:leader="dot" w:pos="9072"/>
      </w:tabs>
      <w:ind w:left="970" w:hanging="403"/>
    </w:pPr>
    <w:rPr>
      <w:rFonts w:ascii="Times New Roman" w:hAnsi="Times New Roman"/>
      <w:b/>
    </w:rPr>
  </w:style>
  <w:style w:type="paragraph" w:styleId="ListNumber">
    <w:name w:val="List Number"/>
    <w:basedOn w:val="List"/>
    <w:rsid w:val="008432BE"/>
    <w:pPr>
      <w:numPr>
        <w:numId w:val="10"/>
      </w:numPr>
    </w:pPr>
  </w:style>
  <w:style w:type="character" w:customStyle="1" w:styleId="WingdingSymbols">
    <w:name w:val="Wingding Symbols"/>
    <w:rsid w:val="008432BE"/>
    <w:rPr>
      <w:rFonts w:ascii="Wingdings" w:hAnsi="Wingdings"/>
    </w:rPr>
  </w:style>
  <w:style w:type="paragraph" w:customStyle="1" w:styleId="TableHeading">
    <w:name w:val="Table Heading"/>
    <w:basedOn w:val="HeadingBase"/>
    <w:rsid w:val="008432BE"/>
    <w:pPr>
      <w:keepLines/>
      <w:pBdr>
        <w:bottom w:val="single" w:sz="6" w:space="1" w:color="918585"/>
      </w:pBdr>
      <w:spacing w:before="240"/>
    </w:pPr>
  </w:style>
  <w:style w:type="character" w:customStyle="1" w:styleId="HotSpot">
    <w:name w:val="HotSpot"/>
    <w:rsid w:val="008432BE"/>
    <w:rPr>
      <w:color w:val="0033CC"/>
      <w:u w:val="none"/>
    </w:rPr>
  </w:style>
  <w:style w:type="paragraph" w:customStyle="1" w:styleId="BodyTextRight">
    <w:name w:val="Body Text Right"/>
    <w:basedOn w:val="BodyText"/>
    <w:rsid w:val="008432BE"/>
    <w:pPr>
      <w:spacing w:before="0" w:after="0"/>
      <w:jc w:val="right"/>
    </w:pPr>
  </w:style>
  <w:style w:type="paragraph" w:styleId="Index3">
    <w:name w:val="index 3"/>
    <w:basedOn w:val="ListNumber2"/>
    <w:next w:val="Normal"/>
    <w:semiHidden/>
    <w:rsid w:val="008432BE"/>
    <w:pPr>
      <w:numPr>
        <w:numId w:val="0"/>
      </w:numPr>
      <w:tabs>
        <w:tab w:val="right" w:leader="dot" w:pos="4176"/>
      </w:tabs>
    </w:pPr>
  </w:style>
  <w:style w:type="paragraph" w:styleId="ListNumber2">
    <w:name w:val="List Number 2"/>
    <w:basedOn w:val="List2"/>
    <w:rsid w:val="008432BE"/>
    <w:pPr>
      <w:numPr>
        <w:numId w:val="9"/>
      </w:numPr>
      <w:tabs>
        <w:tab w:val="clear" w:pos="1060"/>
      </w:tabs>
    </w:pPr>
  </w:style>
  <w:style w:type="paragraph" w:customStyle="1" w:styleId="MarginNote">
    <w:name w:val="Margin Note"/>
    <w:basedOn w:val="BodyText"/>
    <w:rsid w:val="00843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2BE"/>
    <w:rPr>
      <w:sz w:val="32"/>
    </w:rPr>
  </w:style>
  <w:style w:type="paragraph" w:customStyle="1" w:styleId="HeadingProcedure">
    <w:name w:val="Heading Procedure"/>
    <w:basedOn w:val="HeadingBase"/>
    <w:next w:val="Normal"/>
    <w:rsid w:val="008432BE"/>
    <w:pPr>
      <w:tabs>
        <w:tab w:val="left" w:pos="0"/>
      </w:tabs>
      <w:spacing w:before="120" w:after="60"/>
    </w:pPr>
    <w:rPr>
      <w:i/>
      <w:color w:val="918585"/>
      <w:sz w:val="22"/>
    </w:rPr>
  </w:style>
  <w:style w:type="paragraph" w:customStyle="1" w:styleId="TableBodyText">
    <w:name w:val="Table Body Text"/>
    <w:basedOn w:val="BodyText"/>
    <w:rsid w:val="008432BE"/>
    <w:pPr>
      <w:spacing w:before="60" w:after="60"/>
    </w:pPr>
  </w:style>
  <w:style w:type="paragraph" w:styleId="ListContinue">
    <w:name w:val="List Continue"/>
    <w:basedOn w:val="List"/>
    <w:rsid w:val="008432BE"/>
    <w:pPr>
      <w:ind w:firstLine="0"/>
    </w:pPr>
  </w:style>
  <w:style w:type="paragraph" w:customStyle="1" w:styleId="ListNote">
    <w:name w:val="List Note"/>
    <w:basedOn w:val="List"/>
    <w:rsid w:val="008432BE"/>
    <w:pPr>
      <w:pBdr>
        <w:top w:val="single" w:sz="6" w:space="2" w:color="918585"/>
        <w:bottom w:val="single" w:sz="6" w:space="2" w:color="918585"/>
      </w:pBdr>
      <w:tabs>
        <w:tab w:val="left" w:pos="1021"/>
      </w:tabs>
      <w:ind w:firstLine="0"/>
    </w:pPr>
  </w:style>
  <w:style w:type="paragraph" w:customStyle="1" w:styleId="Warning">
    <w:name w:val="Warning"/>
    <w:basedOn w:val="BodyText"/>
    <w:rsid w:val="008432BE"/>
    <w:pPr>
      <w:shd w:val="clear" w:color="auto" w:fill="D9D9D9"/>
      <w:tabs>
        <w:tab w:val="left" w:pos="992"/>
      </w:tabs>
      <w:ind w:left="119" w:right="119"/>
    </w:pPr>
    <w:rPr>
      <w:sz w:val="20"/>
    </w:rPr>
  </w:style>
  <w:style w:type="paragraph" w:customStyle="1" w:styleId="MarginIcons">
    <w:name w:val="Margin Icons"/>
    <w:basedOn w:val="BodyText"/>
    <w:rsid w:val="00843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2BE"/>
    <w:rPr>
      <w:rFonts w:ascii="Courier New" w:hAnsi="Courier New"/>
    </w:rPr>
  </w:style>
  <w:style w:type="paragraph" w:customStyle="1" w:styleId="NoteBullet">
    <w:name w:val="Note Bullet"/>
    <w:basedOn w:val="Note"/>
    <w:rsid w:val="008432BE"/>
    <w:pPr>
      <w:tabs>
        <w:tab w:val="clear" w:pos="680"/>
      </w:tabs>
      <w:spacing w:before="60" w:after="60"/>
    </w:pPr>
  </w:style>
  <w:style w:type="paragraph" w:customStyle="1" w:styleId="SubHeading2">
    <w:name w:val="SubHeading2"/>
    <w:basedOn w:val="HeadingBase"/>
    <w:rsid w:val="008432BE"/>
    <w:pPr>
      <w:spacing w:before="240" w:after="60"/>
    </w:pPr>
    <w:rPr>
      <w:sz w:val="20"/>
    </w:rPr>
  </w:style>
  <w:style w:type="paragraph" w:customStyle="1" w:styleId="SubHeading1">
    <w:name w:val="SubHeading1"/>
    <w:basedOn w:val="HeadingBase"/>
    <w:rsid w:val="008432BE"/>
    <w:pPr>
      <w:spacing w:before="240" w:after="60"/>
    </w:pPr>
    <w:rPr>
      <w:color w:val="918585"/>
      <w:sz w:val="22"/>
    </w:rPr>
  </w:style>
  <w:style w:type="paragraph" w:customStyle="1" w:styleId="SideHeading">
    <w:name w:val="Side Heading"/>
    <w:basedOn w:val="HeadingBase"/>
    <w:rsid w:val="00843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2BE"/>
    <w:pPr>
      <w:tabs>
        <w:tab w:val="num" w:pos="360"/>
      </w:tabs>
    </w:pPr>
  </w:style>
  <w:style w:type="paragraph" w:styleId="PlainText">
    <w:name w:val="Plain Text"/>
    <w:basedOn w:val="Normal"/>
    <w:link w:val="PlainTextChar"/>
    <w:rsid w:val="008432BE"/>
    <w:rPr>
      <w:sz w:val="20"/>
    </w:rPr>
  </w:style>
  <w:style w:type="character" w:customStyle="1" w:styleId="PlainTextChar">
    <w:name w:val="Plain Text Char"/>
    <w:basedOn w:val="DefaultParagraphFont"/>
    <w:link w:val="PlainText"/>
    <w:rsid w:val="008432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32BE"/>
    <w:rPr>
      <w:b/>
      <w:smallCaps/>
    </w:rPr>
  </w:style>
  <w:style w:type="paragraph" w:customStyle="1" w:styleId="TableListNumber">
    <w:name w:val="Table List Number"/>
    <w:basedOn w:val="ListNumber"/>
    <w:rsid w:val="008432BE"/>
    <w:pPr>
      <w:numPr>
        <w:numId w:val="0"/>
      </w:numPr>
    </w:pPr>
  </w:style>
  <w:style w:type="paragraph" w:styleId="TOC4">
    <w:name w:val="toc 4"/>
    <w:basedOn w:val="TOCBase"/>
    <w:next w:val="Normal"/>
    <w:semiHidden/>
    <w:rsid w:val="008432BE"/>
    <w:pPr>
      <w:tabs>
        <w:tab w:val="right" w:leader="dot" w:pos="9071"/>
      </w:tabs>
      <w:ind w:left="1701"/>
    </w:pPr>
  </w:style>
  <w:style w:type="paragraph" w:customStyle="1" w:styleId="ListAlpha">
    <w:name w:val="List Alpha"/>
    <w:basedOn w:val="List"/>
    <w:rsid w:val="008432BE"/>
    <w:pPr>
      <w:numPr>
        <w:numId w:val="8"/>
      </w:numPr>
    </w:pPr>
  </w:style>
  <w:style w:type="paragraph" w:customStyle="1" w:styleId="ListAlpha2">
    <w:name w:val="List Alpha 2"/>
    <w:basedOn w:val="List2"/>
    <w:rsid w:val="008432BE"/>
    <w:pPr>
      <w:numPr>
        <w:numId w:val="7"/>
      </w:numPr>
    </w:pPr>
  </w:style>
  <w:style w:type="paragraph" w:styleId="List3">
    <w:name w:val="List 3"/>
    <w:basedOn w:val="BodyText"/>
    <w:rsid w:val="008432BE"/>
    <w:pPr>
      <w:tabs>
        <w:tab w:val="left" w:pos="1021"/>
      </w:tabs>
      <w:spacing w:before="60" w:after="60"/>
      <w:ind w:left="1020" w:hanging="340"/>
    </w:pPr>
  </w:style>
  <w:style w:type="paragraph" w:styleId="List4">
    <w:name w:val="List 4"/>
    <w:basedOn w:val="BodyText"/>
    <w:rsid w:val="008432BE"/>
    <w:pPr>
      <w:tabs>
        <w:tab w:val="left" w:pos="1361"/>
      </w:tabs>
      <w:spacing w:before="60" w:after="60"/>
      <w:ind w:left="1361" w:hanging="340"/>
    </w:pPr>
  </w:style>
  <w:style w:type="paragraph" w:styleId="List5">
    <w:name w:val="List 5"/>
    <w:basedOn w:val="BodyText"/>
    <w:rsid w:val="008432BE"/>
    <w:pPr>
      <w:tabs>
        <w:tab w:val="left" w:pos="1701"/>
      </w:tabs>
      <w:spacing w:before="60" w:after="60"/>
      <w:ind w:left="1701" w:hanging="340"/>
    </w:pPr>
  </w:style>
  <w:style w:type="paragraph" w:styleId="ListBullet3">
    <w:name w:val="List Bullet 3"/>
    <w:basedOn w:val="List3"/>
    <w:rsid w:val="008432BE"/>
    <w:pPr>
      <w:numPr>
        <w:numId w:val="14"/>
      </w:numPr>
      <w:tabs>
        <w:tab w:val="clear" w:pos="1021"/>
      </w:tabs>
      <w:ind w:left="1037" w:hanging="357"/>
    </w:pPr>
  </w:style>
  <w:style w:type="paragraph" w:styleId="ListBullet4">
    <w:name w:val="List Bullet 4"/>
    <w:basedOn w:val="List4"/>
    <w:rsid w:val="008432BE"/>
    <w:pPr>
      <w:numPr>
        <w:numId w:val="2"/>
      </w:numPr>
    </w:pPr>
  </w:style>
  <w:style w:type="paragraph" w:styleId="ListBullet5">
    <w:name w:val="List Bullet 5"/>
    <w:basedOn w:val="List5"/>
    <w:rsid w:val="008432BE"/>
    <w:pPr>
      <w:numPr>
        <w:numId w:val="3"/>
      </w:numPr>
    </w:pPr>
  </w:style>
  <w:style w:type="paragraph" w:styleId="ListContinue2">
    <w:name w:val="List Continue 2"/>
    <w:basedOn w:val="List2"/>
    <w:rsid w:val="008432BE"/>
    <w:pPr>
      <w:ind w:firstLine="0"/>
    </w:pPr>
  </w:style>
  <w:style w:type="paragraph" w:styleId="ListContinue3">
    <w:name w:val="List Continue 3"/>
    <w:basedOn w:val="List3"/>
    <w:rsid w:val="008432BE"/>
    <w:pPr>
      <w:ind w:left="1021" w:firstLine="0"/>
    </w:pPr>
  </w:style>
  <w:style w:type="paragraph" w:styleId="ListContinue4">
    <w:name w:val="List Continue 4"/>
    <w:basedOn w:val="List4"/>
    <w:rsid w:val="008432BE"/>
    <w:pPr>
      <w:ind w:firstLine="0"/>
    </w:pPr>
  </w:style>
  <w:style w:type="paragraph" w:styleId="ListContinue5">
    <w:name w:val="List Continue 5"/>
    <w:basedOn w:val="List5"/>
    <w:rsid w:val="008432BE"/>
    <w:pPr>
      <w:ind w:firstLine="0"/>
    </w:pPr>
  </w:style>
  <w:style w:type="paragraph" w:styleId="ListNumber3">
    <w:name w:val="List Number 3"/>
    <w:basedOn w:val="List3"/>
    <w:rsid w:val="008432BE"/>
    <w:pPr>
      <w:numPr>
        <w:numId w:val="4"/>
      </w:numPr>
    </w:pPr>
  </w:style>
  <w:style w:type="paragraph" w:styleId="ListNumber4">
    <w:name w:val="List Number 4"/>
    <w:basedOn w:val="List4"/>
    <w:rsid w:val="008432BE"/>
    <w:pPr>
      <w:numPr>
        <w:numId w:val="5"/>
      </w:numPr>
    </w:pPr>
  </w:style>
  <w:style w:type="paragraph" w:styleId="ListNumber5">
    <w:name w:val="List Number 5"/>
    <w:basedOn w:val="List5"/>
    <w:rsid w:val="008432BE"/>
    <w:pPr>
      <w:numPr>
        <w:numId w:val="6"/>
      </w:numPr>
    </w:pPr>
  </w:style>
  <w:style w:type="paragraph" w:styleId="BlockText">
    <w:name w:val="Block Text"/>
    <w:basedOn w:val="Normal"/>
    <w:rsid w:val="008432BE"/>
    <w:pPr>
      <w:spacing w:after="120"/>
      <w:ind w:left="1440" w:right="1440"/>
    </w:pPr>
  </w:style>
  <w:style w:type="character" w:customStyle="1" w:styleId="Subscript">
    <w:name w:val="Subscript"/>
    <w:basedOn w:val="DefaultParagraphFont"/>
    <w:rsid w:val="008432BE"/>
    <w:rPr>
      <w:sz w:val="16"/>
      <w:vertAlign w:val="subscript"/>
    </w:rPr>
  </w:style>
  <w:style w:type="character" w:customStyle="1" w:styleId="Superscript">
    <w:name w:val="Superscript"/>
    <w:basedOn w:val="DefaultParagraphFont"/>
    <w:rsid w:val="008432BE"/>
    <w:rPr>
      <w:sz w:val="16"/>
      <w:vertAlign w:val="superscript"/>
    </w:rPr>
  </w:style>
  <w:style w:type="character" w:customStyle="1" w:styleId="Symbols">
    <w:name w:val="Symbols"/>
    <w:basedOn w:val="DefaultParagraphFont"/>
    <w:rsid w:val="008432BE"/>
    <w:rPr>
      <w:rFonts w:ascii="Symbol" w:hAnsi="Symbol"/>
    </w:rPr>
  </w:style>
  <w:style w:type="character" w:customStyle="1" w:styleId="MenuOptions">
    <w:name w:val="Menu Options"/>
    <w:basedOn w:val="DefaultParagraphFont"/>
    <w:rsid w:val="008432BE"/>
    <w:rPr>
      <w:rFonts w:ascii="Arial Narrow" w:hAnsi="Arial Narrow"/>
      <w:smallCaps/>
    </w:rPr>
  </w:style>
  <w:style w:type="character" w:customStyle="1" w:styleId="Buttons">
    <w:name w:val="Buttons"/>
    <w:basedOn w:val="DefaultParagraphFont"/>
    <w:rsid w:val="008432BE"/>
    <w:rPr>
      <w:b/>
    </w:rPr>
  </w:style>
  <w:style w:type="character" w:customStyle="1" w:styleId="Underlined">
    <w:name w:val="Underlined"/>
    <w:basedOn w:val="DefaultParagraphFont"/>
    <w:rsid w:val="008432BE"/>
    <w:rPr>
      <w:u w:val="single"/>
    </w:rPr>
  </w:style>
  <w:style w:type="paragraph" w:customStyle="1" w:styleId="TableBodyTextRight">
    <w:name w:val="Table Body Text Right"/>
    <w:basedOn w:val="TableBodyText"/>
    <w:rsid w:val="008432BE"/>
    <w:pPr>
      <w:widowControl w:val="0"/>
      <w:autoSpaceDE w:val="0"/>
      <w:autoSpaceDN w:val="0"/>
      <w:adjustRightInd w:val="0"/>
      <w:jc w:val="right"/>
    </w:pPr>
    <w:rPr>
      <w:rFonts w:cs="Arial"/>
      <w:szCs w:val="18"/>
    </w:rPr>
  </w:style>
  <w:style w:type="paragraph" w:customStyle="1" w:styleId="CopyrightText">
    <w:name w:val="Copyright Text"/>
    <w:basedOn w:val="BodyText"/>
    <w:rsid w:val="008432BE"/>
    <w:rPr>
      <w:sz w:val="18"/>
    </w:rPr>
  </w:style>
  <w:style w:type="paragraph" w:customStyle="1" w:styleId="BodySmallRight">
    <w:name w:val="Body Small Right"/>
    <w:basedOn w:val="BodyTextRight"/>
    <w:rsid w:val="008432BE"/>
    <w:rPr>
      <w:sz w:val="18"/>
      <w:szCs w:val="18"/>
    </w:rPr>
  </w:style>
  <w:style w:type="paragraph" w:customStyle="1" w:styleId="MarginEdition">
    <w:name w:val="Margin Edition"/>
    <w:basedOn w:val="MarginNote"/>
    <w:rsid w:val="008432BE"/>
    <w:pPr>
      <w:spacing w:before="0" w:after="0"/>
    </w:pPr>
    <w:rPr>
      <w:rFonts w:ascii="Times New Roman" w:hAnsi="Times New Roman"/>
      <w:color w:val="999999"/>
    </w:rPr>
  </w:style>
  <w:style w:type="paragraph" w:customStyle="1" w:styleId="Spacer">
    <w:name w:val="Spacer"/>
    <w:basedOn w:val="Normal"/>
    <w:rsid w:val="008432BE"/>
    <w:rPr>
      <w:sz w:val="2"/>
      <w:szCs w:val="2"/>
    </w:rPr>
  </w:style>
  <w:style w:type="character" w:customStyle="1" w:styleId="Small">
    <w:name w:val="Small"/>
    <w:basedOn w:val="DefaultParagraphFont"/>
    <w:rsid w:val="008432BE"/>
    <w:rPr>
      <w:sz w:val="16"/>
    </w:rPr>
  </w:style>
  <w:style w:type="paragraph" w:customStyle="1" w:styleId="WideTable">
    <w:name w:val="Wide Table"/>
    <w:basedOn w:val="Normal"/>
    <w:rsid w:val="008432BE"/>
    <w:pPr>
      <w:ind w:left="-1418"/>
    </w:pPr>
    <w:rPr>
      <w:sz w:val="2"/>
      <w:szCs w:val="2"/>
    </w:rPr>
  </w:style>
  <w:style w:type="character" w:styleId="PageNumber">
    <w:name w:val="page number"/>
    <w:basedOn w:val="DefaultParagraphFont"/>
    <w:rsid w:val="008432BE"/>
  </w:style>
  <w:style w:type="paragraph" w:styleId="Quote">
    <w:name w:val="Quote"/>
    <w:basedOn w:val="Heading1"/>
    <w:link w:val="QuoteChar"/>
    <w:qFormat/>
    <w:rsid w:val="008432BE"/>
    <w:rPr>
      <w:b w:val="0"/>
      <w:sz w:val="72"/>
      <w:szCs w:val="72"/>
      <w:lang w:val="en-NZ"/>
    </w:rPr>
  </w:style>
  <w:style w:type="character" w:customStyle="1" w:styleId="QuoteChar">
    <w:name w:val="Quote Char"/>
    <w:basedOn w:val="DefaultParagraphFont"/>
    <w:link w:val="Quote"/>
    <w:rsid w:val="00843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2BE"/>
    <w:pPr>
      <w:pageBreakBefore/>
    </w:pPr>
  </w:style>
  <w:style w:type="paragraph" w:customStyle="1" w:styleId="Border">
    <w:name w:val="Border"/>
    <w:basedOn w:val="Normal"/>
    <w:qFormat/>
    <w:rsid w:val="00843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2BE"/>
    <w:rPr>
      <w:b/>
      <w:bCs/>
      <w:i/>
      <w:iCs/>
      <w:color w:val="auto"/>
    </w:rPr>
  </w:style>
  <w:style w:type="paragraph" w:styleId="IntenseQuote">
    <w:name w:val="Intense Quote"/>
    <w:basedOn w:val="Normal"/>
    <w:next w:val="Normal"/>
    <w:link w:val="IntenseQuoteChar"/>
    <w:uiPriority w:val="30"/>
    <w:qFormat/>
    <w:rsid w:val="00843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2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32BE"/>
    <w:rPr>
      <w:smallCaps/>
      <w:color w:val="auto"/>
      <w:u w:val="single"/>
    </w:rPr>
  </w:style>
  <w:style w:type="character" w:styleId="IntenseReference">
    <w:name w:val="Intense Reference"/>
    <w:basedOn w:val="DefaultParagraphFont"/>
    <w:uiPriority w:val="32"/>
    <w:qFormat/>
    <w:rsid w:val="008432BE"/>
    <w:rPr>
      <w:b/>
      <w:bCs/>
      <w:smallCaps/>
      <w:color w:val="auto"/>
      <w:spacing w:val="5"/>
      <w:u w:val="single"/>
    </w:rPr>
  </w:style>
  <w:style w:type="paragraph" w:customStyle="1" w:styleId="2ColumnHeading">
    <w:name w:val="2Column Heading"/>
    <w:basedOn w:val="BodyText"/>
    <w:qFormat/>
    <w:rsid w:val="008432BE"/>
    <w:pPr>
      <w:spacing w:after="60"/>
      <w:ind w:left="-2268"/>
    </w:pPr>
    <w:rPr>
      <w:b/>
    </w:rPr>
  </w:style>
  <w:style w:type="paragraph" w:customStyle="1" w:styleId="Heading1TOC">
    <w:name w:val="Heading1 TOC"/>
    <w:basedOn w:val="Normal"/>
    <w:qFormat/>
    <w:rsid w:val="008432BE"/>
    <w:pPr>
      <w:spacing w:before="240" w:after="120"/>
    </w:pPr>
    <w:rPr>
      <w:rFonts w:ascii="Times New Roman" w:hAnsi="Times New Roman"/>
      <w:b/>
      <w:sz w:val="32"/>
    </w:rPr>
  </w:style>
  <w:style w:type="paragraph" w:customStyle="1" w:styleId="Heading2TOC">
    <w:name w:val="Heading2 TOC"/>
    <w:basedOn w:val="Normal"/>
    <w:qFormat/>
    <w:rsid w:val="008432BE"/>
    <w:pPr>
      <w:spacing w:before="240" w:after="60"/>
    </w:pPr>
    <w:rPr>
      <w:rFonts w:ascii="Times New Roman" w:hAnsi="Times New Roman"/>
      <w:b/>
      <w:sz w:val="28"/>
    </w:rPr>
  </w:style>
  <w:style w:type="character" w:customStyle="1" w:styleId="Underline">
    <w:name w:val="Underline"/>
    <w:basedOn w:val="DefaultParagraphFont"/>
    <w:qFormat/>
    <w:rsid w:val="008432BE"/>
    <w:rPr>
      <w:u w:val="single"/>
    </w:rPr>
  </w:style>
  <w:style w:type="character" w:customStyle="1" w:styleId="BoldandItalics">
    <w:name w:val="Bold and Italics"/>
    <w:qFormat/>
    <w:rsid w:val="008432BE"/>
    <w:rPr>
      <w:b/>
      <w:i/>
      <w:u w:val="none"/>
    </w:rPr>
  </w:style>
  <w:style w:type="paragraph" w:styleId="BalloonText">
    <w:name w:val="Balloon Text"/>
    <w:basedOn w:val="Normal"/>
    <w:link w:val="BalloonTextChar"/>
    <w:rsid w:val="008432BE"/>
    <w:rPr>
      <w:rFonts w:ascii="Tahoma" w:hAnsi="Tahoma" w:cs="Tahoma"/>
      <w:sz w:val="16"/>
      <w:szCs w:val="16"/>
    </w:rPr>
  </w:style>
  <w:style w:type="character" w:customStyle="1" w:styleId="BalloonTextChar">
    <w:name w:val="Balloon Text Char"/>
    <w:basedOn w:val="DefaultParagraphFont"/>
    <w:link w:val="BalloonText"/>
    <w:rsid w:val="00843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2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1712</Words>
  <Characters>11355</Characters>
  <Application>Microsoft Office Word</Application>
  <DocSecurity>0</DocSecurity>
  <Lines>388</Lines>
  <Paragraphs>196</Paragraphs>
  <ScaleCrop>false</ScaleCrop>
  <Company>Author-it Software Corporation Ltd.</Company>
  <LinksUpToDate>false</LinksUpToDate>
  <CharactersWithSpaces>12937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MEM15019B Conduct a field inspection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2012-05-27T01:48:00Z</dcterms:created>
  <dcterms:modified xsi:type="dcterms:W3CDTF">2012-05-27T01:48:00Z</dcterms:modified>
</cp:coreProperties>
</file>