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69D" w:rsidP="001C469D">
      <w:pPr>
        <w:pStyle w:val="Title"/>
      </w:pPr>
      <w:r>
        <w:fldChar w:fldCharType="begin"/>
      </w:r>
      <w:r>
        <w:instrText xml:space="preserve"> TITLE   \* MERGEFORMAT </w:instrText>
      </w:r>
      <w:r>
        <w:fldChar w:fldCharType="separate"/>
      </w:r>
      <w:r>
        <w:t>MEM15015B Examine trading practices</w:t>
      </w:r>
      <w:r>
        <w:fldChar w:fldCharType="end"/>
      </w:r>
    </w:p>
    <w:p w:rsidR="001C469D" w:rsidP="001C469D">
      <w:pPr>
        <w:pStyle w:val="Version"/>
        <w:sectPr w:rsidSect="00104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A54" w:rsidP="00104A54">
      <w:pPr>
        <w:pStyle w:val="SuperHeading"/>
      </w:pPr>
      <w:r w:rsidRPr="00104A54">
        <w:t>MEM15015B Examine trading practices</w:t>
      </w:r>
    </w:p>
    <w:p w:rsidR="00000000" w:rsidRPr="00104A54" w:rsidP="00104A54">
      <w:pPr>
        <w:pStyle w:val="Heading1"/>
      </w:pPr>
      <w:bookmarkStart w:id="1" w:name="O_272197"/>
      <w:bookmarkEnd w:id="1"/>
      <w:r w:rsidRPr="00104A54">
        <w:t>Modification History</w:t>
      </w:r>
    </w:p>
    <w:p w:rsidR="00000000" w:rsidRPr="00104A54" w:rsidP="00104A54">
      <w:pPr>
        <w:pStyle w:val="BodyText"/>
      </w:pPr>
      <w:r w:rsidRPr="00104A54">
        <w:t>Not Applicable</w:t>
      </w:r>
    </w:p>
    <w:p w:rsidR="00000000" w:rsidRPr="00104A54" w:rsidP="00104A54">
      <w:pPr>
        <w:pStyle w:val="AllowPageBreak"/>
      </w:pPr>
    </w:p>
    <w:p w:rsidR="00000000" w:rsidRPr="00104A54" w:rsidP="00104A54">
      <w:pPr>
        <w:pStyle w:val="Heading1"/>
      </w:pPr>
      <w:bookmarkStart w:id="2" w:name="O_211817"/>
      <w:bookmarkEnd w:id="2"/>
      <w:r w:rsidRPr="00104A54">
        <w:t>Unit Descriptor</w:t>
      </w:r>
    </w:p>
    <w:tbl>
      <w:tblPr>
        <w:tblW w:w="0" w:type="auto"/>
        <w:tblLayout w:type="fixed"/>
        <w:tblCellMar>
          <w:left w:w="62" w:type="dxa"/>
          <w:right w:w="62" w:type="dxa"/>
        </w:tblCellMar>
        <w:tblLook w:val="0000"/>
      </w:tblPr>
      <w:tblGrid>
        <w:gridCol w:w="2668"/>
        <w:gridCol w:w="5854"/>
      </w:tblGrid>
      <w:tr w:rsidTr="001C469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The unit covers examining trading practices relating to measurement employed by traders.</w:t>
            </w:r>
          </w:p>
        </w:tc>
      </w:tr>
    </w:tbl>
    <w:p w:rsidR="001C469D" w:rsidP="00104A54">
      <w:pPr>
        <w:pStyle w:val="BodyText"/>
      </w:pPr>
    </w:p>
    <w:p w:rsidR="001C469D" w:rsidP="00104A54">
      <w:pPr>
        <w:pStyle w:val="BodyText"/>
      </w:pPr>
    </w:p>
    <w:p w:rsidR="00000000" w:rsidRPr="00104A54" w:rsidP="00104A54">
      <w:pPr>
        <w:pStyle w:val="Heading1"/>
      </w:pPr>
      <w:bookmarkStart w:id="3" w:name="O_211821"/>
      <w:bookmarkEnd w:id="3"/>
      <w:r w:rsidRPr="00104A54">
        <w:t>Application of the Unit</w:t>
      </w:r>
    </w:p>
    <w:tbl>
      <w:tblPr>
        <w:tblW w:w="0" w:type="auto"/>
        <w:tblLayout w:type="fixed"/>
        <w:tblCellMar>
          <w:left w:w="62" w:type="dxa"/>
          <w:right w:w="62" w:type="dxa"/>
        </w:tblCellMar>
        <w:tblLook w:val="0000"/>
      </w:tblPr>
      <w:tblGrid>
        <w:gridCol w:w="2745"/>
        <w:gridCol w:w="5777"/>
      </w:tblGrid>
      <w:tr w:rsidTr="001C469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This unit is designed for those performing trade measurement inspection activities in public or private enterprises.</w:t>
            </w:r>
          </w:p>
          <w:p w:rsidR="00000000" w:rsidRPr="00104A54" w:rsidP="00104A54">
            <w:pPr>
              <w:pStyle w:val="BodyText"/>
            </w:pPr>
            <w:r w:rsidRPr="00104A54">
              <w:t>This unit applies to the examination of sales made by reference to measurement.</w:t>
            </w:r>
          </w:p>
          <w:p w:rsidR="00000000" w:rsidRPr="00104A54" w:rsidP="00104A54">
            <w:pPr>
              <w:pStyle w:val="BodyText"/>
            </w:pPr>
            <w:r w:rsidRPr="00104A54">
              <w:t>It does not</w:t>
            </w:r>
            <w:r w:rsidRPr="00104A54">
              <w:t xml:space="preserve"> apply to inspection of pre-packed articles.</w:t>
            </w:r>
          </w:p>
          <w:p w:rsidR="00000000" w:rsidRPr="00104A54" w:rsidP="00104A54">
            <w:pPr>
              <w:pStyle w:val="BodyText"/>
            </w:pPr>
            <w:r w:rsidRPr="00104A54">
              <w:t>For inspection of pre-packed articles, Unit MEM15016B (Inspect pre-packed articles) should be selected.</w:t>
            </w:r>
          </w:p>
          <w:p w:rsidR="00000000" w:rsidRPr="00104A54" w:rsidP="00104A54">
            <w:pPr>
              <w:pStyle w:val="BodyText"/>
            </w:pPr>
            <w:r w:rsidRPr="00104A54">
              <w:t>This unit has dual status and is to be regarded as both a Specialisation band A unit and Specialisation ban</w:t>
            </w:r>
            <w:r w:rsidRPr="00104A54">
              <w:t>d B unit for progression to C5 (AQF level V).</w:t>
            </w:r>
          </w:p>
          <w:p w:rsidR="00000000" w:rsidRPr="00104A54" w:rsidP="00104A54">
            <w:pPr>
              <w:pStyle w:val="BodyText"/>
            </w:pPr>
          </w:p>
          <w:p w:rsidR="00000000" w:rsidRPr="00104A54" w:rsidP="00104A54">
            <w:pPr>
              <w:pStyle w:val="BodyText"/>
            </w:pPr>
            <w:r w:rsidRPr="00104A54">
              <w:rPr>
                <w:rStyle w:val="SpecialBold"/>
              </w:rPr>
              <w:t>Band</w:t>
            </w:r>
            <w:r w:rsidRPr="00104A54">
              <w:t>:</w:t>
            </w:r>
            <w:r w:rsidRPr="00104A54">
              <w:tab/>
            </w:r>
            <w:r w:rsidRPr="00104A54">
              <w:rPr>
                <w:rStyle w:val="SpecialBold"/>
              </w:rPr>
              <w:t>A</w:t>
            </w:r>
          </w:p>
          <w:p w:rsidR="00000000" w:rsidRPr="00104A54" w:rsidP="00104A54">
            <w:pPr>
              <w:pStyle w:val="BodyText"/>
            </w:pPr>
            <w:r w:rsidRPr="00104A54">
              <w:rPr>
                <w:rStyle w:val="SpecialBold"/>
              </w:rPr>
              <w:t>Unit Weight</w:t>
            </w:r>
            <w:r w:rsidRPr="00104A54">
              <w:t>:</w:t>
            </w:r>
            <w:r w:rsidRPr="00104A54">
              <w:tab/>
            </w:r>
            <w:r w:rsidRPr="00104A54">
              <w:rPr>
                <w:rStyle w:val="SpecialBold"/>
              </w:rPr>
              <w:t>5</w:t>
            </w:r>
          </w:p>
        </w:tc>
      </w:tr>
    </w:tbl>
    <w:p w:rsidR="001C469D" w:rsidP="00104A54">
      <w:pPr>
        <w:pStyle w:val="BodyText"/>
      </w:pPr>
    </w:p>
    <w:p w:rsidR="001C469D" w:rsidP="00104A54">
      <w:pPr>
        <w:pStyle w:val="BodyText"/>
      </w:pPr>
    </w:p>
    <w:p w:rsidR="00000000" w:rsidRPr="00104A54" w:rsidP="00104A54">
      <w:pPr>
        <w:pStyle w:val="Heading1"/>
      </w:pPr>
      <w:bookmarkStart w:id="4" w:name="O_280457"/>
      <w:bookmarkEnd w:id="4"/>
      <w:r w:rsidRPr="00104A54">
        <w:t>Licensing/Regulatory Information</w:t>
      </w:r>
    </w:p>
    <w:p w:rsidR="00000000" w:rsidRPr="00104A54" w:rsidP="00104A54">
      <w:pPr>
        <w:pStyle w:val="BodyText"/>
      </w:pPr>
      <w:r w:rsidRPr="00104A54">
        <w:t>Not Applicable</w:t>
      </w:r>
    </w:p>
    <w:p w:rsidR="00000000" w:rsidRPr="00104A54" w:rsidP="00104A54">
      <w:pPr>
        <w:pStyle w:val="AllowPageBreak"/>
      </w:pPr>
    </w:p>
    <w:p w:rsidR="00000000" w:rsidRPr="00104A54" w:rsidP="00104A54">
      <w:pPr>
        <w:pStyle w:val="Heading1"/>
      </w:pPr>
      <w:bookmarkStart w:id="5" w:name="O_211819"/>
      <w:bookmarkEnd w:id="5"/>
      <w:r w:rsidRPr="00104A54">
        <w:t>Pre-Requisites</w:t>
      </w:r>
    </w:p>
    <w:tbl>
      <w:tblPr>
        <w:tblW w:w="0" w:type="auto"/>
        <w:tblLayout w:type="fixed"/>
        <w:tblCellMar>
          <w:left w:w="62" w:type="dxa"/>
          <w:right w:w="62" w:type="dxa"/>
        </w:tblCellMar>
        <w:tblLook w:val="0000"/>
      </w:tblPr>
      <w:tblGrid>
        <w:gridCol w:w="2713"/>
        <w:gridCol w:w="2195"/>
        <w:gridCol w:w="3614"/>
      </w:tblGrid>
      <w:tr w:rsidTr="001C469D">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p>
        </w:tc>
      </w:tr>
      <w:tr w:rsidTr="001C469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MEM12023A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Perform engineering measurements</w:t>
            </w:r>
          </w:p>
        </w:tc>
      </w:tr>
      <w:tr w:rsidTr="001C469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p>
        </w:tc>
      </w:tr>
    </w:tbl>
    <w:p w:rsidR="001C469D" w:rsidP="00104A54">
      <w:pPr>
        <w:pStyle w:val="BodyText"/>
      </w:pPr>
    </w:p>
    <w:p w:rsidR="001C469D" w:rsidP="00104A54">
      <w:pPr>
        <w:pStyle w:val="BodyText"/>
      </w:pPr>
    </w:p>
    <w:p w:rsidR="00000000" w:rsidRPr="00104A54" w:rsidP="00104A54">
      <w:pPr>
        <w:pStyle w:val="Heading1"/>
      </w:pPr>
      <w:bookmarkStart w:id="6" w:name="O_211818"/>
      <w:bookmarkEnd w:id="6"/>
      <w:r w:rsidRPr="00104A54">
        <w:t>Employability Skills Information</w:t>
      </w:r>
    </w:p>
    <w:tbl>
      <w:tblPr>
        <w:tblW w:w="0" w:type="auto"/>
        <w:tblLayout w:type="fixed"/>
        <w:tblCellMar>
          <w:left w:w="62" w:type="dxa"/>
          <w:right w:w="62" w:type="dxa"/>
        </w:tblCellMar>
        <w:tblLook w:val="0000"/>
      </w:tblPr>
      <w:tblGrid>
        <w:gridCol w:w="2802"/>
        <w:gridCol w:w="5720"/>
      </w:tblGrid>
      <w:tr w:rsidTr="001C46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This unit contains employability skills.</w:t>
            </w:r>
          </w:p>
        </w:tc>
      </w:tr>
    </w:tbl>
    <w:p w:rsidR="001C469D" w:rsidP="00104A54">
      <w:pPr>
        <w:pStyle w:val="BodyText"/>
      </w:pPr>
    </w:p>
    <w:p w:rsidR="001C469D" w:rsidP="00104A54">
      <w:pPr>
        <w:pStyle w:val="BodyText"/>
      </w:pPr>
    </w:p>
    <w:p w:rsidR="00000000" w:rsidRPr="00104A54" w:rsidP="00104A54">
      <w:pPr>
        <w:pStyle w:val="Heading1"/>
      </w:pPr>
      <w:bookmarkStart w:id="7" w:name="O_290243"/>
      <w:bookmarkEnd w:id="7"/>
      <w:r w:rsidRPr="00104A54">
        <w:t>Elements and Performance Criteria Pre-Content</w:t>
      </w:r>
    </w:p>
    <w:tbl>
      <w:tblPr>
        <w:tblW w:w="0" w:type="auto"/>
        <w:tblLayout w:type="fixed"/>
        <w:tblCellMar>
          <w:left w:w="62" w:type="dxa"/>
          <w:right w:w="62" w:type="dxa"/>
        </w:tblCellMar>
        <w:tblLook w:val="0000"/>
      </w:tblPr>
      <w:tblGrid>
        <w:gridCol w:w="2571"/>
        <w:gridCol w:w="5951"/>
      </w:tblGrid>
      <w:tr w:rsidTr="001C46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Performance criteria describe the performance needed to demonstrate achievement of the element. Where bold italicised text is used, further information is detailed in the required skills and knowledge section and the range statement. Assessment of performa</w:t>
            </w:r>
            <w:r w:rsidRPr="00104A54">
              <w:t>nce is to be consistent with the evidence guide.</w:t>
            </w:r>
          </w:p>
        </w:tc>
      </w:tr>
    </w:tbl>
    <w:p w:rsidR="00000000" w:rsidRPr="00104A54" w:rsidP="00104A54">
      <w:pPr>
        <w:pStyle w:val="BodyText"/>
      </w:pPr>
    </w:p>
    <w:p w:rsidR="00000000" w:rsidRPr="00104A54" w:rsidP="00104A54">
      <w:pPr>
        <w:pStyle w:val="AllowPageBreak"/>
      </w:pPr>
    </w:p>
    <w:p w:rsidR="00000000" w:rsidRPr="00104A54" w:rsidP="00104A54">
      <w:pPr>
        <w:pStyle w:val="Heading1"/>
      </w:pPr>
      <w:bookmarkStart w:id="8" w:name="O_236910"/>
      <w:bookmarkEnd w:id="8"/>
      <w:r w:rsidRPr="00104A54">
        <w:t>Elements and Performance Criteria</w:t>
      </w:r>
    </w:p>
    <w:tbl>
      <w:tblPr>
        <w:tblW w:w="0" w:type="auto"/>
        <w:tblLayout w:type="fixed"/>
        <w:tblCellMar>
          <w:left w:w="62" w:type="dxa"/>
          <w:right w:w="62" w:type="dxa"/>
        </w:tblCellMar>
        <w:tblLook w:val="0000"/>
      </w:tblPr>
      <w:tblGrid>
        <w:gridCol w:w="2571"/>
        <w:gridCol w:w="5951"/>
      </w:tblGrid>
      <w:tr w:rsidTr="001C469D">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PERFORMANCE CRITERIA</w:t>
            </w:r>
          </w:p>
        </w:tc>
      </w:tr>
      <w:tr w:rsidTr="001C46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List"/>
              <w:rPr>
                <w:lang w:val="en-NZ"/>
              </w:rPr>
            </w:pPr>
            <w:r w:rsidRPr="00104A54">
              <w:t>1.</w:t>
            </w:r>
            <w:r w:rsidRPr="00104A54">
              <w:tab/>
              <w:t>Explain the requirements of trade measurement legislation relating to trading practices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List2"/>
            </w:pPr>
            <w:r w:rsidRPr="00104A54">
              <w:t>1.1.</w:t>
            </w:r>
            <w:r w:rsidRPr="00104A54">
              <w:tab/>
              <w:t>Legislation requirements tha</w:t>
            </w:r>
            <w:r w:rsidRPr="00104A54">
              <w:t>t apply to trading practices are explained.</w:t>
            </w:r>
          </w:p>
          <w:p w:rsidR="00000000" w:rsidP="00104A54">
            <w:pPr>
              <w:pStyle w:val="List2"/>
              <w:rPr>
                <w:lang w:val="en-NZ"/>
              </w:rPr>
            </w:pPr>
            <w:r w:rsidRPr="00104A54">
              <w:t>1.2.</w:t>
            </w:r>
            <w:r w:rsidRPr="00104A54">
              <w:tab/>
              <w:t>Policy guidelines that apply to trading practices are explained.</w:t>
            </w:r>
          </w:p>
        </w:tc>
      </w:tr>
      <w:tr w:rsidTr="001C46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List"/>
              <w:rPr>
                <w:lang w:val="en-NZ"/>
              </w:rPr>
            </w:pPr>
            <w:r w:rsidRPr="00104A54">
              <w:t>2.</w:t>
            </w:r>
            <w:r w:rsidRPr="00104A54">
              <w:tab/>
              <w:t>Inspect trading practices for compliance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List2"/>
            </w:pPr>
            <w:r w:rsidRPr="00104A54">
              <w:t>2.1.</w:t>
            </w:r>
            <w:r w:rsidRPr="00104A54">
              <w:tab/>
            </w:r>
            <w:r w:rsidRPr="00104A54">
              <w:t>Trading practice methods employed on premises are examined for compliance with legislative requirements.</w:t>
            </w:r>
          </w:p>
          <w:p w:rsidR="00000000" w:rsidRPr="00104A54" w:rsidP="00104A54">
            <w:pPr>
              <w:pStyle w:val="List2"/>
            </w:pPr>
            <w:r w:rsidRPr="00104A54">
              <w:t>2.2.</w:t>
            </w:r>
            <w:r w:rsidRPr="00104A54">
              <w:tab/>
              <w:t>Incidents of non-compliance in a range of trading environments are identified and, where appropriate, activities are undertaken to prove the breac</w:t>
            </w:r>
            <w:r w:rsidRPr="00104A54">
              <w:t>h of legislation.</w:t>
            </w:r>
          </w:p>
          <w:p w:rsidR="00000000" w:rsidP="00104A54">
            <w:pPr>
              <w:pStyle w:val="List2"/>
              <w:rPr>
                <w:lang w:val="en-NZ"/>
              </w:rPr>
            </w:pPr>
            <w:r w:rsidRPr="00104A54">
              <w:t>2.3.</w:t>
            </w:r>
            <w:r w:rsidRPr="00104A54">
              <w:tab/>
              <w:t>Results of inspection are documented.</w:t>
            </w:r>
          </w:p>
        </w:tc>
      </w:tr>
      <w:tr w:rsidTr="001C46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List"/>
              <w:rPr>
                <w:lang w:val="en-NZ"/>
              </w:rPr>
            </w:pPr>
            <w:r w:rsidRPr="00104A54">
              <w:t>3.</w:t>
            </w:r>
            <w:r w:rsidRPr="00104A54">
              <w:tab/>
              <w:t>Finalise inspection and identify appropriate action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List2"/>
            </w:pPr>
            <w:r w:rsidRPr="00104A54">
              <w:t>3.1.</w:t>
            </w:r>
            <w:r w:rsidRPr="00104A54">
              <w:tab/>
              <w:t>Trading practice information relevant to the inspection is communicated to the trader.</w:t>
            </w:r>
          </w:p>
          <w:p w:rsidR="00000000" w:rsidRPr="00104A54" w:rsidP="00104A54">
            <w:pPr>
              <w:pStyle w:val="List2"/>
            </w:pPr>
            <w:r w:rsidRPr="00104A54">
              <w:t>3.2.</w:t>
            </w:r>
            <w:r w:rsidRPr="00104A54">
              <w:tab/>
              <w:t>Appropriate actions to encourage complianc</w:t>
            </w:r>
            <w:r w:rsidRPr="00104A54">
              <w:t>e are determined and identified.</w:t>
            </w:r>
          </w:p>
          <w:p w:rsidR="00000000" w:rsidRPr="00104A54" w:rsidP="00104A54">
            <w:pPr>
              <w:pStyle w:val="List2"/>
            </w:pPr>
            <w:r w:rsidRPr="00104A54">
              <w:t>3.3.</w:t>
            </w:r>
            <w:r w:rsidRPr="00104A54">
              <w:tab/>
              <w:t>Inspection documentation is completed in accordance with organisational procedures.</w:t>
            </w:r>
          </w:p>
        </w:tc>
      </w:tr>
    </w:tbl>
    <w:p w:rsidR="001C469D" w:rsidP="00104A54">
      <w:pPr>
        <w:pStyle w:val="BodyText"/>
      </w:pPr>
    </w:p>
    <w:p w:rsidR="001C469D" w:rsidP="00104A54">
      <w:pPr>
        <w:pStyle w:val="BodyText"/>
      </w:pPr>
    </w:p>
    <w:p w:rsidR="00000000" w:rsidRPr="00104A54" w:rsidP="00104A54">
      <w:pPr>
        <w:pStyle w:val="Heading1"/>
      </w:pPr>
      <w:bookmarkStart w:id="9" w:name="O_260860"/>
      <w:bookmarkEnd w:id="9"/>
      <w:r w:rsidRPr="00104A54">
        <w:t>Required Skills and Knowledge</w:t>
      </w:r>
    </w:p>
    <w:tbl>
      <w:tblPr>
        <w:tblW w:w="0" w:type="auto"/>
        <w:tblLayout w:type="fixed"/>
        <w:tblCellMar>
          <w:left w:w="62" w:type="dxa"/>
          <w:right w:w="62" w:type="dxa"/>
        </w:tblCellMar>
        <w:tblLook w:val="0000"/>
      </w:tblPr>
      <w:tblGrid>
        <w:gridCol w:w="8522"/>
      </w:tblGrid>
      <w:tr w:rsidTr="001C46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REQUIRED SKILLS AND KNOWLEDGE</w:t>
            </w:r>
          </w:p>
        </w:tc>
      </w:tr>
      <w:tr w:rsidTr="001C46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This section describes the skills and knowledge required for this unit.</w:t>
            </w:r>
          </w:p>
        </w:tc>
      </w:tr>
      <w:tr w:rsidTr="001C4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Required skills</w:t>
            </w:r>
          </w:p>
        </w:tc>
      </w:tr>
      <w:tr w:rsidTr="001C4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Look for evidence that confirms skills in:</w:t>
            </w:r>
          </w:p>
          <w:p w:rsidR="00000000" w:rsidRPr="00104A54" w:rsidP="00104A54">
            <w:pPr>
              <w:pStyle w:val="ListBullet"/>
            </w:pPr>
            <w:r w:rsidRPr="00104A54">
              <w:t>applying relevant organisational policy and procedures in regard to trading practices</w:t>
            </w:r>
          </w:p>
          <w:p w:rsidR="00000000" w:rsidRPr="00104A54" w:rsidP="00104A54">
            <w:pPr>
              <w:pStyle w:val="ListBullet"/>
            </w:pPr>
            <w:r w:rsidRPr="00104A54">
              <w:t>examining methods utilised for advertising and the sale of goods employed on the premises for compliance with legislative requirements</w:t>
            </w:r>
          </w:p>
          <w:p w:rsidR="00000000" w:rsidRPr="00104A54" w:rsidP="00104A54">
            <w:pPr>
              <w:pStyle w:val="ListBullet"/>
            </w:pPr>
            <w:r w:rsidRPr="00104A54">
              <w:t>examining the manner in which a measuring instrument is used on the premises</w:t>
            </w:r>
          </w:p>
          <w:p w:rsidR="00000000" w:rsidRPr="00104A54" w:rsidP="00104A54">
            <w:pPr>
              <w:pStyle w:val="ListBullet"/>
            </w:pPr>
            <w:r w:rsidRPr="00104A54">
              <w:t>identifying incidents of non-compliance in a</w:t>
            </w:r>
            <w:r w:rsidRPr="00104A54">
              <w:t xml:space="preserve"> range of trading environments</w:t>
            </w:r>
          </w:p>
          <w:p w:rsidR="00000000" w:rsidRPr="00104A54" w:rsidP="00104A54">
            <w:pPr>
              <w:pStyle w:val="ListBullet"/>
            </w:pPr>
            <w:r w:rsidRPr="00104A54">
              <w:t>determining action to be undertaken based on the organisation's enforcement policy</w:t>
            </w:r>
          </w:p>
          <w:p w:rsidR="00000000" w:rsidRPr="00104A54" w:rsidP="00104A54">
            <w:pPr>
              <w:pStyle w:val="ListBullet"/>
            </w:pPr>
            <w:r w:rsidRPr="00104A54">
              <w:t>gathering sufficient and relevant evidence to prove a breach</w:t>
            </w:r>
          </w:p>
          <w:p w:rsidR="00000000" w:rsidRPr="00104A54" w:rsidP="00104A54">
            <w:pPr>
              <w:pStyle w:val="ListBullet"/>
            </w:pPr>
            <w:r w:rsidRPr="00104A54">
              <w:t>accurately recording information</w:t>
            </w:r>
          </w:p>
          <w:p w:rsidR="00000000" w:rsidRPr="00104A54" w:rsidP="00104A54">
            <w:pPr>
              <w:pStyle w:val="ListBullet"/>
            </w:pPr>
            <w:r w:rsidRPr="00104A54">
              <w:t>advising on appropriate trading practices to assist compliance</w:t>
            </w:r>
          </w:p>
          <w:p w:rsidR="00000000" w:rsidRPr="00104A54" w:rsidP="00104A54">
            <w:pPr>
              <w:pStyle w:val="ListBullet"/>
            </w:pPr>
            <w:r w:rsidRPr="00104A54">
              <w:t>undertaking observation and surveillance in relation to trading practices</w:t>
            </w:r>
          </w:p>
          <w:p w:rsidR="00000000" w:rsidRPr="00104A54" w:rsidP="00104A54">
            <w:pPr>
              <w:pStyle w:val="ListBullet"/>
            </w:pPr>
            <w:r w:rsidRPr="00104A54">
              <w:t>explaining legislative requirements and obligations</w:t>
            </w:r>
          </w:p>
          <w:p w:rsidR="00000000" w:rsidRPr="00104A54" w:rsidP="00104A54">
            <w:pPr>
              <w:pStyle w:val="ListBullet"/>
            </w:pPr>
            <w:r w:rsidRPr="00104A54">
              <w:t>completing notices accurately in accordance with organisational gui</w:t>
            </w:r>
            <w:r w:rsidRPr="00104A54">
              <w:t>delines</w:t>
            </w:r>
          </w:p>
          <w:p w:rsidR="00000000" w:rsidRPr="00104A54" w:rsidP="00104A54">
            <w:pPr>
              <w:pStyle w:val="ListBullet"/>
            </w:pPr>
            <w:r w:rsidRPr="00104A54">
              <w:t>planning follow-up activities as required</w:t>
            </w:r>
          </w:p>
          <w:p w:rsidR="00000000" w:rsidRPr="00104A54" w:rsidP="00104A54">
            <w:pPr>
              <w:pStyle w:val="ListBullet"/>
            </w:pPr>
            <w:r w:rsidRPr="00104A54">
              <w:t>accurately recording results of the inspection and recommendations in the organisation's information files</w:t>
            </w:r>
          </w:p>
          <w:p w:rsidR="00000000" w:rsidP="00104A54">
            <w:pPr>
              <w:pStyle w:val="ListBullet"/>
              <w:rPr>
                <w:lang w:val="en-NZ"/>
              </w:rPr>
            </w:pPr>
            <w:r w:rsidRPr="00104A54">
              <w:t>completing breach reports in accordance with organisational guidelines</w:t>
            </w:r>
          </w:p>
        </w:tc>
      </w:tr>
      <w:tr w:rsidTr="001C4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Required knowledge</w:t>
            </w:r>
          </w:p>
        </w:tc>
      </w:tr>
      <w:tr w:rsidTr="001C4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Look fo</w:t>
            </w:r>
            <w:r w:rsidRPr="00104A54">
              <w:t>r evidence that confirms knowledge of:</w:t>
            </w:r>
          </w:p>
          <w:p w:rsidR="00000000" w:rsidRPr="00104A54" w:rsidP="00104A54">
            <w:pPr>
              <w:pStyle w:val="ListBullet"/>
            </w:pPr>
            <w:r w:rsidRPr="00104A54">
              <w:t>definition of the term 'trading practices'</w:t>
            </w:r>
          </w:p>
          <w:p w:rsidR="00000000" w:rsidRPr="00104A54" w:rsidP="00104A54">
            <w:pPr>
              <w:pStyle w:val="ListBullet"/>
            </w:pPr>
            <w:r w:rsidRPr="00104A54">
              <w:t>relevant policy and procedures across a range of trading environments</w:t>
            </w:r>
          </w:p>
          <w:p w:rsidR="00000000" w:rsidRPr="00104A54" w:rsidP="00104A54">
            <w:pPr>
              <w:pStyle w:val="ListBullet"/>
            </w:pPr>
            <w:r w:rsidRPr="00104A54">
              <w:t>legislation relating to trading practices</w:t>
            </w:r>
          </w:p>
          <w:p w:rsidR="00000000" w:rsidRPr="00104A54" w:rsidP="00104A54">
            <w:pPr>
              <w:pStyle w:val="ListBullet"/>
            </w:pPr>
            <w:r w:rsidRPr="00104A54">
              <w:t>the range of trading environments</w:t>
            </w:r>
          </w:p>
          <w:p w:rsidR="00000000" w:rsidRPr="00104A54" w:rsidP="00104A54">
            <w:pPr>
              <w:pStyle w:val="ListBullet"/>
            </w:pPr>
            <w:r w:rsidRPr="00104A54">
              <w:t>trading practices relevant to a range of business types</w:t>
            </w:r>
          </w:p>
          <w:p w:rsidR="00000000" w:rsidRPr="00104A54" w:rsidP="00104A54">
            <w:pPr>
              <w:pStyle w:val="ListBullet"/>
            </w:pPr>
            <w:r w:rsidRPr="00104A54">
              <w:t>processes for evidence collection and evidence handling</w:t>
            </w:r>
          </w:p>
          <w:p w:rsidR="00000000" w:rsidRPr="00104A54" w:rsidP="00104A54">
            <w:pPr>
              <w:pStyle w:val="ListBullet"/>
            </w:pPr>
            <w:r w:rsidRPr="00104A54">
              <w:t>specific reporting procedures</w:t>
            </w:r>
          </w:p>
          <w:p w:rsidR="00000000" w:rsidRPr="00104A54" w:rsidP="00104A54">
            <w:pPr>
              <w:pStyle w:val="ListBullet"/>
            </w:pPr>
            <w:r w:rsidRPr="00104A54">
              <w:t>techniques to liaise with traders</w:t>
            </w:r>
          </w:p>
          <w:p w:rsidR="00000000" w:rsidRPr="00104A54" w:rsidP="00104A54">
            <w:pPr>
              <w:pStyle w:val="ListBullet"/>
            </w:pPr>
            <w:r w:rsidRPr="00104A54">
              <w:t>legislative requirements and obligations for the issuing of notices</w:t>
            </w:r>
          </w:p>
          <w:p w:rsidR="00000000" w:rsidRPr="00104A54" w:rsidP="00104A54">
            <w:pPr>
              <w:pStyle w:val="ListBullet"/>
            </w:pPr>
            <w:r w:rsidRPr="00104A54">
              <w:t>organisation</w:t>
            </w:r>
            <w:r w:rsidRPr="00104A54">
              <w:t>'s policy guidelines for return visits</w:t>
            </w:r>
          </w:p>
          <w:p w:rsidR="00000000" w:rsidRPr="00104A54" w:rsidP="00104A54">
            <w:pPr>
              <w:pStyle w:val="ListBullet"/>
            </w:pPr>
            <w:r w:rsidRPr="00104A54">
              <w:t>specific reporting procedures</w:t>
            </w:r>
          </w:p>
          <w:p w:rsidR="00000000" w:rsidRPr="00104A54" w:rsidP="00104A54">
            <w:pPr>
              <w:pStyle w:val="ListBullet"/>
            </w:pPr>
            <w:r w:rsidRPr="00104A54">
              <w:t>types of evidence</w:t>
            </w:r>
          </w:p>
        </w:tc>
      </w:tr>
    </w:tbl>
    <w:p w:rsidR="001C469D" w:rsidP="00104A54">
      <w:pPr>
        <w:pStyle w:val="BodyText"/>
      </w:pPr>
    </w:p>
    <w:p w:rsidR="001C469D" w:rsidP="00104A54">
      <w:pPr>
        <w:pStyle w:val="BodyText"/>
      </w:pPr>
    </w:p>
    <w:p w:rsidR="00000000" w:rsidRPr="00104A54" w:rsidP="00104A54">
      <w:pPr>
        <w:pStyle w:val="AllowPageBreak"/>
      </w:pPr>
    </w:p>
    <w:p w:rsidR="00000000" w:rsidRPr="00104A54" w:rsidP="00104A54">
      <w:pPr>
        <w:pStyle w:val="Heading1"/>
      </w:pPr>
      <w:bookmarkStart w:id="10" w:name="O_244894"/>
      <w:bookmarkEnd w:id="10"/>
      <w:r w:rsidRPr="00104A54">
        <w:t>Evidence Guide</w:t>
      </w:r>
    </w:p>
    <w:tbl>
      <w:tblPr>
        <w:tblW w:w="9570" w:type="dxa"/>
        <w:tblLayout w:type="fixed"/>
        <w:tblCellMar>
          <w:left w:w="62" w:type="dxa"/>
          <w:right w:w="62" w:type="dxa"/>
        </w:tblCellMar>
        <w:tblLook w:val="0000"/>
      </w:tblPr>
      <w:tblGrid>
        <w:gridCol w:w="3908"/>
        <w:gridCol w:w="5662"/>
      </w:tblGrid>
      <w:tr w:rsidTr="001C46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EVIDENCE GUIDE</w:t>
            </w:r>
          </w:p>
        </w:tc>
      </w:tr>
      <w:tr w:rsidTr="001C46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The evidence guide provides advice on assessment and must be read in conjunction with the performance criteria, required skills and knowledge, range statement and the Assessment Guidelines for the Training Package.</w:t>
            </w:r>
          </w:p>
        </w:tc>
      </w:tr>
      <w:tr w:rsidTr="001C4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A person who demonstrates competency in this unit must be able to examine trading practices involving measurement employed by traders. Competency in this unit cannot be claimed until all prerequisites have been satisfied.</w:t>
            </w:r>
          </w:p>
        </w:tc>
      </w:tr>
      <w:tr w:rsidTr="001C4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Critical aspects for assessment a</w:t>
            </w:r>
            <w:r w:rsidRPr="00104A54">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Assessors must be satisfied that the candidate can competently and consistently perform all elements of the unit as specified by the criteria, including required knowledge, and be capable of apply</w:t>
            </w:r>
            <w:r w:rsidRPr="00104A54">
              <w:t>ing the competency in new and different situations and contexts.</w:t>
            </w:r>
          </w:p>
        </w:tc>
      </w:tr>
      <w:tr w:rsidTr="001C4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This unit may be assessed on the job, off the job or a combination of both on and off the job. Where assessment occurs off the job, that is t</w:t>
            </w:r>
            <w:r w:rsidRPr="00104A54">
              <w:t>he candidate is not in productive work, then an appropriate simulation must be used where the range of conditions reflects realistic workplace situations. The competencies covered by this unit would be demonstrated by an individual working alone or as part</w:t>
            </w:r>
            <w:r w:rsidRPr="00104A54">
              <w:t xml:space="preserve"> of a team. The assessment environment should not disadvantage the candidate. </w:t>
            </w:r>
          </w:p>
          <w:p w:rsidR="00000000" w:rsidP="00104A54">
            <w:pPr>
              <w:pStyle w:val="BodyText"/>
              <w:rPr>
                <w:lang w:val="en-NZ"/>
              </w:rPr>
            </w:pPr>
            <w:r w:rsidRPr="00104A54">
              <w:t>This unit could be assessed in conjunction with any other units addressing the safety, quality, communication, materials handling, recording and reporting associated with examin</w:t>
            </w:r>
            <w:r w:rsidRPr="00104A54">
              <w:t>ing trading practices employed by traders, or other units requiring the exercise of the skills and knowledge covered by this unit.</w:t>
            </w:r>
          </w:p>
        </w:tc>
      </w:tr>
      <w:tr w:rsidTr="001C4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 xml:space="preserve">Assessors should gather a range of evidence that is valid, sufficient, current and authentic. Evidence </w:t>
            </w:r>
            <w:r w:rsidRPr="00104A54">
              <w:t>can be gathered through a variety of ways including direct observation, supervisor's reports, project work, samples and questioning. Questioning techniques should not require language, literacy and numeracy skills beyond those required in this unit of comp</w:t>
            </w:r>
            <w:r w:rsidRPr="00104A54">
              <w:t>etency. The candidate must have access to all tools, equipment, materials and documentation required. The candidate must be permitted to refer to any relevant workplace procedures, product and manufacturing specifications, codes, standards, manuals and ref</w:t>
            </w:r>
            <w:r w:rsidRPr="00104A54">
              <w:t>erence materials.</w:t>
            </w:r>
          </w:p>
        </w:tc>
      </w:tr>
      <w:tr w:rsidTr="001C4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p>
        </w:tc>
      </w:tr>
    </w:tbl>
    <w:p w:rsidR="001C469D" w:rsidP="00104A54">
      <w:pPr>
        <w:pStyle w:val="BodyText"/>
      </w:pPr>
    </w:p>
    <w:p w:rsidR="001C469D" w:rsidP="00104A54">
      <w:pPr>
        <w:pStyle w:val="BodyText"/>
      </w:pPr>
    </w:p>
    <w:p w:rsidR="00000000" w:rsidRPr="00104A54" w:rsidP="00104A54">
      <w:pPr>
        <w:pStyle w:val="Heading1"/>
      </w:pPr>
      <w:bookmarkStart w:id="11" w:name="O_252877"/>
      <w:bookmarkEnd w:id="11"/>
      <w:r w:rsidRPr="00104A54">
        <w:t>Range Statement</w:t>
      </w:r>
    </w:p>
    <w:tbl>
      <w:tblPr>
        <w:tblW w:w="0" w:type="auto"/>
        <w:tblLayout w:type="fixed"/>
        <w:tblCellMar>
          <w:left w:w="62" w:type="dxa"/>
          <w:right w:w="62" w:type="dxa"/>
        </w:tblCellMar>
        <w:tblLook w:val="0000"/>
      </w:tblPr>
      <w:tblGrid>
        <w:gridCol w:w="3455"/>
        <w:gridCol w:w="5067"/>
      </w:tblGrid>
      <w:tr w:rsidTr="001C46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RANGE STATEMENT</w:t>
            </w:r>
          </w:p>
        </w:tc>
      </w:tr>
      <w:tr w:rsidTr="001C46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 xml:space="preserve">The range statement relates to the unit of competency as a whole. It allows for different work environments and situations that may affect </w:t>
            </w:r>
            <w:r w:rsidRPr="00104A54">
              <w:t>performance. Bold italicised wording, if used in the performance criteria, is detailed below. Essential operating conditions that may be present with training and assessment (depending on the work situation, needs of the candidate, accessibility of the ite</w:t>
            </w:r>
            <w:r w:rsidRPr="00104A54">
              <w:t>m, and local industry and regional contexts) may also be included.</w:t>
            </w:r>
          </w:p>
        </w:tc>
      </w:tr>
      <w:tr w:rsidTr="001C469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Legislation requirements and policy guidelines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Enabling legislation, organisational procedures and policies - workplace, health and safety, enforcement policies</w:t>
            </w:r>
          </w:p>
        </w:tc>
      </w:tr>
      <w:tr w:rsidTr="001C469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Trading practices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Methods of sale of goods, advertising, use of measuring instrument, position of measuring instruments, misrepresentations, environmental factors, suitability of instrument, over-pricing, incorrect measurement</w:t>
            </w:r>
          </w:p>
        </w:tc>
      </w:tr>
      <w:tr w:rsidTr="001C469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Premises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Supermarkets, fruit and vegetables re</w:t>
            </w:r>
            <w:r w:rsidRPr="00104A54">
              <w:t>tailers, packing house, meat, seafood and smallgoods, bakery, etc.</w:t>
            </w:r>
          </w:p>
        </w:tc>
      </w:tr>
      <w:tr w:rsidTr="001C469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Examination for compliance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Observation, trial purchase, questioning, reviewing records</w:t>
            </w:r>
          </w:p>
        </w:tc>
      </w:tr>
      <w:tr w:rsidTr="001C469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Activities used to prove a breach of legislation</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t>Trial purchases, observation/surveillance, photographs, seizure of documentations, articles, measuring instruments, testing the measuring instruments</w:t>
            </w:r>
          </w:p>
        </w:tc>
      </w:tr>
      <w:tr w:rsidTr="001C469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Appropriate actions to encourage compliance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Warning letter, non-compliance notice, infringement notice, p</w:t>
            </w:r>
            <w:r w:rsidRPr="00104A54">
              <w:t>rosecution</w:t>
            </w:r>
          </w:p>
        </w:tc>
      </w:tr>
    </w:tbl>
    <w:p w:rsidR="001C469D" w:rsidP="00104A54">
      <w:pPr>
        <w:pStyle w:val="BodyText"/>
      </w:pPr>
    </w:p>
    <w:p w:rsidR="001C469D" w:rsidP="00104A54">
      <w:pPr>
        <w:pStyle w:val="BodyText"/>
      </w:pPr>
    </w:p>
    <w:p w:rsidR="00000000" w:rsidRPr="00104A54" w:rsidP="00104A54">
      <w:pPr>
        <w:pStyle w:val="Heading1"/>
      </w:pPr>
      <w:bookmarkStart w:id="12" w:name="O_211823"/>
      <w:bookmarkEnd w:id="12"/>
      <w:r w:rsidRPr="00104A54">
        <w:t>Unit Sector(s)</w:t>
      </w:r>
    </w:p>
    <w:tbl>
      <w:tblPr>
        <w:tblW w:w="0" w:type="auto"/>
        <w:tblLayout w:type="fixed"/>
        <w:tblCellMar>
          <w:left w:w="62" w:type="dxa"/>
          <w:right w:w="62" w:type="dxa"/>
        </w:tblCellMar>
        <w:tblLook w:val="0000"/>
      </w:tblPr>
      <w:tblGrid>
        <w:gridCol w:w="2654"/>
        <w:gridCol w:w="5868"/>
      </w:tblGrid>
      <w:tr w:rsidTr="001C46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p>
        </w:tc>
      </w:tr>
    </w:tbl>
    <w:p w:rsidR="001C469D" w:rsidP="00104A54">
      <w:pPr>
        <w:pStyle w:val="BodyText"/>
      </w:pPr>
    </w:p>
    <w:p w:rsidR="001C469D" w:rsidP="00104A54">
      <w:pPr>
        <w:pStyle w:val="BodyText"/>
      </w:pPr>
    </w:p>
    <w:p w:rsidR="00000000" w:rsidRPr="00104A54" w:rsidP="00104A54">
      <w:pPr>
        <w:pStyle w:val="Heading1"/>
      </w:pPr>
      <w:bookmarkStart w:id="13" w:name="O_211820"/>
      <w:bookmarkEnd w:id="13"/>
      <w:r w:rsidRPr="00104A54">
        <w:t>Co-requisite units</w:t>
      </w:r>
    </w:p>
    <w:tbl>
      <w:tblPr>
        <w:tblW w:w="0" w:type="auto"/>
        <w:tblLayout w:type="fixed"/>
        <w:tblCellMar>
          <w:left w:w="62" w:type="dxa"/>
          <w:right w:w="62" w:type="dxa"/>
        </w:tblCellMar>
        <w:tblLook w:val="0000"/>
      </w:tblPr>
      <w:tblGrid>
        <w:gridCol w:w="2641"/>
        <w:gridCol w:w="1322"/>
        <w:gridCol w:w="4559"/>
      </w:tblGrid>
      <w:tr w:rsidTr="001C46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p>
        </w:tc>
      </w:tr>
      <w:tr w:rsidTr="001C46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p>
        </w:tc>
      </w:tr>
      <w:tr w:rsidTr="001C46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p>
        </w:tc>
      </w:tr>
    </w:tbl>
    <w:p w:rsidR="001C469D" w:rsidP="00104A54">
      <w:pPr>
        <w:pStyle w:val="BodyText"/>
      </w:pPr>
    </w:p>
    <w:p w:rsidR="001C469D" w:rsidP="00104A54">
      <w:pPr>
        <w:pStyle w:val="BodyText"/>
      </w:pPr>
    </w:p>
    <w:p w:rsidR="00000000" w:rsidRPr="00104A54" w:rsidP="00104A54">
      <w:pPr>
        <w:pStyle w:val="Heading1"/>
      </w:pPr>
      <w:bookmarkStart w:id="14" w:name="O_211822"/>
      <w:bookmarkEnd w:id="14"/>
      <w:r w:rsidRPr="00104A54">
        <w:t>Competency field</w:t>
      </w:r>
    </w:p>
    <w:tbl>
      <w:tblPr>
        <w:tblW w:w="0" w:type="auto"/>
        <w:tblLayout w:type="fixed"/>
        <w:tblCellMar>
          <w:left w:w="62" w:type="dxa"/>
          <w:right w:w="62" w:type="dxa"/>
        </w:tblCellMar>
        <w:tblLook w:val="0000"/>
      </w:tblPr>
      <w:tblGrid>
        <w:gridCol w:w="2778"/>
        <w:gridCol w:w="5744"/>
      </w:tblGrid>
      <w:tr w:rsidTr="001C469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A54">
            <w:pPr>
              <w:pStyle w:val="BodyText"/>
              <w:rPr>
                <w:lang w:val="en-NZ"/>
              </w:rPr>
            </w:pPr>
            <w:r w:rsidRPr="00104A5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A54" w:rsidP="00104A54">
            <w:pPr>
              <w:pStyle w:val="BodyText"/>
            </w:pPr>
            <w:r w:rsidRPr="00104A54">
              <w:t>Quality</w:t>
            </w:r>
          </w:p>
        </w:tc>
      </w:tr>
    </w:tbl>
    <w:p w:rsidR="001C469D" w:rsidP="00104A54">
      <w:pPr>
        <w:pStyle w:val="BodyText"/>
      </w:pPr>
    </w:p>
    <w:p w:rsidR="001C469D" w:rsidP="00104A54">
      <w:pPr>
        <w:pStyle w:val="BodyText"/>
      </w:pPr>
    </w:p>
    <w:p w:rsidR="00000000" w:rsidRPr="00104A54" w:rsidP="00104A54"/>
    <w:sectPr w:rsidSect="00104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69D" w:rsidP="001C4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9D" w:rsidP="00104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469D" w:rsidP="00104A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469D" w:rsidP="00104A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69D" w:rsidP="001C469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9D" w:rsidP="00104A54">
    <w:pPr>
      <w:pStyle w:val="Header"/>
      <w:framePr w:wrap="around"/>
    </w:pPr>
    <w:r>
      <w:fldChar w:fldCharType="begin"/>
    </w:r>
    <w:r>
      <w:instrText xml:space="preserve"> TITLE   \* MERGEFORMAT </w:instrText>
    </w:r>
    <w:r>
      <w:fldChar w:fldCharType="separate"/>
    </w:r>
    <w:r>
      <w:t>MEM15015B Examine trading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469D" w:rsidP="00104A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F6B3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581B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A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A54"/>
    <w:pPr>
      <w:spacing w:before="360" w:after="60"/>
      <w:outlineLvl w:val="0"/>
    </w:pPr>
    <w:rPr>
      <w:sz w:val="32"/>
    </w:rPr>
  </w:style>
  <w:style w:type="paragraph" w:styleId="Heading2">
    <w:name w:val="heading 2"/>
    <w:basedOn w:val="HeadingBase"/>
    <w:next w:val="BodyText"/>
    <w:link w:val="Heading2Char"/>
    <w:qFormat/>
    <w:rsid w:val="00104A54"/>
    <w:pPr>
      <w:keepLines/>
      <w:spacing w:before="240" w:after="120"/>
      <w:outlineLvl w:val="1"/>
    </w:pPr>
    <w:rPr>
      <w:sz w:val="28"/>
      <w:szCs w:val="40"/>
    </w:rPr>
  </w:style>
  <w:style w:type="paragraph" w:styleId="Heading3">
    <w:name w:val="heading 3"/>
    <w:basedOn w:val="HeadingBase"/>
    <w:next w:val="BodyText"/>
    <w:link w:val="Heading3Char"/>
    <w:qFormat/>
    <w:rsid w:val="00104A54"/>
    <w:pPr>
      <w:spacing w:before="180" w:after="120"/>
      <w:outlineLvl w:val="2"/>
    </w:pPr>
    <w:rPr>
      <w:spacing w:val="-10"/>
      <w:kern w:val="32"/>
    </w:rPr>
  </w:style>
  <w:style w:type="paragraph" w:styleId="Heading4">
    <w:name w:val="heading 4"/>
    <w:basedOn w:val="HeadingBase"/>
    <w:next w:val="BodyText"/>
    <w:link w:val="Heading4Char"/>
    <w:qFormat/>
    <w:rsid w:val="00104A54"/>
    <w:pPr>
      <w:spacing w:before="160" w:after="120"/>
      <w:outlineLvl w:val="3"/>
    </w:pPr>
    <w:rPr>
      <w:sz w:val="22"/>
    </w:rPr>
  </w:style>
  <w:style w:type="paragraph" w:styleId="Heading5">
    <w:name w:val="heading 5"/>
    <w:basedOn w:val="HeadingBase"/>
    <w:next w:val="Normal"/>
    <w:link w:val="Heading5Char"/>
    <w:qFormat/>
    <w:rsid w:val="00104A54"/>
    <w:pPr>
      <w:spacing w:before="80"/>
      <w:outlineLvl w:val="4"/>
    </w:pPr>
    <w:rPr>
      <w:color w:val="918585"/>
      <w:sz w:val="20"/>
    </w:rPr>
  </w:style>
  <w:style w:type="paragraph" w:styleId="Heading6">
    <w:name w:val="heading 6"/>
    <w:basedOn w:val="HeadingBase"/>
    <w:next w:val="Normal"/>
    <w:link w:val="Heading6Char"/>
    <w:qFormat/>
    <w:rsid w:val="00104A54"/>
    <w:pPr>
      <w:spacing w:before="60"/>
      <w:outlineLvl w:val="5"/>
    </w:pPr>
    <w:rPr>
      <w:color w:val="918585"/>
      <w:sz w:val="20"/>
    </w:rPr>
  </w:style>
  <w:style w:type="paragraph" w:styleId="Heading7">
    <w:name w:val="heading 7"/>
    <w:basedOn w:val="Normal"/>
    <w:next w:val="Normal"/>
    <w:link w:val="Heading7Char"/>
    <w:qFormat/>
    <w:rsid w:val="00104A54"/>
    <w:pPr>
      <w:ind w:left="720"/>
      <w:outlineLvl w:val="6"/>
    </w:pPr>
    <w:rPr>
      <w:i/>
    </w:rPr>
  </w:style>
  <w:style w:type="paragraph" w:styleId="Heading8">
    <w:name w:val="heading 8"/>
    <w:basedOn w:val="Normal"/>
    <w:next w:val="Normal"/>
    <w:link w:val="Heading8Char"/>
    <w:qFormat/>
    <w:rsid w:val="00104A54"/>
    <w:pPr>
      <w:ind w:left="720"/>
      <w:outlineLvl w:val="7"/>
    </w:pPr>
    <w:rPr>
      <w:i/>
    </w:rPr>
  </w:style>
  <w:style w:type="paragraph" w:styleId="Heading9">
    <w:name w:val="heading 9"/>
    <w:basedOn w:val="Normal"/>
    <w:next w:val="Normal"/>
    <w:link w:val="Heading9Char"/>
    <w:qFormat/>
    <w:rsid w:val="00104A54"/>
    <w:pPr>
      <w:ind w:left="720"/>
      <w:outlineLvl w:val="8"/>
    </w:pPr>
    <w:rPr>
      <w:i/>
    </w:rPr>
  </w:style>
  <w:style w:type="character" w:default="1" w:styleId="DefaultParagraphFont">
    <w:name w:val="Default Paragraph Font"/>
    <w:uiPriority w:val="1"/>
    <w:unhideWhenUsed/>
    <w:rsid w:val="00104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A54"/>
  </w:style>
  <w:style w:type="character" w:customStyle="1" w:styleId="Heading1Char">
    <w:name w:val="Heading 1 Char"/>
    <w:basedOn w:val="DefaultParagraphFont"/>
    <w:link w:val="Heading1"/>
    <w:rsid w:val="00104A54"/>
    <w:rPr>
      <w:rFonts w:ascii="Times New Roman" w:eastAsia="Times New Roman" w:hAnsi="Times New Roman" w:cs="Times New Roman"/>
      <w:b/>
      <w:sz w:val="32"/>
      <w:szCs w:val="20"/>
      <w:lang w:eastAsia="en-US"/>
    </w:rPr>
  </w:style>
  <w:style w:type="paragraph" w:styleId="BodyText">
    <w:name w:val="Body Text"/>
    <w:basedOn w:val="Normal"/>
    <w:link w:val="BodyTextChar"/>
    <w:rsid w:val="00104A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A54"/>
    <w:rPr>
      <w:rFonts w:ascii="Times New Roman" w:eastAsia="Times New Roman" w:hAnsi="Times New Roman" w:cs="Times New Roman"/>
      <w:sz w:val="24"/>
      <w:lang w:val="en-US" w:eastAsia="en-US"/>
    </w:rPr>
  </w:style>
  <w:style w:type="paragraph" w:styleId="Footer">
    <w:name w:val="footer"/>
    <w:basedOn w:val="Normal"/>
    <w:link w:val="FooterChar"/>
    <w:rsid w:val="00104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A54"/>
    <w:rPr>
      <w:rFonts w:ascii="Times New Roman" w:eastAsia="Times New Roman" w:hAnsi="Times New Roman" w:cs="Times New Roman"/>
      <w:sz w:val="16"/>
      <w:lang w:val="en-US" w:eastAsia="en-US"/>
    </w:rPr>
  </w:style>
  <w:style w:type="paragraph" w:styleId="List">
    <w:name w:val="List"/>
    <w:basedOn w:val="BodyText"/>
    <w:next w:val="BodyText"/>
    <w:rsid w:val="00104A54"/>
    <w:pPr>
      <w:tabs>
        <w:tab w:val="left" w:pos="340"/>
      </w:tabs>
      <w:spacing w:before="60" w:after="60"/>
      <w:ind w:left="340" w:hanging="340"/>
    </w:pPr>
  </w:style>
  <w:style w:type="paragraph" w:styleId="ListBullet">
    <w:name w:val="List Bullet"/>
    <w:basedOn w:val="List"/>
    <w:rsid w:val="00104A54"/>
    <w:pPr>
      <w:numPr>
        <w:numId w:val="12"/>
      </w:numPr>
      <w:tabs>
        <w:tab w:val="clear" w:pos="340"/>
      </w:tabs>
      <w:spacing w:before="40" w:after="40"/>
    </w:pPr>
  </w:style>
  <w:style w:type="character" w:customStyle="1" w:styleId="SpecialBold">
    <w:name w:val="Special Bold"/>
    <w:basedOn w:val="DefaultParagraphFont"/>
    <w:rsid w:val="00104A54"/>
    <w:rPr>
      <w:b/>
      <w:spacing w:val="0"/>
    </w:rPr>
  </w:style>
  <w:style w:type="paragraph" w:styleId="Header">
    <w:name w:val="header"/>
    <w:basedOn w:val="Normal"/>
    <w:link w:val="HeaderChar"/>
    <w:rsid w:val="00104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A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4A54"/>
    <w:pPr>
      <w:spacing w:before="240" w:after="120"/>
      <w:outlineLvl w:val="0"/>
    </w:pPr>
    <w:rPr>
      <w:rFonts w:ascii="Times New Roman" w:hAnsi="Times New Roman"/>
      <w:b/>
      <w:sz w:val="28"/>
    </w:rPr>
  </w:style>
  <w:style w:type="paragraph" w:customStyle="1" w:styleId="AllowPageBreak">
    <w:name w:val="AllowPageBreak"/>
    <w:rsid w:val="00104A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4A54"/>
    <w:pPr>
      <w:tabs>
        <w:tab w:val="left" w:pos="680"/>
      </w:tabs>
      <w:spacing w:before="60" w:after="60"/>
      <w:ind w:left="680" w:hanging="340"/>
    </w:pPr>
  </w:style>
  <w:style w:type="character" w:customStyle="1" w:styleId="Heading2Char">
    <w:name w:val="Heading 2 Char"/>
    <w:basedOn w:val="DefaultParagraphFont"/>
    <w:link w:val="Heading2"/>
    <w:rsid w:val="00104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A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A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A54"/>
    <w:rPr>
      <w:rFonts w:ascii="Courier New" w:eastAsia="Times New Roman" w:hAnsi="Courier New" w:cs="Times New Roman"/>
      <w:i/>
      <w:szCs w:val="20"/>
      <w:lang w:val="en-US" w:eastAsia="en-US"/>
    </w:rPr>
  </w:style>
  <w:style w:type="paragraph" w:customStyle="1" w:styleId="HeadingBase">
    <w:name w:val="Heading Base"/>
    <w:rsid w:val="00104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A54"/>
    <w:pPr>
      <w:tabs>
        <w:tab w:val="right" w:leader="dot" w:pos="9072"/>
      </w:tabs>
      <w:ind w:left="567"/>
    </w:pPr>
    <w:rPr>
      <w:szCs w:val="22"/>
    </w:rPr>
  </w:style>
  <w:style w:type="paragraph" w:customStyle="1" w:styleId="TOCBase">
    <w:name w:val="TOC Base"/>
    <w:rsid w:val="00104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A54"/>
    <w:pPr>
      <w:tabs>
        <w:tab w:val="right" w:leader="dot" w:pos="9072"/>
      </w:tabs>
      <w:spacing w:before="40" w:after="40"/>
      <w:ind w:left="284"/>
    </w:pPr>
    <w:rPr>
      <w:rFonts w:ascii="Times New Roman" w:hAnsi="Times New Roman"/>
    </w:rPr>
  </w:style>
  <w:style w:type="paragraph" w:styleId="TOC1">
    <w:name w:val="toc 1"/>
    <w:basedOn w:val="TOCBase"/>
    <w:next w:val="Normal"/>
    <w:rsid w:val="00104A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A54"/>
    <w:pPr>
      <w:spacing w:before="5040"/>
      <w:jc w:val="center"/>
    </w:pPr>
    <w:rPr>
      <w:sz w:val="48"/>
      <w:szCs w:val="72"/>
      <w:lang w:val="en-US"/>
    </w:rPr>
  </w:style>
  <w:style w:type="character" w:customStyle="1" w:styleId="TitleChar">
    <w:name w:val="Title Char"/>
    <w:basedOn w:val="DefaultParagraphFont"/>
    <w:link w:val="Title"/>
    <w:rsid w:val="00104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A54"/>
    <w:pPr>
      <w:tabs>
        <w:tab w:val="left" w:pos="3600"/>
        <w:tab w:val="left" w:pos="3958"/>
      </w:tabs>
    </w:pPr>
  </w:style>
  <w:style w:type="paragraph" w:customStyle="1" w:styleId="Note">
    <w:name w:val="Note"/>
    <w:basedOn w:val="BodyText"/>
    <w:rsid w:val="00104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A54"/>
    <w:pPr>
      <w:framePr w:wrap="auto" w:hAnchor="text" w:y="6049"/>
    </w:pPr>
    <w:rPr>
      <w:color w:val="000000"/>
      <w:sz w:val="40"/>
    </w:rPr>
  </w:style>
  <w:style w:type="paragraph" w:customStyle="1" w:styleId="TOCTitle">
    <w:name w:val="TOCTitle"/>
    <w:basedOn w:val="Heading1"/>
    <w:rsid w:val="00104A54"/>
    <w:pPr>
      <w:spacing w:after="240"/>
      <w:jc w:val="center"/>
      <w:outlineLvl w:val="9"/>
    </w:pPr>
    <w:rPr>
      <w:caps/>
    </w:rPr>
  </w:style>
  <w:style w:type="paragraph" w:customStyle="1" w:styleId="Version">
    <w:name w:val="Version"/>
    <w:rsid w:val="00104A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A54"/>
    <w:pPr>
      <w:numPr>
        <w:numId w:val="13"/>
      </w:numPr>
      <w:tabs>
        <w:tab w:val="clear" w:pos="680"/>
      </w:tabs>
    </w:pPr>
  </w:style>
  <w:style w:type="paragraph" w:styleId="Index1">
    <w:name w:val="index 1"/>
    <w:basedOn w:val="Normal"/>
    <w:next w:val="Normal"/>
    <w:semiHidden/>
    <w:rsid w:val="00104A54"/>
    <w:pPr>
      <w:keepNext w:val="0"/>
      <w:tabs>
        <w:tab w:val="right" w:pos="4176"/>
      </w:tabs>
      <w:ind w:left="198" w:hanging="198"/>
    </w:pPr>
    <w:rPr>
      <w:rFonts w:ascii="Garamond" w:hAnsi="Garamond"/>
    </w:rPr>
  </w:style>
  <w:style w:type="paragraph" w:styleId="IndexHeading">
    <w:name w:val="index heading"/>
    <w:basedOn w:val="Normal"/>
    <w:next w:val="Index1"/>
    <w:semiHidden/>
    <w:rsid w:val="00104A54"/>
    <w:pPr>
      <w:spacing w:before="120" w:after="120"/>
    </w:pPr>
    <w:rPr>
      <w:rFonts w:ascii="Arial" w:hAnsi="Arial"/>
      <w:b/>
      <w:color w:val="918585"/>
      <w:sz w:val="24"/>
    </w:rPr>
  </w:style>
  <w:style w:type="paragraph" w:customStyle="1" w:styleId="Chapter">
    <w:name w:val="Chapter"/>
    <w:basedOn w:val="Normal"/>
    <w:rsid w:val="00104A54"/>
    <w:pPr>
      <w:spacing w:before="240"/>
    </w:pPr>
    <w:rPr>
      <w:rFonts w:ascii="Times New Roman" w:hAnsi="Times New Roman"/>
      <w:smallCaps/>
      <w:spacing w:val="80"/>
      <w:sz w:val="28"/>
    </w:rPr>
  </w:style>
  <w:style w:type="paragraph" w:customStyle="1" w:styleId="InChapter">
    <w:name w:val="InChapter"/>
    <w:basedOn w:val="Heading3"/>
    <w:rsid w:val="00104A54"/>
    <w:pPr>
      <w:spacing w:after="240"/>
      <w:outlineLvl w:val="9"/>
    </w:pPr>
    <w:rPr>
      <w:noProof/>
    </w:rPr>
  </w:style>
  <w:style w:type="paragraph" w:styleId="Index2">
    <w:name w:val="index 2"/>
    <w:basedOn w:val="Normal"/>
    <w:next w:val="Normal"/>
    <w:semiHidden/>
    <w:rsid w:val="00104A54"/>
    <w:pPr>
      <w:tabs>
        <w:tab w:val="right" w:pos="4176"/>
      </w:tabs>
      <w:ind w:left="568" w:hanging="284"/>
    </w:pPr>
    <w:rPr>
      <w:rFonts w:ascii="Garamond" w:hAnsi="Garamond"/>
    </w:rPr>
  </w:style>
  <w:style w:type="paragraph" w:customStyle="1" w:styleId="Byline">
    <w:name w:val="Byline"/>
    <w:rsid w:val="00104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A54"/>
    <w:pPr>
      <w:tabs>
        <w:tab w:val="clear" w:pos="3600"/>
        <w:tab w:val="clear" w:pos="3958"/>
      </w:tabs>
      <w:jc w:val="right"/>
    </w:pPr>
  </w:style>
  <w:style w:type="character" w:styleId="Emphasis">
    <w:name w:val="Emphasis"/>
    <w:basedOn w:val="DefaultParagraphFont"/>
    <w:qFormat/>
    <w:rsid w:val="00104A54"/>
    <w:rPr>
      <w:i/>
    </w:rPr>
  </w:style>
  <w:style w:type="paragraph" w:styleId="Caption">
    <w:name w:val="caption"/>
    <w:basedOn w:val="BodyText"/>
    <w:next w:val="Normal"/>
    <w:qFormat/>
    <w:rsid w:val="00104A54"/>
    <w:pPr>
      <w:framePr w:w="2268" w:hSpace="181" w:vSpace="181" w:wrap="around" w:vAnchor="text" w:hAnchor="page" w:x="1135" w:y="285" w:anchorLock="1"/>
    </w:pPr>
    <w:rPr>
      <w:i/>
    </w:rPr>
  </w:style>
  <w:style w:type="paragraph" w:customStyle="1" w:styleId="MiniTOCTitle">
    <w:name w:val="MiniTOCTitle"/>
    <w:basedOn w:val="Heading4"/>
    <w:rsid w:val="00104A54"/>
    <w:pPr>
      <w:spacing w:before="240"/>
      <w:outlineLvl w:val="9"/>
    </w:pPr>
    <w:rPr>
      <w:noProof/>
      <w:sz w:val="24"/>
    </w:rPr>
  </w:style>
  <w:style w:type="paragraph" w:customStyle="1" w:styleId="MiniTOCItem">
    <w:name w:val="MiniTOCItem"/>
    <w:basedOn w:val="ListBullet"/>
    <w:rsid w:val="00104A54"/>
    <w:pPr>
      <w:numPr>
        <w:numId w:val="0"/>
      </w:numPr>
      <w:tabs>
        <w:tab w:val="right" w:leader="dot" w:pos="6521"/>
      </w:tabs>
      <w:spacing w:before="0" w:after="0"/>
    </w:pPr>
  </w:style>
  <w:style w:type="paragraph" w:customStyle="1" w:styleId="TOFTitle">
    <w:name w:val="TOFTitle"/>
    <w:basedOn w:val="TOCTitle"/>
    <w:rsid w:val="00104A54"/>
  </w:style>
  <w:style w:type="paragraph" w:styleId="TableofFigures">
    <w:name w:val="table of figures"/>
    <w:basedOn w:val="Normal"/>
    <w:next w:val="Normal"/>
    <w:semiHidden/>
    <w:rsid w:val="00104A54"/>
    <w:pPr>
      <w:tabs>
        <w:tab w:val="right" w:leader="dot" w:pos="9072"/>
      </w:tabs>
      <w:ind w:left="970" w:hanging="403"/>
    </w:pPr>
    <w:rPr>
      <w:rFonts w:ascii="Times New Roman" w:hAnsi="Times New Roman"/>
      <w:b/>
    </w:rPr>
  </w:style>
  <w:style w:type="paragraph" w:styleId="ListNumber">
    <w:name w:val="List Number"/>
    <w:basedOn w:val="List"/>
    <w:rsid w:val="00104A54"/>
    <w:pPr>
      <w:numPr>
        <w:numId w:val="10"/>
      </w:numPr>
    </w:pPr>
  </w:style>
  <w:style w:type="character" w:customStyle="1" w:styleId="WingdingSymbols">
    <w:name w:val="Wingding Symbols"/>
    <w:rsid w:val="00104A54"/>
    <w:rPr>
      <w:rFonts w:ascii="Wingdings" w:hAnsi="Wingdings"/>
    </w:rPr>
  </w:style>
  <w:style w:type="paragraph" w:customStyle="1" w:styleId="TableHeading">
    <w:name w:val="Table Heading"/>
    <w:basedOn w:val="HeadingBase"/>
    <w:rsid w:val="00104A54"/>
    <w:pPr>
      <w:keepLines/>
      <w:pBdr>
        <w:bottom w:val="single" w:sz="6" w:space="1" w:color="918585"/>
      </w:pBdr>
      <w:spacing w:before="240"/>
    </w:pPr>
  </w:style>
  <w:style w:type="character" w:customStyle="1" w:styleId="HotSpot">
    <w:name w:val="HotSpot"/>
    <w:rsid w:val="00104A54"/>
    <w:rPr>
      <w:color w:val="0033CC"/>
      <w:u w:val="none"/>
    </w:rPr>
  </w:style>
  <w:style w:type="paragraph" w:customStyle="1" w:styleId="BodyTextRight">
    <w:name w:val="Body Text Right"/>
    <w:basedOn w:val="BodyText"/>
    <w:rsid w:val="00104A54"/>
    <w:pPr>
      <w:spacing w:before="0" w:after="0"/>
      <w:jc w:val="right"/>
    </w:pPr>
  </w:style>
  <w:style w:type="paragraph" w:styleId="Index3">
    <w:name w:val="index 3"/>
    <w:basedOn w:val="ListNumber2"/>
    <w:next w:val="Normal"/>
    <w:semiHidden/>
    <w:rsid w:val="00104A54"/>
    <w:pPr>
      <w:numPr>
        <w:numId w:val="0"/>
      </w:numPr>
      <w:tabs>
        <w:tab w:val="right" w:leader="dot" w:pos="4176"/>
      </w:tabs>
    </w:pPr>
  </w:style>
  <w:style w:type="paragraph" w:styleId="ListNumber2">
    <w:name w:val="List Number 2"/>
    <w:basedOn w:val="List2"/>
    <w:rsid w:val="00104A54"/>
    <w:pPr>
      <w:numPr>
        <w:numId w:val="9"/>
      </w:numPr>
      <w:tabs>
        <w:tab w:val="clear" w:pos="1060"/>
      </w:tabs>
    </w:pPr>
  </w:style>
  <w:style w:type="paragraph" w:customStyle="1" w:styleId="MarginNote">
    <w:name w:val="Margin Note"/>
    <w:basedOn w:val="BodyText"/>
    <w:rsid w:val="00104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A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A54"/>
    <w:rPr>
      <w:sz w:val="32"/>
    </w:rPr>
  </w:style>
  <w:style w:type="paragraph" w:customStyle="1" w:styleId="HeadingProcedure">
    <w:name w:val="Heading Procedure"/>
    <w:basedOn w:val="HeadingBase"/>
    <w:next w:val="Normal"/>
    <w:rsid w:val="00104A54"/>
    <w:pPr>
      <w:tabs>
        <w:tab w:val="left" w:pos="0"/>
      </w:tabs>
      <w:spacing w:before="120" w:after="60"/>
    </w:pPr>
    <w:rPr>
      <w:i/>
      <w:color w:val="918585"/>
      <w:sz w:val="22"/>
    </w:rPr>
  </w:style>
  <w:style w:type="paragraph" w:customStyle="1" w:styleId="TableBodyText">
    <w:name w:val="Table Body Text"/>
    <w:basedOn w:val="BodyText"/>
    <w:rsid w:val="00104A54"/>
    <w:pPr>
      <w:spacing w:before="60" w:after="60"/>
    </w:pPr>
  </w:style>
  <w:style w:type="paragraph" w:styleId="ListContinue">
    <w:name w:val="List Continue"/>
    <w:basedOn w:val="List"/>
    <w:rsid w:val="00104A54"/>
    <w:pPr>
      <w:ind w:firstLine="0"/>
    </w:pPr>
  </w:style>
  <w:style w:type="paragraph" w:customStyle="1" w:styleId="ListNote">
    <w:name w:val="List Note"/>
    <w:basedOn w:val="List"/>
    <w:rsid w:val="00104A54"/>
    <w:pPr>
      <w:pBdr>
        <w:top w:val="single" w:sz="6" w:space="2" w:color="918585"/>
        <w:bottom w:val="single" w:sz="6" w:space="2" w:color="918585"/>
      </w:pBdr>
      <w:tabs>
        <w:tab w:val="left" w:pos="1021"/>
      </w:tabs>
      <w:ind w:firstLine="0"/>
    </w:pPr>
  </w:style>
  <w:style w:type="paragraph" w:customStyle="1" w:styleId="Warning">
    <w:name w:val="Warning"/>
    <w:basedOn w:val="BodyText"/>
    <w:rsid w:val="00104A54"/>
    <w:pPr>
      <w:shd w:val="clear" w:color="auto" w:fill="D9D9D9"/>
      <w:tabs>
        <w:tab w:val="left" w:pos="992"/>
      </w:tabs>
      <w:ind w:left="119" w:right="119"/>
    </w:pPr>
    <w:rPr>
      <w:sz w:val="20"/>
    </w:rPr>
  </w:style>
  <w:style w:type="paragraph" w:customStyle="1" w:styleId="MarginIcons">
    <w:name w:val="Margin Icons"/>
    <w:basedOn w:val="BodyText"/>
    <w:rsid w:val="00104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A54"/>
    <w:rPr>
      <w:rFonts w:ascii="Courier New" w:hAnsi="Courier New"/>
    </w:rPr>
  </w:style>
  <w:style w:type="paragraph" w:customStyle="1" w:styleId="NoteBullet">
    <w:name w:val="Note Bullet"/>
    <w:basedOn w:val="Note"/>
    <w:rsid w:val="00104A54"/>
    <w:pPr>
      <w:tabs>
        <w:tab w:val="clear" w:pos="680"/>
      </w:tabs>
      <w:spacing w:before="60" w:after="60"/>
    </w:pPr>
  </w:style>
  <w:style w:type="paragraph" w:customStyle="1" w:styleId="SubHeading2">
    <w:name w:val="SubHeading2"/>
    <w:basedOn w:val="HeadingBase"/>
    <w:rsid w:val="00104A54"/>
    <w:pPr>
      <w:spacing w:before="240" w:after="60"/>
    </w:pPr>
    <w:rPr>
      <w:sz w:val="20"/>
    </w:rPr>
  </w:style>
  <w:style w:type="paragraph" w:customStyle="1" w:styleId="SubHeading1">
    <w:name w:val="SubHeading1"/>
    <w:basedOn w:val="HeadingBase"/>
    <w:rsid w:val="00104A54"/>
    <w:pPr>
      <w:spacing w:before="240" w:after="60"/>
    </w:pPr>
    <w:rPr>
      <w:color w:val="918585"/>
      <w:sz w:val="22"/>
    </w:rPr>
  </w:style>
  <w:style w:type="paragraph" w:customStyle="1" w:styleId="SideHeading">
    <w:name w:val="Side Heading"/>
    <w:basedOn w:val="HeadingBase"/>
    <w:rsid w:val="00104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A54"/>
    <w:pPr>
      <w:tabs>
        <w:tab w:val="num" w:pos="360"/>
      </w:tabs>
    </w:pPr>
  </w:style>
  <w:style w:type="paragraph" w:styleId="PlainText">
    <w:name w:val="Plain Text"/>
    <w:basedOn w:val="Normal"/>
    <w:link w:val="PlainTextChar"/>
    <w:rsid w:val="00104A54"/>
    <w:rPr>
      <w:sz w:val="20"/>
    </w:rPr>
  </w:style>
  <w:style w:type="character" w:customStyle="1" w:styleId="PlainTextChar">
    <w:name w:val="Plain Text Char"/>
    <w:basedOn w:val="DefaultParagraphFont"/>
    <w:link w:val="PlainText"/>
    <w:rsid w:val="00104A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4A54"/>
    <w:rPr>
      <w:b/>
      <w:smallCaps/>
    </w:rPr>
  </w:style>
  <w:style w:type="paragraph" w:customStyle="1" w:styleId="TableListNumber">
    <w:name w:val="Table List Number"/>
    <w:basedOn w:val="ListNumber"/>
    <w:rsid w:val="00104A54"/>
    <w:pPr>
      <w:numPr>
        <w:numId w:val="0"/>
      </w:numPr>
    </w:pPr>
  </w:style>
  <w:style w:type="paragraph" w:styleId="TOC4">
    <w:name w:val="toc 4"/>
    <w:basedOn w:val="TOCBase"/>
    <w:next w:val="Normal"/>
    <w:semiHidden/>
    <w:rsid w:val="00104A54"/>
    <w:pPr>
      <w:tabs>
        <w:tab w:val="right" w:leader="dot" w:pos="9071"/>
      </w:tabs>
      <w:ind w:left="1701"/>
    </w:pPr>
  </w:style>
  <w:style w:type="paragraph" w:customStyle="1" w:styleId="ListAlpha">
    <w:name w:val="List Alpha"/>
    <w:basedOn w:val="List"/>
    <w:rsid w:val="00104A54"/>
    <w:pPr>
      <w:numPr>
        <w:numId w:val="8"/>
      </w:numPr>
    </w:pPr>
  </w:style>
  <w:style w:type="paragraph" w:customStyle="1" w:styleId="ListAlpha2">
    <w:name w:val="List Alpha 2"/>
    <w:basedOn w:val="List2"/>
    <w:rsid w:val="00104A54"/>
    <w:pPr>
      <w:numPr>
        <w:numId w:val="7"/>
      </w:numPr>
    </w:pPr>
  </w:style>
  <w:style w:type="paragraph" w:styleId="List3">
    <w:name w:val="List 3"/>
    <w:basedOn w:val="BodyText"/>
    <w:rsid w:val="00104A54"/>
    <w:pPr>
      <w:tabs>
        <w:tab w:val="left" w:pos="1021"/>
      </w:tabs>
      <w:spacing w:before="60" w:after="60"/>
      <w:ind w:left="1020" w:hanging="340"/>
    </w:pPr>
  </w:style>
  <w:style w:type="paragraph" w:styleId="List4">
    <w:name w:val="List 4"/>
    <w:basedOn w:val="BodyText"/>
    <w:rsid w:val="00104A54"/>
    <w:pPr>
      <w:tabs>
        <w:tab w:val="left" w:pos="1361"/>
      </w:tabs>
      <w:spacing w:before="60" w:after="60"/>
      <w:ind w:left="1361" w:hanging="340"/>
    </w:pPr>
  </w:style>
  <w:style w:type="paragraph" w:styleId="List5">
    <w:name w:val="List 5"/>
    <w:basedOn w:val="BodyText"/>
    <w:rsid w:val="00104A54"/>
    <w:pPr>
      <w:tabs>
        <w:tab w:val="left" w:pos="1701"/>
      </w:tabs>
      <w:spacing w:before="60" w:after="60"/>
      <w:ind w:left="1701" w:hanging="340"/>
    </w:pPr>
  </w:style>
  <w:style w:type="paragraph" w:styleId="ListBullet3">
    <w:name w:val="List Bullet 3"/>
    <w:basedOn w:val="List3"/>
    <w:rsid w:val="00104A54"/>
    <w:pPr>
      <w:numPr>
        <w:numId w:val="14"/>
      </w:numPr>
      <w:tabs>
        <w:tab w:val="clear" w:pos="1021"/>
      </w:tabs>
      <w:ind w:left="1037" w:hanging="357"/>
    </w:pPr>
  </w:style>
  <w:style w:type="paragraph" w:styleId="ListBullet4">
    <w:name w:val="List Bullet 4"/>
    <w:basedOn w:val="List4"/>
    <w:rsid w:val="00104A54"/>
    <w:pPr>
      <w:numPr>
        <w:numId w:val="2"/>
      </w:numPr>
    </w:pPr>
  </w:style>
  <w:style w:type="paragraph" w:styleId="ListBullet5">
    <w:name w:val="List Bullet 5"/>
    <w:basedOn w:val="List5"/>
    <w:rsid w:val="00104A54"/>
    <w:pPr>
      <w:numPr>
        <w:numId w:val="3"/>
      </w:numPr>
    </w:pPr>
  </w:style>
  <w:style w:type="paragraph" w:styleId="ListContinue2">
    <w:name w:val="List Continue 2"/>
    <w:basedOn w:val="List2"/>
    <w:rsid w:val="00104A54"/>
    <w:pPr>
      <w:ind w:firstLine="0"/>
    </w:pPr>
  </w:style>
  <w:style w:type="paragraph" w:styleId="ListContinue3">
    <w:name w:val="List Continue 3"/>
    <w:basedOn w:val="List3"/>
    <w:rsid w:val="00104A54"/>
    <w:pPr>
      <w:ind w:left="1021" w:firstLine="0"/>
    </w:pPr>
  </w:style>
  <w:style w:type="paragraph" w:styleId="ListContinue4">
    <w:name w:val="List Continue 4"/>
    <w:basedOn w:val="List4"/>
    <w:rsid w:val="00104A54"/>
    <w:pPr>
      <w:ind w:firstLine="0"/>
    </w:pPr>
  </w:style>
  <w:style w:type="paragraph" w:styleId="ListContinue5">
    <w:name w:val="List Continue 5"/>
    <w:basedOn w:val="List5"/>
    <w:rsid w:val="00104A54"/>
    <w:pPr>
      <w:ind w:firstLine="0"/>
    </w:pPr>
  </w:style>
  <w:style w:type="paragraph" w:styleId="ListNumber3">
    <w:name w:val="List Number 3"/>
    <w:basedOn w:val="List3"/>
    <w:rsid w:val="00104A54"/>
    <w:pPr>
      <w:numPr>
        <w:numId w:val="4"/>
      </w:numPr>
    </w:pPr>
  </w:style>
  <w:style w:type="paragraph" w:styleId="ListNumber4">
    <w:name w:val="List Number 4"/>
    <w:basedOn w:val="List4"/>
    <w:rsid w:val="00104A54"/>
    <w:pPr>
      <w:numPr>
        <w:numId w:val="5"/>
      </w:numPr>
    </w:pPr>
  </w:style>
  <w:style w:type="paragraph" w:styleId="ListNumber5">
    <w:name w:val="List Number 5"/>
    <w:basedOn w:val="List5"/>
    <w:rsid w:val="00104A54"/>
    <w:pPr>
      <w:numPr>
        <w:numId w:val="6"/>
      </w:numPr>
    </w:pPr>
  </w:style>
  <w:style w:type="paragraph" w:styleId="BlockText">
    <w:name w:val="Block Text"/>
    <w:basedOn w:val="Normal"/>
    <w:rsid w:val="00104A54"/>
    <w:pPr>
      <w:spacing w:after="120"/>
      <w:ind w:left="1440" w:right="1440"/>
    </w:pPr>
  </w:style>
  <w:style w:type="character" w:customStyle="1" w:styleId="Subscript">
    <w:name w:val="Subscript"/>
    <w:basedOn w:val="DefaultParagraphFont"/>
    <w:rsid w:val="00104A54"/>
    <w:rPr>
      <w:sz w:val="16"/>
      <w:vertAlign w:val="subscript"/>
    </w:rPr>
  </w:style>
  <w:style w:type="character" w:customStyle="1" w:styleId="Superscript">
    <w:name w:val="Superscript"/>
    <w:basedOn w:val="DefaultParagraphFont"/>
    <w:rsid w:val="00104A54"/>
    <w:rPr>
      <w:sz w:val="16"/>
      <w:vertAlign w:val="superscript"/>
    </w:rPr>
  </w:style>
  <w:style w:type="character" w:customStyle="1" w:styleId="Symbols">
    <w:name w:val="Symbols"/>
    <w:basedOn w:val="DefaultParagraphFont"/>
    <w:rsid w:val="00104A54"/>
    <w:rPr>
      <w:rFonts w:ascii="Symbol" w:hAnsi="Symbol"/>
    </w:rPr>
  </w:style>
  <w:style w:type="character" w:customStyle="1" w:styleId="MenuOptions">
    <w:name w:val="Menu Options"/>
    <w:basedOn w:val="DefaultParagraphFont"/>
    <w:rsid w:val="00104A54"/>
    <w:rPr>
      <w:rFonts w:ascii="Arial Narrow" w:hAnsi="Arial Narrow"/>
      <w:smallCaps/>
    </w:rPr>
  </w:style>
  <w:style w:type="character" w:customStyle="1" w:styleId="Buttons">
    <w:name w:val="Buttons"/>
    <w:basedOn w:val="DefaultParagraphFont"/>
    <w:rsid w:val="00104A54"/>
    <w:rPr>
      <w:b/>
    </w:rPr>
  </w:style>
  <w:style w:type="character" w:customStyle="1" w:styleId="Underlined">
    <w:name w:val="Underlined"/>
    <w:basedOn w:val="DefaultParagraphFont"/>
    <w:rsid w:val="00104A54"/>
    <w:rPr>
      <w:u w:val="single"/>
    </w:rPr>
  </w:style>
  <w:style w:type="paragraph" w:customStyle="1" w:styleId="TableBodyTextRight">
    <w:name w:val="Table Body Text Right"/>
    <w:basedOn w:val="TableBodyText"/>
    <w:rsid w:val="00104A54"/>
    <w:pPr>
      <w:widowControl w:val="0"/>
      <w:autoSpaceDE w:val="0"/>
      <w:autoSpaceDN w:val="0"/>
      <w:adjustRightInd w:val="0"/>
      <w:jc w:val="right"/>
    </w:pPr>
    <w:rPr>
      <w:rFonts w:cs="Arial"/>
      <w:szCs w:val="18"/>
    </w:rPr>
  </w:style>
  <w:style w:type="paragraph" w:customStyle="1" w:styleId="CopyrightText">
    <w:name w:val="Copyright Text"/>
    <w:basedOn w:val="BodyText"/>
    <w:rsid w:val="00104A54"/>
    <w:rPr>
      <w:sz w:val="18"/>
    </w:rPr>
  </w:style>
  <w:style w:type="paragraph" w:customStyle="1" w:styleId="BodySmallRight">
    <w:name w:val="Body Small Right"/>
    <w:basedOn w:val="BodyTextRight"/>
    <w:rsid w:val="00104A54"/>
    <w:rPr>
      <w:sz w:val="18"/>
      <w:szCs w:val="18"/>
    </w:rPr>
  </w:style>
  <w:style w:type="paragraph" w:customStyle="1" w:styleId="MarginEdition">
    <w:name w:val="Margin Edition"/>
    <w:basedOn w:val="MarginNote"/>
    <w:rsid w:val="00104A54"/>
    <w:pPr>
      <w:spacing w:before="0" w:after="0"/>
    </w:pPr>
    <w:rPr>
      <w:rFonts w:ascii="Times New Roman" w:hAnsi="Times New Roman"/>
      <w:color w:val="999999"/>
    </w:rPr>
  </w:style>
  <w:style w:type="paragraph" w:customStyle="1" w:styleId="Spacer">
    <w:name w:val="Spacer"/>
    <w:basedOn w:val="Normal"/>
    <w:rsid w:val="00104A54"/>
    <w:rPr>
      <w:sz w:val="2"/>
      <w:szCs w:val="2"/>
    </w:rPr>
  </w:style>
  <w:style w:type="character" w:customStyle="1" w:styleId="Small">
    <w:name w:val="Small"/>
    <w:basedOn w:val="DefaultParagraphFont"/>
    <w:rsid w:val="00104A54"/>
    <w:rPr>
      <w:sz w:val="16"/>
    </w:rPr>
  </w:style>
  <w:style w:type="paragraph" w:customStyle="1" w:styleId="WideTable">
    <w:name w:val="Wide Table"/>
    <w:basedOn w:val="Normal"/>
    <w:rsid w:val="00104A54"/>
    <w:pPr>
      <w:ind w:left="-1418"/>
    </w:pPr>
    <w:rPr>
      <w:sz w:val="2"/>
      <w:szCs w:val="2"/>
    </w:rPr>
  </w:style>
  <w:style w:type="character" w:styleId="PageNumber">
    <w:name w:val="page number"/>
    <w:basedOn w:val="DefaultParagraphFont"/>
    <w:rsid w:val="00104A54"/>
  </w:style>
  <w:style w:type="paragraph" w:styleId="Quote">
    <w:name w:val="Quote"/>
    <w:basedOn w:val="Heading1"/>
    <w:link w:val="QuoteChar"/>
    <w:qFormat/>
    <w:rsid w:val="00104A54"/>
    <w:rPr>
      <w:b w:val="0"/>
      <w:sz w:val="72"/>
      <w:szCs w:val="72"/>
      <w:lang w:val="en-NZ"/>
    </w:rPr>
  </w:style>
  <w:style w:type="character" w:customStyle="1" w:styleId="QuoteChar">
    <w:name w:val="Quote Char"/>
    <w:basedOn w:val="DefaultParagraphFont"/>
    <w:link w:val="Quote"/>
    <w:rsid w:val="00104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A54"/>
    <w:pPr>
      <w:pageBreakBefore/>
    </w:pPr>
  </w:style>
  <w:style w:type="paragraph" w:customStyle="1" w:styleId="Border">
    <w:name w:val="Border"/>
    <w:basedOn w:val="Normal"/>
    <w:qFormat/>
    <w:rsid w:val="00104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A54"/>
    <w:rPr>
      <w:b/>
      <w:bCs/>
      <w:i/>
      <w:iCs/>
      <w:color w:val="auto"/>
    </w:rPr>
  </w:style>
  <w:style w:type="paragraph" w:styleId="IntenseQuote">
    <w:name w:val="Intense Quote"/>
    <w:basedOn w:val="Normal"/>
    <w:next w:val="Normal"/>
    <w:link w:val="IntenseQuoteChar"/>
    <w:uiPriority w:val="30"/>
    <w:qFormat/>
    <w:rsid w:val="00104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A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4A54"/>
    <w:rPr>
      <w:smallCaps/>
      <w:color w:val="auto"/>
      <w:u w:val="single"/>
    </w:rPr>
  </w:style>
  <w:style w:type="character" w:styleId="IntenseReference">
    <w:name w:val="Intense Reference"/>
    <w:basedOn w:val="DefaultParagraphFont"/>
    <w:uiPriority w:val="32"/>
    <w:qFormat/>
    <w:rsid w:val="00104A54"/>
    <w:rPr>
      <w:b/>
      <w:bCs/>
      <w:smallCaps/>
      <w:color w:val="auto"/>
      <w:spacing w:val="5"/>
      <w:u w:val="single"/>
    </w:rPr>
  </w:style>
  <w:style w:type="paragraph" w:customStyle="1" w:styleId="2ColumnHeading">
    <w:name w:val="2Column Heading"/>
    <w:basedOn w:val="BodyText"/>
    <w:qFormat/>
    <w:rsid w:val="00104A54"/>
    <w:pPr>
      <w:spacing w:after="60"/>
      <w:ind w:left="-2268"/>
    </w:pPr>
    <w:rPr>
      <w:b/>
    </w:rPr>
  </w:style>
  <w:style w:type="paragraph" w:customStyle="1" w:styleId="Heading1TOC">
    <w:name w:val="Heading1 TOC"/>
    <w:basedOn w:val="Normal"/>
    <w:qFormat/>
    <w:rsid w:val="00104A54"/>
    <w:pPr>
      <w:spacing w:before="240" w:after="120"/>
    </w:pPr>
    <w:rPr>
      <w:rFonts w:ascii="Times New Roman" w:hAnsi="Times New Roman"/>
      <w:b/>
      <w:sz w:val="32"/>
    </w:rPr>
  </w:style>
  <w:style w:type="paragraph" w:customStyle="1" w:styleId="Heading2TOC">
    <w:name w:val="Heading2 TOC"/>
    <w:basedOn w:val="Normal"/>
    <w:qFormat/>
    <w:rsid w:val="00104A54"/>
    <w:pPr>
      <w:spacing w:before="240" w:after="60"/>
    </w:pPr>
    <w:rPr>
      <w:rFonts w:ascii="Times New Roman" w:hAnsi="Times New Roman"/>
      <w:b/>
      <w:sz w:val="28"/>
    </w:rPr>
  </w:style>
  <w:style w:type="character" w:customStyle="1" w:styleId="Underline">
    <w:name w:val="Underline"/>
    <w:basedOn w:val="DefaultParagraphFont"/>
    <w:qFormat/>
    <w:rsid w:val="00104A54"/>
    <w:rPr>
      <w:u w:val="single"/>
    </w:rPr>
  </w:style>
  <w:style w:type="character" w:customStyle="1" w:styleId="BoldandItalics">
    <w:name w:val="Bold and Italics"/>
    <w:qFormat/>
    <w:rsid w:val="00104A54"/>
    <w:rPr>
      <w:b/>
      <w:i/>
      <w:u w:val="none"/>
    </w:rPr>
  </w:style>
  <w:style w:type="paragraph" w:styleId="BalloonText">
    <w:name w:val="Balloon Text"/>
    <w:basedOn w:val="Normal"/>
    <w:link w:val="BalloonTextChar"/>
    <w:rsid w:val="00104A54"/>
    <w:rPr>
      <w:rFonts w:ascii="Tahoma" w:hAnsi="Tahoma" w:cs="Tahoma"/>
      <w:sz w:val="16"/>
      <w:szCs w:val="16"/>
    </w:rPr>
  </w:style>
  <w:style w:type="character" w:customStyle="1" w:styleId="BalloonTextChar">
    <w:name w:val="Balloon Text Char"/>
    <w:basedOn w:val="DefaultParagraphFont"/>
    <w:link w:val="BalloonText"/>
    <w:rsid w:val="00104A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A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A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1108</Words>
  <Characters>7058</Characters>
  <Application>Microsoft Office Word</Application>
  <DocSecurity>0</DocSecurity>
  <Lines>248</Lines>
  <Paragraphs>112</Paragraphs>
  <ScaleCrop>false</ScaleCrop>
  <Company>Author-it Software Corporation Ltd.</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MEM15015B Examine trading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2012-05-27T01:47:00Z</dcterms:created>
  <dcterms:modified xsi:type="dcterms:W3CDTF">2012-05-27T01:47:00Z</dcterms:modified>
</cp:coreProperties>
</file>