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467" w:rsidP="00A65467">
      <w:pPr>
        <w:pStyle w:val="Title"/>
      </w:pPr>
      <w:r>
        <w:fldChar w:fldCharType="begin"/>
      </w:r>
      <w:r>
        <w:instrText xml:space="preserve"> TITLE   \* MERGEFORMAT </w:instrText>
      </w:r>
      <w:r>
        <w:fldChar w:fldCharType="separate"/>
      </w:r>
      <w:r>
        <w:t>MEM15001B Perform basic statistical quality control</w:t>
      </w:r>
      <w:r>
        <w:fldChar w:fldCharType="end"/>
      </w:r>
    </w:p>
    <w:p w:rsidR="00A65467" w:rsidP="00A65467">
      <w:pPr>
        <w:pStyle w:val="Version"/>
        <w:sectPr w:rsidSect="003E6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FAE" w:rsidP="003E6FAE">
      <w:pPr>
        <w:pStyle w:val="SuperHeading"/>
      </w:pPr>
      <w:r w:rsidRPr="003E6FAE">
        <w:t>MEM15001B Perform basic statistical quality control</w:t>
      </w:r>
    </w:p>
    <w:p w:rsidR="00000000" w:rsidRPr="003E6FAE" w:rsidP="003E6FAE">
      <w:pPr>
        <w:pStyle w:val="Heading1"/>
      </w:pPr>
      <w:bookmarkStart w:id="1" w:name="O_272187"/>
      <w:bookmarkEnd w:id="1"/>
      <w:r w:rsidRPr="003E6FAE">
        <w:t>Modification History</w:t>
      </w:r>
    </w:p>
    <w:p w:rsidR="00000000" w:rsidRPr="003E6FAE" w:rsidP="003E6FAE">
      <w:pPr>
        <w:pStyle w:val="BodyText"/>
      </w:pPr>
      <w:r w:rsidRPr="003E6FAE">
        <w:t>Not Applicable</w:t>
      </w:r>
    </w:p>
    <w:p w:rsidR="00000000" w:rsidRPr="003E6FAE" w:rsidP="003E6FAE">
      <w:pPr>
        <w:pStyle w:val="AllowPageBreak"/>
      </w:pPr>
    </w:p>
    <w:p w:rsidR="00000000" w:rsidRPr="003E6FAE" w:rsidP="003E6FAE">
      <w:pPr>
        <w:pStyle w:val="Heading1"/>
      </w:pPr>
      <w:bookmarkStart w:id="2" w:name="O_211747"/>
      <w:bookmarkEnd w:id="2"/>
      <w:r w:rsidRPr="003E6FAE">
        <w:t>Unit Descriptor</w:t>
      </w:r>
    </w:p>
    <w:tbl>
      <w:tblPr>
        <w:tblW w:w="0" w:type="auto"/>
        <w:tblLayout w:type="fixed"/>
        <w:tblCellMar>
          <w:left w:w="62" w:type="dxa"/>
          <w:right w:w="62" w:type="dxa"/>
        </w:tblCellMar>
        <w:tblLook w:val="0000"/>
      </w:tblPr>
      <w:tblGrid>
        <w:gridCol w:w="2673"/>
        <w:gridCol w:w="5849"/>
      </w:tblGrid>
      <w:tr w:rsidTr="00A6546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This unit covers taking samples and applying a statistical process to monitor production.</w:t>
            </w:r>
          </w:p>
        </w:tc>
      </w:tr>
    </w:tbl>
    <w:p w:rsidR="00A65467" w:rsidP="003E6FAE">
      <w:pPr>
        <w:pStyle w:val="BodyText"/>
      </w:pPr>
    </w:p>
    <w:p w:rsidR="00A65467" w:rsidP="003E6FAE">
      <w:pPr>
        <w:pStyle w:val="BodyText"/>
      </w:pPr>
    </w:p>
    <w:p w:rsidR="00000000" w:rsidRPr="003E6FAE" w:rsidP="003E6FAE">
      <w:pPr>
        <w:pStyle w:val="Heading1"/>
      </w:pPr>
      <w:bookmarkStart w:id="3" w:name="O_211751"/>
      <w:bookmarkEnd w:id="3"/>
      <w:r w:rsidRPr="003E6FAE">
        <w:t>Application of the Unit</w:t>
      </w:r>
    </w:p>
    <w:tbl>
      <w:tblPr>
        <w:tblW w:w="0" w:type="auto"/>
        <w:tblLayout w:type="fixed"/>
        <w:tblCellMar>
          <w:left w:w="62" w:type="dxa"/>
          <w:right w:w="62" w:type="dxa"/>
        </w:tblCellMar>
        <w:tblLook w:val="0000"/>
      </w:tblPr>
      <w:tblGrid>
        <w:gridCol w:w="2745"/>
        <w:gridCol w:w="5777"/>
      </w:tblGrid>
      <w:tr w:rsidTr="00A6546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 xml:space="preserve">This unit applies to the collation and interpretation of statistical data in the context of statistical quality control, for example, tally, run or control charts. Uncontrolled variations are </w:t>
            </w:r>
            <w:r w:rsidRPr="003E6FAE">
              <w:t>reported to appropriate authority.</w:t>
            </w:r>
          </w:p>
          <w:p w:rsidR="00000000" w:rsidRPr="003E6FAE" w:rsidP="003E6FAE">
            <w:pPr>
              <w:pStyle w:val="BodyText"/>
            </w:pPr>
            <w:r w:rsidRPr="003E6FAE">
              <w:t>When the production and interpretation of charts and graphs not dependent on knowledge and understanding of the implications for quality are required, Unit MEM12024A (Perform computations) should be accessed.</w:t>
            </w:r>
          </w:p>
          <w:p w:rsidR="00000000" w:rsidRPr="003E6FAE" w:rsidP="003E6FAE">
            <w:pPr>
              <w:pStyle w:val="BodyText"/>
            </w:pPr>
          </w:p>
          <w:p w:rsidR="00000000" w:rsidRPr="003E6FAE" w:rsidP="003E6FAE">
            <w:pPr>
              <w:pStyle w:val="BodyText"/>
            </w:pPr>
            <w:r w:rsidRPr="003E6FAE">
              <w:rPr>
                <w:rStyle w:val="SpecialBold"/>
              </w:rPr>
              <w:t>Band</w:t>
            </w:r>
            <w:r w:rsidRPr="003E6FAE">
              <w:t>:</w:t>
            </w:r>
            <w:r w:rsidRPr="003E6FAE">
              <w:tab/>
            </w:r>
            <w:r w:rsidRPr="003E6FAE">
              <w:rPr>
                <w:rStyle w:val="SpecialBold"/>
              </w:rPr>
              <w:t>A</w:t>
            </w:r>
          </w:p>
          <w:p w:rsidR="00000000" w:rsidRPr="003E6FAE" w:rsidP="003E6FAE">
            <w:pPr>
              <w:pStyle w:val="BodyText"/>
            </w:pPr>
            <w:r w:rsidRPr="003E6FAE">
              <w:rPr>
                <w:rStyle w:val="SpecialBold"/>
              </w:rPr>
              <w:t>Uni</w:t>
            </w:r>
            <w:r w:rsidRPr="003E6FAE">
              <w:rPr>
                <w:rStyle w:val="SpecialBold"/>
              </w:rPr>
              <w:t>t Weight</w:t>
            </w:r>
            <w:r w:rsidRPr="003E6FAE">
              <w:t>:</w:t>
            </w:r>
            <w:r w:rsidRPr="003E6FAE">
              <w:tab/>
            </w:r>
            <w:r w:rsidRPr="003E6FAE">
              <w:rPr>
                <w:rStyle w:val="SpecialBold"/>
              </w:rPr>
              <w:t>2</w:t>
            </w:r>
          </w:p>
        </w:tc>
      </w:tr>
    </w:tbl>
    <w:p w:rsidR="00A65467" w:rsidP="003E6FAE">
      <w:pPr>
        <w:pStyle w:val="BodyText"/>
      </w:pPr>
    </w:p>
    <w:p w:rsidR="00A65467" w:rsidP="003E6FAE">
      <w:pPr>
        <w:pStyle w:val="BodyText"/>
      </w:pPr>
    </w:p>
    <w:p w:rsidR="00000000" w:rsidRPr="003E6FAE" w:rsidP="003E6FAE">
      <w:pPr>
        <w:pStyle w:val="Heading1"/>
      </w:pPr>
      <w:bookmarkStart w:id="4" w:name="O_280447"/>
      <w:bookmarkEnd w:id="4"/>
      <w:r w:rsidRPr="003E6FAE">
        <w:t>Licensing/Regulatory Information</w:t>
      </w:r>
    </w:p>
    <w:p w:rsidR="00000000" w:rsidRPr="003E6FAE" w:rsidP="003E6FAE">
      <w:pPr>
        <w:pStyle w:val="BodyText"/>
      </w:pPr>
      <w:r w:rsidRPr="003E6FAE">
        <w:t>Not Applicable</w:t>
      </w:r>
    </w:p>
    <w:p w:rsidR="00000000" w:rsidRPr="003E6FAE" w:rsidP="003E6FAE">
      <w:pPr>
        <w:pStyle w:val="AllowPageBreak"/>
      </w:pPr>
    </w:p>
    <w:p w:rsidR="00000000" w:rsidRPr="003E6FAE" w:rsidP="003E6FAE">
      <w:pPr>
        <w:pStyle w:val="Heading1"/>
      </w:pPr>
      <w:bookmarkStart w:id="5" w:name="O_211749"/>
      <w:bookmarkEnd w:id="5"/>
      <w:r w:rsidRPr="003E6FAE">
        <w:t>Pre-Requisites</w:t>
      </w:r>
    </w:p>
    <w:tbl>
      <w:tblPr>
        <w:tblW w:w="0" w:type="auto"/>
        <w:tblLayout w:type="fixed"/>
        <w:tblCellMar>
          <w:left w:w="62" w:type="dxa"/>
          <w:right w:w="62" w:type="dxa"/>
        </w:tblCellMar>
        <w:tblLook w:val="0000"/>
      </w:tblPr>
      <w:tblGrid>
        <w:gridCol w:w="2775"/>
        <w:gridCol w:w="1295"/>
        <w:gridCol w:w="4452"/>
      </w:tblGrid>
      <w:tr w:rsidTr="00A654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p>
        </w:tc>
      </w:tr>
      <w:tr w:rsidTr="00A654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p>
        </w:tc>
      </w:tr>
      <w:tr w:rsidTr="00A654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p>
        </w:tc>
      </w:tr>
    </w:tbl>
    <w:p w:rsidR="00A65467" w:rsidP="003E6FAE">
      <w:pPr>
        <w:pStyle w:val="BodyText"/>
      </w:pPr>
    </w:p>
    <w:p w:rsidR="00A65467" w:rsidP="003E6FAE">
      <w:pPr>
        <w:pStyle w:val="BodyText"/>
      </w:pPr>
    </w:p>
    <w:p w:rsidR="00000000" w:rsidRPr="003E6FAE" w:rsidP="003E6FAE">
      <w:pPr>
        <w:pStyle w:val="Heading1"/>
      </w:pPr>
      <w:bookmarkStart w:id="6" w:name="O_211748"/>
      <w:bookmarkEnd w:id="6"/>
      <w:r w:rsidRPr="003E6FAE">
        <w:t>Employability Skills Information</w:t>
      </w:r>
    </w:p>
    <w:tbl>
      <w:tblPr>
        <w:tblW w:w="0" w:type="auto"/>
        <w:tblLayout w:type="fixed"/>
        <w:tblCellMar>
          <w:left w:w="62" w:type="dxa"/>
          <w:right w:w="62" w:type="dxa"/>
        </w:tblCellMar>
        <w:tblLook w:val="0000"/>
      </w:tblPr>
      <w:tblGrid>
        <w:gridCol w:w="2802"/>
        <w:gridCol w:w="5720"/>
      </w:tblGrid>
      <w:tr w:rsidTr="00A654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This unit contains employability skills.</w:t>
            </w:r>
          </w:p>
        </w:tc>
      </w:tr>
    </w:tbl>
    <w:p w:rsidR="00A65467" w:rsidP="003E6FAE">
      <w:pPr>
        <w:pStyle w:val="BodyText"/>
      </w:pPr>
    </w:p>
    <w:p w:rsidR="00A65467" w:rsidP="003E6FAE">
      <w:pPr>
        <w:pStyle w:val="BodyText"/>
      </w:pPr>
    </w:p>
    <w:p w:rsidR="00000000" w:rsidRPr="003E6FAE" w:rsidP="003E6FAE">
      <w:pPr>
        <w:pStyle w:val="Heading1"/>
      </w:pPr>
      <w:bookmarkStart w:id="7" w:name="O_290233"/>
      <w:bookmarkEnd w:id="7"/>
      <w:r w:rsidRPr="003E6FAE">
        <w:t>Elements and Performance Criteria Pre-Content</w:t>
      </w:r>
    </w:p>
    <w:tbl>
      <w:tblPr>
        <w:tblW w:w="0" w:type="auto"/>
        <w:tblLayout w:type="fixed"/>
        <w:tblCellMar>
          <w:left w:w="62" w:type="dxa"/>
          <w:right w:w="62" w:type="dxa"/>
        </w:tblCellMar>
        <w:tblLook w:val="0000"/>
      </w:tblPr>
      <w:tblGrid>
        <w:gridCol w:w="2549"/>
        <w:gridCol w:w="5973"/>
      </w:tblGrid>
      <w:tr w:rsidTr="00A6546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Performance criteria describe the performance needed to demonstrate achievement of the element. Where bold italicised text i</w:t>
            </w:r>
            <w:r w:rsidRPr="003E6FAE">
              <w:t>s used, further information is detailed in the required skills and knowledge section and the range statement. Assessment of performance is to be consistent with the evidence guide.</w:t>
            </w:r>
          </w:p>
        </w:tc>
      </w:tr>
    </w:tbl>
    <w:p w:rsidR="00000000" w:rsidRPr="003E6FAE" w:rsidP="003E6FAE">
      <w:pPr>
        <w:pStyle w:val="BodyText"/>
      </w:pPr>
    </w:p>
    <w:p w:rsidR="00000000" w:rsidRPr="003E6FAE" w:rsidP="003E6FAE">
      <w:pPr>
        <w:pStyle w:val="AllowPageBreak"/>
      </w:pPr>
    </w:p>
    <w:p w:rsidR="00000000" w:rsidRPr="003E6FAE" w:rsidP="003E6FAE">
      <w:pPr>
        <w:pStyle w:val="Heading1"/>
      </w:pPr>
      <w:bookmarkStart w:id="8" w:name="O_236900"/>
      <w:bookmarkEnd w:id="8"/>
      <w:r w:rsidRPr="003E6FAE">
        <w:t>Elements and Performance Criteria</w:t>
      </w:r>
    </w:p>
    <w:tbl>
      <w:tblPr>
        <w:tblW w:w="0" w:type="auto"/>
        <w:tblLayout w:type="fixed"/>
        <w:tblCellMar>
          <w:left w:w="62" w:type="dxa"/>
          <w:right w:w="62" w:type="dxa"/>
        </w:tblCellMar>
        <w:tblLook w:val="0000"/>
      </w:tblPr>
      <w:tblGrid>
        <w:gridCol w:w="2549"/>
        <w:gridCol w:w="5973"/>
      </w:tblGrid>
      <w:tr w:rsidTr="00A65467">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PERFORMANCE CRITERIA</w:t>
            </w:r>
          </w:p>
        </w:tc>
      </w:tr>
      <w:tr w:rsidTr="00A6546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List"/>
              <w:rPr>
                <w:lang w:val="en-NZ"/>
              </w:rPr>
            </w:pPr>
            <w:r w:rsidRPr="003E6FAE">
              <w:t>1.</w:t>
            </w:r>
            <w:r w:rsidRPr="003E6FAE">
              <w:tab/>
              <w:t>Take samples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List2"/>
              <w:rPr>
                <w:lang w:val="en-NZ"/>
              </w:rPr>
            </w:pPr>
            <w:r w:rsidRPr="003E6FAE">
              <w:t>1.1.</w:t>
            </w:r>
            <w:r w:rsidRPr="003E6FAE">
              <w:tab/>
              <w:t>Difference between population and sample is understood and various sampling schemes are applied in accordance with standard operating procedures.</w:t>
            </w:r>
          </w:p>
        </w:tc>
      </w:tr>
      <w:tr w:rsidTr="00A6546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List"/>
              <w:rPr>
                <w:lang w:val="en-NZ"/>
              </w:rPr>
            </w:pPr>
            <w:r w:rsidRPr="003E6FAE">
              <w:t>2.</w:t>
            </w:r>
            <w:r w:rsidRPr="003E6FAE">
              <w:tab/>
              <w:t>Apply statistical process to monitor production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List2"/>
            </w:pPr>
            <w:r w:rsidRPr="003E6FAE">
              <w:t>2.1.</w:t>
            </w:r>
            <w:r w:rsidRPr="003E6FAE">
              <w:tab/>
              <w:t>Concept of</w:t>
            </w:r>
            <w:r w:rsidRPr="003E6FAE">
              <w:t xml:space="preserve"> variation in terms of average and spread is understood. Data is used to produce relevant statistical information.</w:t>
            </w:r>
          </w:p>
          <w:p w:rsidR="00000000" w:rsidRPr="003E6FAE" w:rsidP="003E6FAE">
            <w:pPr>
              <w:pStyle w:val="List2"/>
            </w:pPr>
            <w:r w:rsidRPr="003E6FAE">
              <w:t>2.2.</w:t>
            </w:r>
            <w:r w:rsidRPr="003E6FAE">
              <w:tab/>
              <w:t>Data is interpreted accurately and information is presented to appropriate authority according to standard operating procedures.</w:t>
            </w:r>
          </w:p>
        </w:tc>
      </w:tr>
    </w:tbl>
    <w:p w:rsidR="00A65467" w:rsidP="003E6FAE">
      <w:pPr>
        <w:pStyle w:val="BodyText"/>
      </w:pPr>
    </w:p>
    <w:p w:rsidR="00A65467" w:rsidP="003E6FAE">
      <w:pPr>
        <w:pStyle w:val="BodyText"/>
      </w:pPr>
    </w:p>
    <w:p w:rsidR="00000000" w:rsidRPr="003E6FAE" w:rsidP="003E6FAE">
      <w:pPr>
        <w:pStyle w:val="Heading1"/>
      </w:pPr>
      <w:bookmarkStart w:id="9" w:name="O_260850"/>
      <w:bookmarkEnd w:id="9"/>
      <w:r w:rsidRPr="003E6FAE">
        <w:t>Required Skills and Knowledge</w:t>
      </w:r>
    </w:p>
    <w:tbl>
      <w:tblPr>
        <w:tblW w:w="0" w:type="auto"/>
        <w:tblLayout w:type="fixed"/>
        <w:tblCellMar>
          <w:left w:w="62" w:type="dxa"/>
          <w:right w:w="62" w:type="dxa"/>
        </w:tblCellMar>
        <w:tblLook w:val="0000"/>
      </w:tblPr>
      <w:tblGrid>
        <w:gridCol w:w="8522"/>
      </w:tblGrid>
      <w:tr w:rsidTr="00A654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REQUIRED SKILLS AND KNOWLEDGE</w:t>
            </w:r>
          </w:p>
        </w:tc>
      </w:tr>
      <w:tr w:rsidTr="00A654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This section describes the skills and knowledge required for this unit.</w:t>
            </w:r>
          </w:p>
        </w:tc>
      </w:tr>
      <w:tr w:rsidTr="00A65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Required skills</w:t>
            </w:r>
          </w:p>
        </w:tc>
      </w:tr>
      <w:tr w:rsidTr="00A65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Look for evidence that confirms skills in:</w:t>
            </w:r>
          </w:p>
          <w:p w:rsidR="00000000" w:rsidRPr="003E6FAE" w:rsidP="003E6FAE">
            <w:pPr>
              <w:pStyle w:val="ListBullet"/>
            </w:pPr>
            <w:r w:rsidRPr="003E6FAE">
              <w:t>reading, interpreting and following information on written job instructions, standard operating procedures, charts, lists, drawings and other applicable reference documents</w:t>
            </w:r>
          </w:p>
          <w:p w:rsidR="00000000" w:rsidRPr="003E6FAE" w:rsidP="003E6FAE">
            <w:pPr>
              <w:pStyle w:val="ListBullet"/>
            </w:pPr>
            <w:r w:rsidRPr="003E6FAE">
              <w:t>applying statistical process control procedures in accordance with instructions to a given production process</w:t>
            </w:r>
          </w:p>
          <w:p w:rsidR="00000000" w:rsidRPr="003E6FAE" w:rsidP="003E6FAE">
            <w:pPr>
              <w:pStyle w:val="ListBullet"/>
            </w:pPr>
            <w:r w:rsidRPr="003E6FAE">
              <w:t>obtaining data from samples including average, range and random or assignable causes</w:t>
            </w:r>
          </w:p>
          <w:p w:rsidR="00000000" w:rsidRPr="003E6FAE" w:rsidP="003E6FAE">
            <w:pPr>
              <w:pStyle w:val="ListBullet"/>
            </w:pPr>
            <w:r w:rsidRPr="003E6FAE">
              <w:t>producing tally, run or control charts from sampling data</w:t>
            </w:r>
          </w:p>
          <w:p w:rsidR="00000000" w:rsidRPr="003E6FAE" w:rsidP="003E6FAE">
            <w:pPr>
              <w:pStyle w:val="ListBullet"/>
            </w:pPr>
            <w:r w:rsidRPr="003E6FAE">
              <w:t>rep</w:t>
            </w:r>
            <w:r w:rsidRPr="003E6FAE">
              <w:t>orting information from sampling data</w:t>
            </w:r>
          </w:p>
          <w:p w:rsidR="00000000" w:rsidRPr="003E6FAE" w:rsidP="003E6FAE">
            <w:pPr>
              <w:pStyle w:val="ListBullet"/>
            </w:pPr>
            <w:r w:rsidRPr="003E6FAE">
              <w:t>checking and clarifying task-related information</w:t>
            </w:r>
          </w:p>
          <w:p w:rsidR="00000000" w:rsidP="003E6FAE">
            <w:pPr>
              <w:pStyle w:val="ListBullet"/>
              <w:rPr>
                <w:lang w:val="en-NZ"/>
              </w:rPr>
            </w:pPr>
            <w:r w:rsidRPr="003E6FAE">
              <w:t>completing proformas and standard workplace forms</w:t>
            </w:r>
          </w:p>
        </w:tc>
      </w:tr>
      <w:tr w:rsidTr="00A65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Required knowledge</w:t>
            </w:r>
          </w:p>
        </w:tc>
      </w:tr>
      <w:tr w:rsidTr="00A654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Look for evidence that confirms knowledge of:</w:t>
            </w:r>
          </w:p>
          <w:p w:rsidR="00000000" w:rsidRPr="003E6FAE" w:rsidP="003E6FAE">
            <w:pPr>
              <w:pStyle w:val="ListBullet"/>
            </w:pPr>
            <w:r w:rsidRPr="003E6FAE">
              <w:t>the difference between population and sample, and t</w:t>
            </w:r>
            <w:r w:rsidRPr="003E6FAE">
              <w:t>he concept of variation in terms of average and range, random and assignable causes</w:t>
            </w:r>
          </w:p>
          <w:p w:rsidR="00000000" w:rsidRPr="003E6FAE" w:rsidP="003E6FAE">
            <w:pPr>
              <w:pStyle w:val="ListBullet"/>
            </w:pPr>
            <w:r w:rsidRPr="003E6FAE">
              <w:t>numerical operations and statistical calculations/formulae within the scope of this unit</w:t>
            </w:r>
          </w:p>
          <w:p w:rsidR="00000000" w:rsidRPr="003E6FAE" w:rsidP="003E6FAE">
            <w:pPr>
              <w:pStyle w:val="ListBullet"/>
            </w:pPr>
            <w:r w:rsidRPr="003E6FAE">
              <w:t>statistical process control procedures, which may include Six Sigma etc. and the sa</w:t>
            </w:r>
            <w:r w:rsidRPr="003E6FAE">
              <w:t>mpling procedures to be followed</w:t>
            </w:r>
          </w:p>
          <w:p w:rsidR="00000000" w:rsidRPr="003E6FAE" w:rsidP="003E6FAE">
            <w:pPr>
              <w:pStyle w:val="ListBullet"/>
            </w:pPr>
            <w:r w:rsidRPr="003E6FAE">
              <w:t>the types of charts that can be produced to assist monitoring of products including run charts, tally charts, histograms, control charts</w:t>
            </w:r>
          </w:p>
          <w:p w:rsidR="00000000" w:rsidRPr="003E6FAE" w:rsidP="003E6FAE">
            <w:pPr>
              <w:pStyle w:val="ListBullet"/>
            </w:pPr>
            <w:r w:rsidRPr="003E6FAE">
              <w:t>procedures for reporting sample data information</w:t>
            </w:r>
          </w:p>
          <w:p w:rsidR="00000000" w:rsidRPr="003E6FAE" w:rsidP="003E6FAE">
            <w:pPr>
              <w:pStyle w:val="ListBullet"/>
            </w:pPr>
            <w:r w:rsidRPr="003E6FAE">
              <w:t>use and application of personal protective equipment</w:t>
            </w:r>
          </w:p>
          <w:p w:rsidR="00000000" w:rsidRPr="003E6FAE" w:rsidP="003E6FAE">
            <w:pPr>
              <w:pStyle w:val="ListBullet"/>
            </w:pPr>
            <w:r w:rsidRPr="003E6FAE">
              <w:t>safe work practices and procedures</w:t>
            </w:r>
          </w:p>
        </w:tc>
      </w:tr>
    </w:tbl>
    <w:p w:rsidR="00A65467" w:rsidP="003E6FAE">
      <w:pPr>
        <w:pStyle w:val="BodyText"/>
      </w:pPr>
    </w:p>
    <w:p w:rsidR="00A65467" w:rsidP="003E6FAE">
      <w:pPr>
        <w:pStyle w:val="BodyText"/>
      </w:pPr>
    </w:p>
    <w:p w:rsidR="00000000" w:rsidRPr="003E6FAE" w:rsidP="003E6FAE">
      <w:pPr>
        <w:pStyle w:val="AllowPageBreak"/>
      </w:pPr>
    </w:p>
    <w:p w:rsidR="00000000" w:rsidRPr="003E6FAE" w:rsidP="003E6FAE">
      <w:pPr>
        <w:pStyle w:val="Heading1"/>
      </w:pPr>
      <w:bookmarkStart w:id="10" w:name="O_244884"/>
      <w:bookmarkEnd w:id="10"/>
      <w:r w:rsidRPr="003E6FAE">
        <w:t>Evidence Guide</w:t>
      </w:r>
    </w:p>
    <w:tbl>
      <w:tblPr>
        <w:tblW w:w="9570" w:type="dxa"/>
        <w:tblLayout w:type="fixed"/>
        <w:tblCellMar>
          <w:left w:w="62" w:type="dxa"/>
          <w:right w:w="62" w:type="dxa"/>
        </w:tblCellMar>
        <w:tblLook w:val="0000"/>
      </w:tblPr>
      <w:tblGrid>
        <w:gridCol w:w="3908"/>
        <w:gridCol w:w="5662"/>
      </w:tblGrid>
      <w:tr w:rsidTr="00A654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EVIDENCE GUIDE</w:t>
            </w:r>
          </w:p>
        </w:tc>
      </w:tr>
      <w:tr w:rsidTr="00A654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The evidence guide provides advice on assessment and must be read in conjunction with the performance criteria, required skills and knowledge, range statement and the Assessment Guidelines for the Training Package.</w:t>
            </w:r>
          </w:p>
        </w:tc>
      </w:tr>
      <w:tr w:rsidTr="00A65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 xml:space="preserve">A person who demonstrates competency in this unit must be able to perform basic statistical quality control. </w:t>
            </w:r>
          </w:p>
        </w:tc>
      </w:tr>
      <w:tr w:rsidTr="00A65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Assessors must be satisfied that the candidate can c</w:t>
            </w:r>
            <w:r w:rsidRPr="003E6FAE">
              <w:t>ompetently and consistently perform all elements of the unit as specified by the criteria, including required knowledge, and be capable of applying the competency in new and different situations and contexts.</w:t>
            </w:r>
          </w:p>
        </w:tc>
      </w:tr>
      <w:tr w:rsidTr="00A65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Context of and specific resources for assessme</w:t>
            </w:r>
            <w:r w:rsidRPr="003E6FAE">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This unit may be assessed on the job, off the job or a combination of both on and off the job. Where assessment occurs off the job, that is the candidate is not in productive work, then an appropriate simulation must be used where the range of condition</w:t>
            </w:r>
            <w:r w:rsidRPr="003E6FAE">
              <w:t xml:space="preserve">s reflects realistic workplace situations. The competencies covered by this unit would be demonstrated by an individual working alone or as part of a team. The assessment environment should not disadvantage the candidate. </w:t>
            </w:r>
          </w:p>
          <w:p w:rsidR="00000000" w:rsidP="003E6FAE">
            <w:pPr>
              <w:pStyle w:val="BodyText"/>
              <w:rPr>
                <w:lang w:val="en-NZ"/>
              </w:rPr>
            </w:pPr>
            <w:r w:rsidRPr="003E6FAE">
              <w:t>This unit could be assessed in co</w:t>
            </w:r>
            <w:r w:rsidRPr="003E6FAE">
              <w:t>njunction with any other units addressing the safety, quality, communication, materials handling, recording and reporting associated with performing basic statistical quality control or other units requiring the exercise of the skills and knowledge covered</w:t>
            </w:r>
            <w:r w:rsidRPr="003E6FAE">
              <w:t xml:space="preserve"> by this unit.</w:t>
            </w:r>
          </w:p>
        </w:tc>
      </w:tr>
      <w:tr w:rsidTr="00A65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 xml:space="preserve">Assessors should gather a range of evidence that is valid, sufficient, current and authentic. Evidence can be gathered through a variety of ways including direct observation, supervisor's reports, project work, samples </w:t>
            </w:r>
            <w:r w:rsidRPr="003E6FAE">
              <w:t xml:space="preserve">and questioning. Questioning techniques should not require language, literacy and numeracy skills beyond those required in this unit of competency. The candidate must have access to all tools, equipment, materials and documentation required. The candidate </w:t>
            </w:r>
            <w:r w:rsidRPr="003E6FAE">
              <w:t>must be permitted to refer to any relevant workplace procedures, product and manufacturing specifications, codes, standards, manuals and reference materials.</w:t>
            </w:r>
          </w:p>
        </w:tc>
      </w:tr>
      <w:tr w:rsidTr="00A654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p>
        </w:tc>
      </w:tr>
    </w:tbl>
    <w:p w:rsidR="00A65467" w:rsidP="003E6FAE">
      <w:pPr>
        <w:pStyle w:val="BodyText"/>
      </w:pPr>
    </w:p>
    <w:p w:rsidR="00A65467" w:rsidP="003E6FAE">
      <w:pPr>
        <w:pStyle w:val="BodyText"/>
      </w:pPr>
    </w:p>
    <w:p w:rsidR="00000000" w:rsidRPr="003E6FAE" w:rsidP="003E6FAE">
      <w:pPr>
        <w:pStyle w:val="Heading1"/>
      </w:pPr>
      <w:bookmarkStart w:id="11" w:name="O_252867"/>
      <w:bookmarkEnd w:id="11"/>
      <w:r w:rsidRPr="003E6FAE">
        <w:t>Range Statement</w:t>
      </w:r>
    </w:p>
    <w:tbl>
      <w:tblPr>
        <w:tblW w:w="0" w:type="auto"/>
        <w:tblLayout w:type="fixed"/>
        <w:tblCellMar>
          <w:left w:w="62" w:type="dxa"/>
          <w:right w:w="62" w:type="dxa"/>
        </w:tblCellMar>
        <w:tblLook w:val="0000"/>
      </w:tblPr>
      <w:tblGrid>
        <w:gridCol w:w="3525"/>
        <w:gridCol w:w="4997"/>
      </w:tblGrid>
      <w:tr w:rsidTr="00A654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RANGE STATEMENT</w:t>
            </w:r>
          </w:p>
        </w:tc>
      </w:tr>
      <w:tr w:rsidTr="00A654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The range statement relates to the unit of competency as a whole. It allows for different work environments and situations that may affect performance. Bold italicised wording, if used in the performance criteria, is detailed below. Essential operating con</w:t>
            </w:r>
            <w:r w:rsidRPr="003E6FAE">
              <w:t>ditions that may be present with training and assessment (depending on the work situation, needs of the candidate, accessibility of the item, and local industry and regional contexts) may also be included.</w:t>
            </w:r>
          </w:p>
        </w:tc>
      </w:tr>
      <w:tr w:rsidTr="00A654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Sampling schemes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t>Agreed customer plans, Acceptab</w:t>
            </w:r>
            <w:r w:rsidRPr="003E6FAE">
              <w:t xml:space="preserve">le Quality Level (AQL) and Average Outgoing Quality Level (AOQL) plans, Shainin, Six Sigma etc. </w:t>
            </w:r>
          </w:p>
        </w:tc>
      </w:tr>
      <w:tr w:rsidTr="00A65467">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Relevant statistical information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Average, range and process control data and the plotting of charts such as line graphs, run charts, tally charts, h</w:t>
            </w:r>
            <w:r w:rsidRPr="003E6FAE">
              <w:t>istograms, control charts, random and assignable causes etc.</w:t>
            </w:r>
          </w:p>
        </w:tc>
      </w:tr>
    </w:tbl>
    <w:p w:rsidR="00A65467" w:rsidP="003E6FAE">
      <w:pPr>
        <w:pStyle w:val="BodyText"/>
      </w:pPr>
    </w:p>
    <w:p w:rsidR="00A65467" w:rsidP="003E6FAE">
      <w:pPr>
        <w:pStyle w:val="BodyText"/>
      </w:pPr>
    </w:p>
    <w:p w:rsidR="00000000" w:rsidRPr="003E6FAE" w:rsidP="003E6FAE">
      <w:pPr>
        <w:pStyle w:val="Heading1"/>
      </w:pPr>
      <w:bookmarkStart w:id="12" w:name="O_211753"/>
      <w:bookmarkEnd w:id="12"/>
      <w:r w:rsidRPr="003E6FAE">
        <w:t>Unit Sector(s)</w:t>
      </w:r>
    </w:p>
    <w:tbl>
      <w:tblPr>
        <w:tblW w:w="0" w:type="auto"/>
        <w:tblLayout w:type="fixed"/>
        <w:tblCellMar>
          <w:left w:w="62" w:type="dxa"/>
          <w:right w:w="62" w:type="dxa"/>
        </w:tblCellMar>
        <w:tblLook w:val="0000"/>
      </w:tblPr>
      <w:tblGrid>
        <w:gridCol w:w="2654"/>
        <w:gridCol w:w="5868"/>
      </w:tblGrid>
      <w:tr w:rsidTr="00A654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p>
        </w:tc>
      </w:tr>
    </w:tbl>
    <w:p w:rsidR="00A65467" w:rsidP="003E6FAE">
      <w:pPr>
        <w:pStyle w:val="BodyText"/>
      </w:pPr>
    </w:p>
    <w:p w:rsidR="00A65467" w:rsidP="003E6FAE">
      <w:pPr>
        <w:pStyle w:val="BodyText"/>
      </w:pPr>
    </w:p>
    <w:p w:rsidR="00000000" w:rsidRPr="003E6FAE" w:rsidP="003E6FAE">
      <w:pPr>
        <w:pStyle w:val="Heading1"/>
      </w:pPr>
      <w:bookmarkStart w:id="13" w:name="O_211750"/>
      <w:bookmarkEnd w:id="13"/>
      <w:r w:rsidRPr="003E6FAE">
        <w:t>Co-requisite units</w:t>
      </w:r>
    </w:p>
    <w:tbl>
      <w:tblPr>
        <w:tblW w:w="0" w:type="auto"/>
        <w:tblLayout w:type="fixed"/>
        <w:tblCellMar>
          <w:left w:w="62" w:type="dxa"/>
          <w:right w:w="62" w:type="dxa"/>
        </w:tblCellMar>
        <w:tblLook w:val="0000"/>
      </w:tblPr>
      <w:tblGrid>
        <w:gridCol w:w="2641"/>
        <w:gridCol w:w="1322"/>
        <w:gridCol w:w="4559"/>
      </w:tblGrid>
      <w:tr w:rsidTr="00A654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p>
        </w:tc>
      </w:tr>
      <w:tr w:rsidTr="00A654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p>
        </w:tc>
      </w:tr>
      <w:tr w:rsidTr="00A654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p>
        </w:tc>
      </w:tr>
    </w:tbl>
    <w:p w:rsidR="00A65467" w:rsidP="003E6FAE">
      <w:pPr>
        <w:pStyle w:val="BodyText"/>
      </w:pPr>
    </w:p>
    <w:p w:rsidR="00A65467" w:rsidP="003E6FAE">
      <w:pPr>
        <w:pStyle w:val="BodyText"/>
      </w:pPr>
    </w:p>
    <w:p w:rsidR="00000000" w:rsidRPr="003E6FAE" w:rsidP="003E6FAE">
      <w:pPr>
        <w:pStyle w:val="Heading1"/>
      </w:pPr>
      <w:bookmarkStart w:id="14" w:name="O_211752"/>
      <w:bookmarkEnd w:id="14"/>
      <w:r w:rsidRPr="003E6FAE">
        <w:t>Competency field</w:t>
      </w:r>
    </w:p>
    <w:tbl>
      <w:tblPr>
        <w:tblW w:w="0" w:type="auto"/>
        <w:tblLayout w:type="fixed"/>
        <w:tblCellMar>
          <w:left w:w="62" w:type="dxa"/>
          <w:right w:w="62" w:type="dxa"/>
        </w:tblCellMar>
        <w:tblLook w:val="0000"/>
      </w:tblPr>
      <w:tblGrid>
        <w:gridCol w:w="2778"/>
        <w:gridCol w:w="5744"/>
      </w:tblGrid>
      <w:tr w:rsidTr="00A6546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FAE">
            <w:pPr>
              <w:pStyle w:val="BodyText"/>
              <w:rPr>
                <w:lang w:val="en-NZ"/>
              </w:rPr>
            </w:pPr>
            <w:r w:rsidRPr="003E6FA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FAE" w:rsidP="003E6FAE">
            <w:pPr>
              <w:pStyle w:val="BodyText"/>
            </w:pPr>
            <w:r w:rsidRPr="003E6FAE">
              <w:t>Quality</w:t>
            </w:r>
          </w:p>
        </w:tc>
      </w:tr>
    </w:tbl>
    <w:p w:rsidR="00A65467" w:rsidP="003E6FAE">
      <w:pPr>
        <w:pStyle w:val="BodyText"/>
      </w:pPr>
    </w:p>
    <w:p w:rsidR="00A65467" w:rsidP="003E6FAE">
      <w:pPr>
        <w:pStyle w:val="BodyText"/>
      </w:pPr>
    </w:p>
    <w:p w:rsidR="00000000" w:rsidRPr="003E6FAE" w:rsidP="003E6FAE"/>
    <w:sectPr w:rsidSect="003E6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467" w:rsidP="00A65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67" w:rsidP="003E6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5467" w:rsidP="003E6F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5467" w:rsidP="003E6F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467" w:rsidP="00A654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67" w:rsidP="003E6FAE">
    <w:pPr>
      <w:pStyle w:val="Header"/>
      <w:framePr w:wrap="around"/>
    </w:pPr>
    <w:r>
      <w:fldChar w:fldCharType="begin"/>
    </w:r>
    <w:r>
      <w:instrText xml:space="preserve"> TITLE   \* MERGEFORMAT </w:instrText>
    </w:r>
    <w:r>
      <w:fldChar w:fldCharType="separate"/>
    </w:r>
    <w:r>
      <w:t>MEM15001B Perform basic statistical quality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467" w:rsidP="003E6F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289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86EC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F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FAE"/>
    <w:pPr>
      <w:spacing w:before="360" w:after="60"/>
      <w:outlineLvl w:val="0"/>
    </w:pPr>
    <w:rPr>
      <w:sz w:val="32"/>
    </w:rPr>
  </w:style>
  <w:style w:type="paragraph" w:styleId="Heading2">
    <w:name w:val="heading 2"/>
    <w:basedOn w:val="HeadingBase"/>
    <w:next w:val="BodyText"/>
    <w:link w:val="Heading2Char"/>
    <w:qFormat/>
    <w:rsid w:val="003E6FAE"/>
    <w:pPr>
      <w:keepLines/>
      <w:spacing w:before="240" w:after="120"/>
      <w:outlineLvl w:val="1"/>
    </w:pPr>
    <w:rPr>
      <w:sz w:val="28"/>
      <w:szCs w:val="40"/>
    </w:rPr>
  </w:style>
  <w:style w:type="paragraph" w:styleId="Heading3">
    <w:name w:val="heading 3"/>
    <w:basedOn w:val="HeadingBase"/>
    <w:next w:val="BodyText"/>
    <w:link w:val="Heading3Char"/>
    <w:qFormat/>
    <w:rsid w:val="003E6FAE"/>
    <w:pPr>
      <w:spacing w:before="180" w:after="120"/>
      <w:outlineLvl w:val="2"/>
    </w:pPr>
    <w:rPr>
      <w:spacing w:val="-10"/>
      <w:kern w:val="32"/>
    </w:rPr>
  </w:style>
  <w:style w:type="paragraph" w:styleId="Heading4">
    <w:name w:val="heading 4"/>
    <w:basedOn w:val="HeadingBase"/>
    <w:next w:val="BodyText"/>
    <w:link w:val="Heading4Char"/>
    <w:qFormat/>
    <w:rsid w:val="003E6FAE"/>
    <w:pPr>
      <w:spacing w:before="160" w:after="120"/>
      <w:outlineLvl w:val="3"/>
    </w:pPr>
    <w:rPr>
      <w:sz w:val="22"/>
    </w:rPr>
  </w:style>
  <w:style w:type="paragraph" w:styleId="Heading5">
    <w:name w:val="heading 5"/>
    <w:basedOn w:val="HeadingBase"/>
    <w:next w:val="Normal"/>
    <w:link w:val="Heading5Char"/>
    <w:qFormat/>
    <w:rsid w:val="003E6FAE"/>
    <w:pPr>
      <w:spacing w:before="80"/>
      <w:outlineLvl w:val="4"/>
    </w:pPr>
    <w:rPr>
      <w:color w:val="918585"/>
      <w:sz w:val="20"/>
    </w:rPr>
  </w:style>
  <w:style w:type="paragraph" w:styleId="Heading6">
    <w:name w:val="heading 6"/>
    <w:basedOn w:val="HeadingBase"/>
    <w:next w:val="Normal"/>
    <w:link w:val="Heading6Char"/>
    <w:qFormat/>
    <w:rsid w:val="003E6FAE"/>
    <w:pPr>
      <w:spacing w:before="60"/>
      <w:outlineLvl w:val="5"/>
    </w:pPr>
    <w:rPr>
      <w:color w:val="918585"/>
      <w:sz w:val="20"/>
    </w:rPr>
  </w:style>
  <w:style w:type="paragraph" w:styleId="Heading7">
    <w:name w:val="heading 7"/>
    <w:basedOn w:val="Normal"/>
    <w:next w:val="Normal"/>
    <w:link w:val="Heading7Char"/>
    <w:qFormat/>
    <w:rsid w:val="003E6FAE"/>
    <w:pPr>
      <w:ind w:left="720"/>
      <w:outlineLvl w:val="6"/>
    </w:pPr>
    <w:rPr>
      <w:i/>
    </w:rPr>
  </w:style>
  <w:style w:type="paragraph" w:styleId="Heading8">
    <w:name w:val="heading 8"/>
    <w:basedOn w:val="Normal"/>
    <w:next w:val="Normal"/>
    <w:link w:val="Heading8Char"/>
    <w:qFormat/>
    <w:rsid w:val="003E6FAE"/>
    <w:pPr>
      <w:ind w:left="720"/>
      <w:outlineLvl w:val="7"/>
    </w:pPr>
    <w:rPr>
      <w:i/>
    </w:rPr>
  </w:style>
  <w:style w:type="paragraph" w:styleId="Heading9">
    <w:name w:val="heading 9"/>
    <w:basedOn w:val="Normal"/>
    <w:next w:val="Normal"/>
    <w:link w:val="Heading9Char"/>
    <w:qFormat/>
    <w:rsid w:val="003E6FAE"/>
    <w:pPr>
      <w:ind w:left="720"/>
      <w:outlineLvl w:val="8"/>
    </w:pPr>
    <w:rPr>
      <w:i/>
    </w:rPr>
  </w:style>
  <w:style w:type="character" w:default="1" w:styleId="DefaultParagraphFont">
    <w:name w:val="Default Paragraph Font"/>
    <w:uiPriority w:val="1"/>
    <w:unhideWhenUsed/>
    <w:rsid w:val="003E6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FAE"/>
  </w:style>
  <w:style w:type="character" w:customStyle="1" w:styleId="Heading1Char">
    <w:name w:val="Heading 1 Char"/>
    <w:basedOn w:val="DefaultParagraphFont"/>
    <w:link w:val="Heading1"/>
    <w:rsid w:val="003E6FAE"/>
    <w:rPr>
      <w:rFonts w:ascii="Times New Roman" w:eastAsia="Times New Roman" w:hAnsi="Times New Roman" w:cs="Times New Roman"/>
      <w:b/>
      <w:sz w:val="32"/>
      <w:szCs w:val="20"/>
      <w:lang w:eastAsia="en-US"/>
    </w:rPr>
  </w:style>
  <w:style w:type="paragraph" w:styleId="BodyText">
    <w:name w:val="Body Text"/>
    <w:basedOn w:val="Normal"/>
    <w:link w:val="BodyTextChar"/>
    <w:rsid w:val="003E6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FAE"/>
    <w:rPr>
      <w:rFonts w:ascii="Times New Roman" w:eastAsia="Times New Roman" w:hAnsi="Times New Roman" w:cs="Times New Roman"/>
      <w:sz w:val="24"/>
      <w:lang w:val="en-US" w:eastAsia="en-US"/>
    </w:rPr>
  </w:style>
  <w:style w:type="paragraph" w:styleId="Footer">
    <w:name w:val="footer"/>
    <w:basedOn w:val="Normal"/>
    <w:link w:val="FooterChar"/>
    <w:rsid w:val="003E6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FAE"/>
    <w:rPr>
      <w:rFonts w:ascii="Times New Roman" w:eastAsia="Times New Roman" w:hAnsi="Times New Roman" w:cs="Times New Roman"/>
      <w:sz w:val="16"/>
      <w:lang w:val="en-US" w:eastAsia="en-US"/>
    </w:rPr>
  </w:style>
  <w:style w:type="paragraph" w:styleId="List">
    <w:name w:val="List"/>
    <w:basedOn w:val="BodyText"/>
    <w:next w:val="BodyText"/>
    <w:rsid w:val="003E6FAE"/>
    <w:pPr>
      <w:tabs>
        <w:tab w:val="left" w:pos="340"/>
      </w:tabs>
      <w:spacing w:before="60" w:after="60"/>
      <w:ind w:left="340" w:hanging="340"/>
    </w:pPr>
  </w:style>
  <w:style w:type="paragraph" w:styleId="ListBullet">
    <w:name w:val="List Bullet"/>
    <w:basedOn w:val="List"/>
    <w:rsid w:val="003E6FAE"/>
    <w:pPr>
      <w:numPr>
        <w:numId w:val="12"/>
      </w:numPr>
      <w:tabs>
        <w:tab w:val="clear" w:pos="340"/>
      </w:tabs>
      <w:spacing w:before="40" w:after="40"/>
    </w:pPr>
  </w:style>
  <w:style w:type="character" w:customStyle="1" w:styleId="SpecialBold">
    <w:name w:val="Special Bold"/>
    <w:basedOn w:val="DefaultParagraphFont"/>
    <w:rsid w:val="003E6FAE"/>
    <w:rPr>
      <w:b/>
      <w:spacing w:val="0"/>
    </w:rPr>
  </w:style>
  <w:style w:type="paragraph" w:styleId="Header">
    <w:name w:val="header"/>
    <w:basedOn w:val="Normal"/>
    <w:link w:val="HeaderChar"/>
    <w:rsid w:val="003E6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F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FAE"/>
    <w:pPr>
      <w:spacing w:before="240" w:after="120"/>
      <w:outlineLvl w:val="0"/>
    </w:pPr>
    <w:rPr>
      <w:rFonts w:ascii="Times New Roman" w:hAnsi="Times New Roman"/>
      <w:b/>
      <w:sz w:val="28"/>
    </w:rPr>
  </w:style>
  <w:style w:type="paragraph" w:customStyle="1" w:styleId="AllowPageBreak">
    <w:name w:val="AllowPageBreak"/>
    <w:rsid w:val="003E6F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FAE"/>
    <w:pPr>
      <w:tabs>
        <w:tab w:val="left" w:pos="680"/>
      </w:tabs>
      <w:spacing w:before="60" w:after="60"/>
      <w:ind w:left="680" w:hanging="340"/>
    </w:pPr>
  </w:style>
  <w:style w:type="character" w:customStyle="1" w:styleId="Heading2Char">
    <w:name w:val="Heading 2 Char"/>
    <w:basedOn w:val="DefaultParagraphFont"/>
    <w:link w:val="Heading2"/>
    <w:rsid w:val="003E6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F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F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FAE"/>
    <w:rPr>
      <w:rFonts w:ascii="Courier New" w:eastAsia="Times New Roman" w:hAnsi="Courier New" w:cs="Times New Roman"/>
      <w:i/>
      <w:szCs w:val="20"/>
      <w:lang w:val="en-US" w:eastAsia="en-US"/>
    </w:rPr>
  </w:style>
  <w:style w:type="paragraph" w:customStyle="1" w:styleId="HeadingBase">
    <w:name w:val="Heading Base"/>
    <w:rsid w:val="003E6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FAE"/>
    <w:pPr>
      <w:tabs>
        <w:tab w:val="right" w:leader="dot" w:pos="9072"/>
      </w:tabs>
      <w:ind w:left="567"/>
    </w:pPr>
    <w:rPr>
      <w:szCs w:val="22"/>
    </w:rPr>
  </w:style>
  <w:style w:type="paragraph" w:customStyle="1" w:styleId="TOCBase">
    <w:name w:val="TOC Base"/>
    <w:rsid w:val="003E6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FAE"/>
    <w:pPr>
      <w:tabs>
        <w:tab w:val="right" w:leader="dot" w:pos="9072"/>
      </w:tabs>
      <w:spacing w:before="40" w:after="40"/>
      <w:ind w:left="284"/>
    </w:pPr>
    <w:rPr>
      <w:rFonts w:ascii="Times New Roman" w:hAnsi="Times New Roman"/>
    </w:rPr>
  </w:style>
  <w:style w:type="paragraph" w:styleId="TOC1">
    <w:name w:val="toc 1"/>
    <w:basedOn w:val="TOCBase"/>
    <w:next w:val="Normal"/>
    <w:rsid w:val="003E6F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FAE"/>
    <w:pPr>
      <w:spacing w:before="5040"/>
      <w:jc w:val="center"/>
    </w:pPr>
    <w:rPr>
      <w:sz w:val="48"/>
      <w:szCs w:val="72"/>
      <w:lang w:val="en-US"/>
    </w:rPr>
  </w:style>
  <w:style w:type="character" w:customStyle="1" w:styleId="TitleChar">
    <w:name w:val="Title Char"/>
    <w:basedOn w:val="DefaultParagraphFont"/>
    <w:link w:val="Title"/>
    <w:rsid w:val="003E6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FAE"/>
    <w:pPr>
      <w:tabs>
        <w:tab w:val="left" w:pos="3600"/>
        <w:tab w:val="left" w:pos="3958"/>
      </w:tabs>
    </w:pPr>
  </w:style>
  <w:style w:type="paragraph" w:customStyle="1" w:styleId="Note">
    <w:name w:val="Note"/>
    <w:basedOn w:val="BodyText"/>
    <w:rsid w:val="003E6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FAE"/>
    <w:pPr>
      <w:framePr w:wrap="auto" w:hAnchor="text" w:y="6049"/>
    </w:pPr>
    <w:rPr>
      <w:color w:val="000000"/>
      <w:sz w:val="40"/>
    </w:rPr>
  </w:style>
  <w:style w:type="paragraph" w:customStyle="1" w:styleId="TOCTitle">
    <w:name w:val="TOCTitle"/>
    <w:basedOn w:val="Heading1"/>
    <w:rsid w:val="003E6FAE"/>
    <w:pPr>
      <w:spacing w:after="240"/>
      <w:jc w:val="center"/>
      <w:outlineLvl w:val="9"/>
    </w:pPr>
    <w:rPr>
      <w:caps/>
    </w:rPr>
  </w:style>
  <w:style w:type="paragraph" w:customStyle="1" w:styleId="Version">
    <w:name w:val="Version"/>
    <w:rsid w:val="003E6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FAE"/>
    <w:pPr>
      <w:numPr>
        <w:numId w:val="13"/>
      </w:numPr>
      <w:tabs>
        <w:tab w:val="clear" w:pos="680"/>
      </w:tabs>
    </w:pPr>
  </w:style>
  <w:style w:type="paragraph" w:styleId="Index1">
    <w:name w:val="index 1"/>
    <w:basedOn w:val="Normal"/>
    <w:next w:val="Normal"/>
    <w:semiHidden/>
    <w:rsid w:val="003E6FAE"/>
    <w:pPr>
      <w:keepNext w:val="0"/>
      <w:tabs>
        <w:tab w:val="right" w:pos="4176"/>
      </w:tabs>
      <w:ind w:left="198" w:hanging="198"/>
    </w:pPr>
    <w:rPr>
      <w:rFonts w:ascii="Garamond" w:hAnsi="Garamond"/>
    </w:rPr>
  </w:style>
  <w:style w:type="paragraph" w:styleId="IndexHeading">
    <w:name w:val="index heading"/>
    <w:basedOn w:val="Normal"/>
    <w:next w:val="Index1"/>
    <w:semiHidden/>
    <w:rsid w:val="003E6FAE"/>
    <w:pPr>
      <w:spacing w:before="120" w:after="120"/>
    </w:pPr>
    <w:rPr>
      <w:rFonts w:ascii="Arial" w:hAnsi="Arial"/>
      <w:b/>
      <w:color w:val="918585"/>
      <w:sz w:val="24"/>
    </w:rPr>
  </w:style>
  <w:style w:type="paragraph" w:customStyle="1" w:styleId="Chapter">
    <w:name w:val="Chapter"/>
    <w:basedOn w:val="Normal"/>
    <w:rsid w:val="003E6FAE"/>
    <w:pPr>
      <w:spacing w:before="240"/>
    </w:pPr>
    <w:rPr>
      <w:rFonts w:ascii="Times New Roman" w:hAnsi="Times New Roman"/>
      <w:smallCaps/>
      <w:spacing w:val="80"/>
      <w:sz w:val="28"/>
    </w:rPr>
  </w:style>
  <w:style w:type="paragraph" w:customStyle="1" w:styleId="InChapter">
    <w:name w:val="InChapter"/>
    <w:basedOn w:val="Heading3"/>
    <w:rsid w:val="003E6FAE"/>
    <w:pPr>
      <w:spacing w:after="240"/>
      <w:outlineLvl w:val="9"/>
    </w:pPr>
    <w:rPr>
      <w:noProof/>
    </w:rPr>
  </w:style>
  <w:style w:type="paragraph" w:styleId="Index2">
    <w:name w:val="index 2"/>
    <w:basedOn w:val="Normal"/>
    <w:next w:val="Normal"/>
    <w:semiHidden/>
    <w:rsid w:val="003E6FAE"/>
    <w:pPr>
      <w:tabs>
        <w:tab w:val="right" w:pos="4176"/>
      </w:tabs>
      <w:ind w:left="568" w:hanging="284"/>
    </w:pPr>
    <w:rPr>
      <w:rFonts w:ascii="Garamond" w:hAnsi="Garamond"/>
    </w:rPr>
  </w:style>
  <w:style w:type="paragraph" w:customStyle="1" w:styleId="Byline">
    <w:name w:val="Byline"/>
    <w:rsid w:val="003E6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FAE"/>
    <w:pPr>
      <w:tabs>
        <w:tab w:val="clear" w:pos="3600"/>
        <w:tab w:val="clear" w:pos="3958"/>
      </w:tabs>
      <w:jc w:val="right"/>
    </w:pPr>
  </w:style>
  <w:style w:type="character" w:styleId="Emphasis">
    <w:name w:val="Emphasis"/>
    <w:basedOn w:val="DefaultParagraphFont"/>
    <w:qFormat/>
    <w:rsid w:val="003E6FAE"/>
    <w:rPr>
      <w:i/>
    </w:rPr>
  </w:style>
  <w:style w:type="paragraph" w:styleId="Caption">
    <w:name w:val="caption"/>
    <w:basedOn w:val="BodyText"/>
    <w:next w:val="Normal"/>
    <w:qFormat/>
    <w:rsid w:val="003E6FAE"/>
    <w:pPr>
      <w:framePr w:w="2268" w:hSpace="181" w:vSpace="181" w:wrap="around" w:vAnchor="text" w:hAnchor="page" w:x="1135" w:y="285" w:anchorLock="1"/>
    </w:pPr>
    <w:rPr>
      <w:i/>
    </w:rPr>
  </w:style>
  <w:style w:type="paragraph" w:customStyle="1" w:styleId="MiniTOCTitle">
    <w:name w:val="MiniTOCTitle"/>
    <w:basedOn w:val="Heading4"/>
    <w:rsid w:val="003E6FAE"/>
    <w:pPr>
      <w:spacing w:before="240"/>
      <w:outlineLvl w:val="9"/>
    </w:pPr>
    <w:rPr>
      <w:noProof/>
      <w:sz w:val="24"/>
    </w:rPr>
  </w:style>
  <w:style w:type="paragraph" w:customStyle="1" w:styleId="MiniTOCItem">
    <w:name w:val="MiniTOCItem"/>
    <w:basedOn w:val="ListBullet"/>
    <w:rsid w:val="003E6FAE"/>
    <w:pPr>
      <w:numPr>
        <w:numId w:val="0"/>
      </w:numPr>
      <w:tabs>
        <w:tab w:val="right" w:leader="dot" w:pos="6521"/>
      </w:tabs>
      <w:spacing w:before="0" w:after="0"/>
    </w:pPr>
  </w:style>
  <w:style w:type="paragraph" w:customStyle="1" w:styleId="TOFTitle">
    <w:name w:val="TOFTitle"/>
    <w:basedOn w:val="TOCTitle"/>
    <w:rsid w:val="003E6FAE"/>
  </w:style>
  <w:style w:type="paragraph" w:styleId="TableofFigures">
    <w:name w:val="table of figures"/>
    <w:basedOn w:val="Normal"/>
    <w:next w:val="Normal"/>
    <w:semiHidden/>
    <w:rsid w:val="003E6FAE"/>
    <w:pPr>
      <w:tabs>
        <w:tab w:val="right" w:leader="dot" w:pos="9072"/>
      </w:tabs>
      <w:ind w:left="970" w:hanging="403"/>
    </w:pPr>
    <w:rPr>
      <w:rFonts w:ascii="Times New Roman" w:hAnsi="Times New Roman"/>
      <w:b/>
    </w:rPr>
  </w:style>
  <w:style w:type="paragraph" w:styleId="ListNumber">
    <w:name w:val="List Number"/>
    <w:basedOn w:val="List"/>
    <w:rsid w:val="003E6FAE"/>
    <w:pPr>
      <w:numPr>
        <w:numId w:val="10"/>
      </w:numPr>
    </w:pPr>
  </w:style>
  <w:style w:type="character" w:customStyle="1" w:styleId="WingdingSymbols">
    <w:name w:val="Wingding Symbols"/>
    <w:rsid w:val="003E6FAE"/>
    <w:rPr>
      <w:rFonts w:ascii="Wingdings" w:hAnsi="Wingdings"/>
    </w:rPr>
  </w:style>
  <w:style w:type="paragraph" w:customStyle="1" w:styleId="TableHeading">
    <w:name w:val="Table Heading"/>
    <w:basedOn w:val="HeadingBase"/>
    <w:rsid w:val="003E6FAE"/>
    <w:pPr>
      <w:keepLines/>
      <w:pBdr>
        <w:bottom w:val="single" w:sz="6" w:space="1" w:color="918585"/>
      </w:pBdr>
      <w:spacing w:before="240"/>
    </w:pPr>
  </w:style>
  <w:style w:type="character" w:customStyle="1" w:styleId="HotSpot">
    <w:name w:val="HotSpot"/>
    <w:rsid w:val="003E6FAE"/>
    <w:rPr>
      <w:color w:val="0033CC"/>
      <w:u w:val="none"/>
    </w:rPr>
  </w:style>
  <w:style w:type="paragraph" w:customStyle="1" w:styleId="BodyTextRight">
    <w:name w:val="Body Text Right"/>
    <w:basedOn w:val="BodyText"/>
    <w:rsid w:val="003E6FAE"/>
    <w:pPr>
      <w:spacing w:before="0" w:after="0"/>
      <w:jc w:val="right"/>
    </w:pPr>
  </w:style>
  <w:style w:type="paragraph" w:styleId="Index3">
    <w:name w:val="index 3"/>
    <w:basedOn w:val="ListNumber2"/>
    <w:next w:val="Normal"/>
    <w:semiHidden/>
    <w:rsid w:val="003E6FAE"/>
    <w:pPr>
      <w:numPr>
        <w:numId w:val="0"/>
      </w:numPr>
      <w:tabs>
        <w:tab w:val="right" w:leader="dot" w:pos="4176"/>
      </w:tabs>
    </w:pPr>
  </w:style>
  <w:style w:type="paragraph" w:styleId="ListNumber2">
    <w:name w:val="List Number 2"/>
    <w:basedOn w:val="List2"/>
    <w:rsid w:val="003E6FAE"/>
    <w:pPr>
      <w:numPr>
        <w:numId w:val="9"/>
      </w:numPr>
      <w:tabs>
        <w:tab w:val="clear" w:pos="1060"/>
      </w:tabs>
    </w:pPr>
  </w:style>
  <w:style w:type="paragraph" w:customStyle="1" w:styleId="MarginNote">
    <w:name w:val="Margin Note"/>
    <w:basedOn w:val="BodyText"/>
    <w:rsid w:val="003E6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F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FAE"/>
    <w:rPr>
      <w:sz w:val="32"/>
    </w:rPr>
  </w:style>
  <w:style w:type="paragraph" w:customStyle="1" w:styleId="HeadingProcedure">
    <w:name w:val="Heading Procedure"/>
    <w:basedOn w:val="HeadingBase"/>
    <w:next w:val="Normal"/>
    <w:rsid w:val="003E6FAE"/>
    <w:pPr>
      <w:tabs>
        <w:tab w:val="left" w:pos="0"/>
      </w:tabs>
      <w:spacing w:before="120" w:after="60"/>
    </w:pPr>
    <w:rPr>
      <w:i/>
      <w:color w:val="918585"/>
      <w:sz w:val="22"/>
    </w:rPr>
  </w:style>
  <w:style w:type="paragraph" w:customStyle="1" w:styleId="TableBodyText">
    <w:name w:val="Table Body Text"/>
    <w:basedOn w:val="BodyText"/>
    <w:rsid w:val="003E6FAE"/>
    <w:pPr>
      <w:spacing w:before="60" w:after="60"/>
    </w:pPr>
  </w:style>
  <w:style w:type="paragraph" w:styleId="ListContinue">
    <w:name w:val="List Continue"/>
    <w:basedOn w:val="List"/>
    <w:rsid w:val="003E6FAE"/>
    <w:pPr>
      <w:ind w:firstLine="0"/>
    </w:pPr>
  </w:style>
  <w:style w:type="paragraph" w:customStyle="1" w:styleId="ListNote">
    <w:name w:val="List Note"/>
    <w:basedOn w:val="List"/>
    <w:rsid w:val="003E6FAE"/>
    <w:pPr>
      <w:pBdr>
        <w:top w:val="single" w:sz="6" w:space="2" w:color="918585"/>
        <w:bottom w:val="single" w:sz="6" w:space="2" w:color="918585"/>
      </w:pBdr>
      <w:tabs>
        <w:tab w:val="left" w:pos="1021"/>
      </w:tabs>
      <w:ind w:firstLine="0"/>
    </w:pPr>
  </w:style>
  <w:style w:type="paragraph" w:customStyle="1" w:styleId="Warning">
    <w:name w:val="Warning"/>
    <w:basedOn w:val="BodyText"/>
    <w:rsid w:val="003E6FAE"/>
    <w:pPr>
      <w:shd w:val="clear" w:color="auto" w:fill="D9D9D9"/>
      <w:tabs>
        <w:tab w:val="left" w:pos="992"/>
      </w:tabs>
      <w:ind w:left="119" w:right="119"/>
    </w:pPr>
    <w:rPr>
      <w:sz w:val="20"/>
    </w:rPr>
  </w:style>
  <w:style w:type="paragraph" w:customStyle="1" w:styleId="MarginIcons">
    <w:name w:val="Margin Icons"/>
    <w:basedOn w:val="BodyText"/>
    <w:rsid w:val="003E6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FAE"/>
    <w:rPr>
      <w:rFonts w:ascii="Courier New" w:hAnsi="Courier New"/>
    </w:rPr>
  </w:style>
  <w:style w:type="paragraph" w:customStyle="1" w:styleId="NoteBullet">
    <w:name w:val="Note Bullet"/>
    <w:basedOn w:val="Note"/>
    <w:rsid w:val="003E6FAE"/>
    <w:pPr>
      <w:tabs>
        <w:tab w:val="clear" w:pos="680"/>
      </w:tabs>
      <w:spacing w:before="60" w:after="60"/>
    </w:pPr>
  </w:style>
  <w:style w:type="paragraph" w:customStyle="1" w:styleId="SubHeading2">
    <w:name w:val="SubHeading2"/>
    <w:basedOn w:val="HeadingBase"/>
    <w:rsid w:val="003E6FAE"/>
    <w:pPr>
      <w:spacing w:before="240" w:after="60"/>
    </w:pPr>
    <w:rPr>
      <w:sz w:val="20"/>
    </w:rPr>
  </w:style>
  <w:style w:type="paragraph" w:customStyle="1" w:styleId="SubHeading1">
    <w:name w:val="SubHeading1"/>
    <w:basedOn w:val="HeadingBase"/>
    <w:rsid w:val="003E6FAE"/>
    <w:pPr>
      <w:spacing w:before="240" w:after="60"/>
    </w:pPr>
    <w:rPr>
      <w:color w:val="918585"/>
      <w:sz w:val="22"/>
    </w:rPr>
  </w:style>
  <w:style w:type="paragraph" w:customStyle="1" w:styleId="SideHeading">
    <w:name w:val="Side Heading"/>
    <w:basedOn w:val="HeadingBase"/>
    <w:rsid w:val="003E6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FAE"/>
    <w:pPr>
      <w:tabs>
        <w:tab w:val="num" w:pos="360"/>
      </w:tabs>
    </w:pPr>
  </w:style>
  <w:style w:type="paragraph" w:styleId="PlainText">
    <w:name w:val="Plain Text"/>
    <w:basedOn w:val="Normal"/>
    <w:link w:val="PlainTextChar"/>
    <w:rsid w:val="003E6FAE"/>
    <w:rPr>
      <w:sz w:val="20"/>
    </w:rPr>
  </w:style>
  <w:style w:type="character" w:customStyle="1" w:styleId="PlainTextChar">
    <w:name w:val="Plain Text Char"/>
    <w:basedOn w:val="DefaultParagraphFont"/>
    <w:link w:val="PlainText"/>
    <w:rsid w:val="003E6F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FAE"/>
    <w:rPr>
      <w:b/>
      <w:smallCaps/>
    </w:rPr>
  </w:style>
  <w:style w:type="paragraph" w:customStyle="1" w:styleId="TableListNumber">
    <w:name w:val="Table List Number"/>
    <w:basedOn w:val="ListNumber"/>
    <w:rsid w:val="003E6FAE"/>
    <w:pPr>
      <w:numPr>
        <w:numId w:val="0"/>
      </w:numPr>
    </w:pPr>
  </w:style>
  <w:style w:type="paragraph" w:styleId="TOC4">
    <w:name w:val="toc 4"/>
    <w:basedOn w:val="TOCBase"/>
    <w:next w:val="Normal"/>
    <w:semiHidden/>
    <w:rsid w:val="003E6FAE"/>
    <w:pPr>
      <w:tabs>
        <w:tab w:val="right" w:leader="dot" w:pos="9071"/>
      </w:tabs>
      <w:ind w:left="1701"/>
    </w:pPr>
  </w:style>
  <w:style w:type="paragraph" w:customStyle="1" w:styleId="ListAlpha">
    <w:name w:val="List Alpha"/>
    <w:basedOn w:val="List"/>
    <w:rsid w:val="003E6FAE"/>
    <w:pPr>
      <w:numPr>
        <w:numId w:val="8"/>
      </w:numPr>
    </w:pPr>
  </w:style>
  <w:style w:type="paragraph" w:customStyle="1" w:styleId="ListAlpha2">
    <w:name w:val="List Alpha 2"/>
    <w:basedOn w:val="List2"/>
    <w:rsid w:val="003E6FAE"/>
    <w:pPr>
      <w:numPr>
        <w:numId w:val="7"/>
      </w:numPr>
    </w:pPr>
  </w:style>
  <w:style w:type="paragraph" w:styleId="List3">
    <w:name w:val="List 3"/>
    <w:basedOn w:val="BodyText"/>
    <w:rsid w:val="003E6FAE"/>
    <w:pPr>
      <w:tabs>
        <w:tab w:val="left" w:pos="1021"/>
      </w:tabs>
      <w:spacing w:before="60" w:after="60"/>
      <w:ind w:left="1020" w:hanging="340"/>
    </w:pPr>
  </w:style>
  <w:style w:type="paragraph" w:styleId="List4">
    <w:name w:val="List 4"/>
    <w:basedOn w:val="BodyText"/>
    <w:rsid w:val="003E6FAE"/>
    <w:pPr>
      <w:tabs>
        <w:tab w:val="left" w:pos="1361"/>
      </w:tabs>
      <w:spacing w:before="60" w:after="60"/>
      <w:ind w:left="1361" w:hanging="340"/>
    </w:pPr>
  </w:style>
  <w:style w:type="paragraph" w:styleId="List5">
    <w:name w:val="List 5"/>
    <w:basedOn w:val="BodyText"/>
    <w:rsid w:val="003E6FAE"/>
    <w:pPr>
      <w:tabs>
        <w:tab w:val="left" w:pos="1701"/>
      </w:tabs>
      <w:spacing w:before="60" w:after="60"/>
      <w:ind w:left="1701" w:hanging="340"/>
    </w:pPr>
  </w:style>
  <w:style w:type="paragraph" w:styleId="ListBullet3">
    <w:name w:val="List Bullet 3"/>
    <w:basedOn w:val="List3"/>
    <w:rsid w:val="003E6FAE"/>
    <w:pPr>
      <w:numPr>
        <w:numId w:val="14"/>
      </w:numPr>
      <w:tabs>
        <w:tab w:val="clear" w:pos="1021"/>
      </w:tabs>
      <w:ind w:left="1037" w:hanging="357"/>
    </w:pPr>
  </w:style>
  <w:style w:type="paragraph" w:styleId="ListBullet4">
    <w:name w:val="List Bullet 4"/>
    <w:basedOn w:val="List4"/>
    <w:rsid w:val="003E6FAE"/>
    <w:pPr>
      <w:numPr>
        <w:numId w:val="2"/>
      </w:numPr>
    </w:pPr>
  </w:style>
  <w:style w:type="paragraph" w:styleId="ListBullet5">
    <w:name w:val="List Bullet 5"/>
    <w:basedOn w:val="List5"/>
    <w:rsid w:val="003E6FAE"/>
    <w:pPr>
      <w:numPr>
        <w:numId w:val="3"/>
      </w:numPr>
    </w:pPr>
  </w:style>
  <w:style w:type="paragraph" w:styleId="ListContinue2">
    <w:name w:val="List Continue 2"/>
    <w:basedOn w:val="List2"/>
    <w:rsid w:val="003E6FAE"/>
    <w:pPr>
      <w:ind w:firstLine="0"/>
    </w:pPr>
  </w:style>
  <w:style w:type="paragraph" w:styleId="ListContinue3">
    <w:name w:val="List Continue 3"/>
    <w:basedOn w:val="List3"/>
    <w:rsid w:val="003E6FAE"/>
    <w:pPr>
      <w:ind w:left="1021" w:firstLine="0"/>
    </w:pPr>
  </w:style>
  <w:style w:type="paragraph" w:styleId="ListContinue4">
    <w:name w:val="List Continue 4"/>
    <w:basedOn w:val="List4"/>
    <w:rsid w:val="003E6FAE"/>
    <w:pPr>
      <w:ind w:firstLine="0"/>
    </w:pPr>
  </w:style>
  <w:style w:type="paragraph" w:styleId="ListContinue5">
    <w:name w:val="List Continue 5"/>
    <w:basedOn w:val="List5"/>
    <w:rsid w:val="003E6FAE"/>
    <w:pPr>
      <w:ind w:firstLine="0"/>
    </w:pPr>
  </w:style>
  <w:style w:type="paragraph" w:styleId="ListNumber3">
    <w:name w:val="List Number 3"/>
    <w:basedOn w:val="List3"/>
    <w:rsid w:val="003E6FAE"/>
    <w:pPr>
      <w:numPr>
        <w:numId w:val="4"/>
      </w:numPr>
    </w:pPr>
  </w:style>
  <w:style w:type="paragraph" w:styleId="ListNumber4">
    <w:name w:val="List Number 4"/>
    <w:basedOn w:val="List4"/>
    <w:rsid w:val="003E6FAE"/>
    <w:pPr>
      <w:numPr>
        <w:numId w:val="5"/>
      </w:numPr>
    </w:pPr>
  </w:style>
  <w:style w:type="paragraph" w:styleId="ListNumber5">
    <w:name w:val="List Number 5"/>
    <w:basedOn w:val="List5"/>
    <w:rsid w:val="003E6FAE"/>
    <w:pPr>
      <w:numPr>
        <w:numId w:val="6"/>
      </w:numPr>
    </w:pPr>
  </w:style>
  <w:style w:type="paragraph" w:styleId="BlockText">
    <w:name w:val="Block Text"/>
    <w:basedOn w:val="Normal"/>
    <w:rsid w:val="003E6FAE"/>
    <w:pPr>
      <w:spacing w:after="120"/>
      <w:ind w:left="1440" w:right="1440"/>
    </w:pPr>
  </w:style>
  <w:style w:type="character" w:customStyle="1" w:styleId="Subscript">
    <w:name w:val="Subscript"/>
    <w:basedOn w:val="DefaultParagraphFont"/>
    <w:rsid w:val="003E6FAE"/>
    <w:rPr>
      <w:sz w:val="16"/>
      <w:vertAlign w:val="subscript"/>
    </w:rPr>
  </w:style>
  <w:style w:type="character" w:customStyle="1" w:styleId="Superscript">
    <w:name w:val="Superscript"/>
    <w:basedOn w:val="DefaultParagraphFont"/>
    <w:rsid w:val="003E6FAE"/>
    <w:rPr>
      <w:sz w:val="16"/>
      <w:vertAlign w:val="superscript"/>
    </w:rPr>
  </w:style>
  <w:style w:type="character" w:customStyle="1" w:styleId="Symbols">
    <w:name w:val="Symbols"/>
    <w:basedOn w:val="DefaultParagraphFont"/>
    <w:rsid w:val="003E6FAE"/>
    <w:rPr>
      <w:rFonts w:ascii="Symbol" w:hAnsi="Symbol"/>
    </w:rPr>
  </w:style>
  <w:style w:type="character" w:customStyle="1" w:styleId="MenuOptions">
    <w:name w:val="Menu Options"/>
    <w:basedOn w:val="DefaultParagraphFont"/>
    <w:rsid w:val="003E6FAE"/>
    <w:rPr>
      <w:rFonts w:ascii="Arial Narrow" w:hAnsi="Arial Narrow"/>
      <w:smallCaps/>
    </w:rPr>
  </w:style>
  <w:style w:type="character" w:customStyle="1" w:styleId="Buttons">
    <w:name w:val="Buttons"/>
    <w:basedOn w:val="DefaultParagraphFont"/>
    <w:rsid w:val="003E6FAE"/>
    <w:rPr>
      <w:b/>
    </w:rPr>
  </w:style>
  <w:style w:type="character" w:customStyle="1" w:styleId="Underlined">
    <w:name w:val="Underlined"/>
    <w:basedOn w:val="DefaultParagraphFont"/>
    <w:rsid w:val="003E6FAE"/>
    <w:rPr>
      <w:u w:val="single"/>
    </w:rPr>
  </w:style>
  <w:style w:type="paragraph" w:customStyle="1" w:styleId="TableBodyTextRight">
    <w:name w:val="Table Body Text Right"/>
    <w:basedOn w:val="TableBodyText"/>
    <w:rsid w:val="003E6FAE"/>
    <w:pPr>
      <w:widowControl w:val="0"/>
      <w:autoSpaceDE w:val="0"/>
      <w:autoSpaceDN w:val="0"/>
      <w:adjustRightInd w:val="0"/>
      <w:jc w:val="right"/>
    </w:pPr>
    <w:rPr>
      <w:rFonts w:cs="Arial"/>
      <w:szCs w:val="18"/>
    </w:rPr>
  </w:style>
  <w:style w:type="paragraph" w:customStyle="1" w:styleId="CopyrightText">
    <w:name w:val="Copyright Text"/>
    <w:basedOn w:val="BodyText"/>
    <w:rsid w:val="003E6FAE"/>
    <w:rPr>
      <w:sz w:val="18"/>
    </w:rPr>
  </w:style>
  <w:style w:type="paragraph" w:customStyle="1" w:styleId="BodySmallRight">
    <w:name w:val="Body Small Right"/>
    <w:basedOn w:val="BodyTextRight"/>
    <w:rsid w:val="003E6FAE"/>
    <w:rPr>
      <w:sz w:val="18"/>
      <w:szCs w:val="18"/>
    </w:rPr>
  </w:style>
  <w:style w:type="paragraph" w:customStyle="1" w:styleId="MarginEdition">
    <w:name w:val="Margin Edition"/>
    <w:basedOn w:val="MarginNote"/>
    <w:rsid w:val="003E6FAE"/>
    <w:pPr>
      <w:spacing w:before="0" w:after="0"/>
    </w:pPr>
    <w:rPr>
      <w:rFonts w:ascii="Times New Roman" w:hAnsi="Times New Roman"/>
      <w:color w:val="999999"/>
    </w:rPr>
  </w:style>
  <w:style w:type="paragraph" w:customStyle="1" w:styleId="Spacer">
    <w:name w:val="Spacer"/>
    <w:basedOn w:val="Normal"/>
    <w:rsid w:val="003E6FAE"/>
    <w:rPr>
      <w:sz w:val="2"/>
      <w:szCs w:val="2"/>
    </w:rPr>
  </w:style>
  <w:style w:type="character" w:customStyle="1" w:styleId="Small">
    <w:name w:val="Small"/>
    <w:basedOn w:val="DefaultParagraphFont"/>
    <w:rsid w:val="003E6FAE"/>
    <w:rPr>
      <w:sz w:val="16"/>
    </w:rPr>
  </w:style>
  <w:style w:type="paragraph" w:customStyle="1" w:styleId="WideTable">
    <w:name w:val="Wide Table"/>
    <w:basedOn w:val="Normal"/>
    <w:rsid w:val="003E6FAE"/>
    <w:pPr>
      <w:ind w:left="-1418"/>
    </w:pPr>
    <w:rPr>
      <w:sz w:val="2"/>
      <w:szCs w:val="2"/>
    </w:rPr>
  </w:style>
  <w:style w:type="character" w:styleId="PageNumber">
    <w:name w:val="page number"/>
    <w:basedOn w:val="DefaultParagraphFont"/>
    <w:rsid w:val="003E6FAE"/>
  </w:style>
  <w:style w:type="paragraph" w:styleId="Quote">
    <w:name w:val="Quote"/>
    <w:basedOn w:val="Heading1"/>
    <w:link w:val="QuoteChar"/>
    <w:qFormat/>
    <w:rsid w:val="003E6FAE"/>
    <w:rPr>
      <w:b w:val="0"/>
      <w:sz w:val="72"/>
      <w:szCs w:val="72"/>
      <w:lang w:val="en-NZ"/>
    </w:rPr>
  </w:style>
  <w:style w:type="character" w:customStyle="1" w:styleId="QuoteChar">
    <w:name w:val="Quote Char"/>
    <w:basedOn w:val="DefaultParagraphFont"/>
    <w:link w:val="Quote"/>
    <w:rsid w:val="003E6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FAE"/>
    <w:pPr>
      <w:pageBreakBefore/>
    </w:pPr>
  </w:style>
  <w:style w:type="paragraph" w:customStyle="1" w:styleId="Border">
    <w:name w:val="Border"/>
    <w:basedOn w:val="Normal"/>
    <w:qFormat/>
    <w:rsid w:val="003E6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FAE"/>
    <w:rPr>
      <w:b/>
      <w:bCs/>
      <w:i/>
      <w:iCs/>
      <w:color w:val="auto"/>
    </w:rPr>
  </w:style>
  <w:style w:type="paragraph" w:styleId="IntenseQuote">
    <w:name w:val="Intense Quote"/>
    <w:basedOn w:val="Normal"/>
    <w:next w:val="Normal"/>
    <w:link w:val="IntenseQuoteChar"/>
    <w:uiPriority w:val="30"/>
    <w:qFormat/>
    <w:rsid w:val="003E6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F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FAE"/>
    <w:rPr>
      <w:smallCaps/>
      <w:color w:val="auto"/>
      <w:u w:val="single"/>
    </w:rPr>
  </w:style>
  <w:style w:type="character" w:styleId="IntenseReference">
    <w:name w:val="Intense Reference"/>
    <w:basedOn w:val="DefaultParagraphFont"/>
    <w:uiPriority w:val="32"/>
    <w:qFormat/>
    <w:rsid w:val="003E6FAE"/>
    <w:rPr>
      <w:b/>
      <w:bCs/>
      <w:smallCaps/>
      <w:color w:val="auto"/>
      <w:spacing w:val="5"/>
      <w:u w:val="single"/>
    </w:rPr>
  </w:style>
  <w:style w:type="paragraph" w:customStyle="1" w:styleId="2ColumnHeading">
    <w:name w:val="2Column Heading"/>
    <w:basedOn w:val="BodyText"/>
    <w:qFormat/>
    <w:rsid w:val="003E6FAE"/>
    <w:pPr>
      <w:spacing w:after="60"/>
      <w:ind w:left="-2268"/>
    </w:pPr>
    <w:rPr>
      <w:b/>
    </w:rPr>
  </w:style>
  <w:style w:type="paragraph" w:customStyle="1" w:styleId="Heading1TOC">
    <w:name w:val="Heading1 TOC"/>
    <w:basedOn w:val="Normal"/>
    <w:qFormat/>
    <w:rsid w:val="003E6FAE"/>
    <w:pPr>
      <w:spacing w:before="240" w:after="120"/>
    </w:pPr>
    <w:rPr>
      <w:rFonts w:ascii="Times New Roman" w:hAnsi="Times New Roman"/>
      <w:b/>
      <w:sz w:val="32"/>
    </w:rPr>
  </w:style>
  <w:style w:type="paragraph" w:customStyle="1" w:styleId="Heading2TOC">
    <w:name w:val="Heading2 TOC"/>
    <w:basedOn w:val="Normal"/>
    <w:qFormat/>
    <w:rsid w:val="003E6FAE"/>
    <w:pPr>
      <w:spacing w:before="240" w:after="60"/>
    </w:pPr>
    <w:rPr>
      <w:rFonts w:ascii="Times New Roman" w:hAnsi="Times New Roman"/>
      <w:b/>
      <w:sz w:val="28"/>
    </w:rPr>
  </w:style>
  <w:style w:type="character" w:customStyle="1" w:styleId="Underline">
    <w:name w:val="Underline"/>
    <w:basedOn w:val="DefaultParagraphFont"/>
    <w:qFormat/>
    <w:rsid w:val="003E6FAE"/>
    <w:rPr>
      <w:u w:val="single"/>
    </w:rPr>
  </w:style>
  <w:style w:type="character" w:customStyle="1" w:styleId="BoldandItalics">
    <w:name w:val="Bold and Italics"/>
    <w:qFormat/>
    <w:rsid w:val="003E6FAE"/>
    <w:rPr>
      <w:b/>
      <w:i/>
      <w:u w:val="none"/>
    </w:rPr>
  </w:style>
  <w:style w:type="paragraph" w:styleId="BalloonText">
    <w:name w:val="Balloon Text"/>
    <w:basedOn w:val="Normal"/>
    <w:link w:val="BalloonTextChar"/>
    <w:rsid w:val="003E6FAE"/>
    <w:rPr>
      <w:rFonts w:ascii="Tahoma" w:hAnsi="Tahoma" w:cs="Tahoma"/>
      <w:sz w:val="16"/>
      <w:szCs w:val="16"/>
    </w:rPr>
  </w:style>
  <w:style w:type="character" w:customStyle="1" w:styleId="BalloonTextChar">
    <w:name w:val="Balloon Text Char"/>
    <w:basedOn w:val="DefaultParagraphFont"/>
    <w:link w:val="BalloonText"/>
    <w:rsid w:val="003E6F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F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5650</Characters>
  <Application>Microsoft Office Word</Application>
  <DocSecurity>0</DocSecurity>
  <Lines>202</Lines>
  <Paragraphs>80</Paragraphs>
  <ScaleCrop>false</ScaleCrop>
  <Company>Author-it Software Corporation Ltd.</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MEM15001B Perform basic statistical quality control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