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675" w:rsidP="00724675">
      <w:pPr>
        <w:pStyle w:val="Title"/>
      </w:pPr>
      <w:bookmarkStart w:id="0" w:name="_GoBack"/>
      <w:bookmarkEnd w:id="0"/>
      <w:r>
        <w:fldChar w:fldCharType="begin"/>
      </w:r>
      <w:r>
        <w:instrText xml:space="preserve"> TITLE   \* MERGEFORMAT </w:instrText>
      </w:r>
      <w:r>
        <w:fldChar w:fldCharType="separate"/>
      </w:r>
      <w:r>
        <w:t>MEM14092A Integrate maintenance fundamentals into an engineering task</w:t>
      </w:r>
      <w:r>
        <w:fldChar w:fldCharType="end"/>
      </w:r>
    </w:p>
    <w:p w:rsidR="00724675" w:rsidP="00724675">
      <w:pPr>
        <w:pStyle w:val="Version"/>
        <w:sectPr w:rsidSect="00704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FE4" w:rsidP="00704FE4">
      <w:pPr>
        <w:pStyle w:val="SuperHeading"/>
      </w:pPr>
      <w:r w:rsidRPr="00704FE4">
        <w:t>MEM14092A Integrate maintenance fundamentals into an engineering task</w:t>
      </w:r>
    </w:p>
    <w:p w:rsidR="00000000" w:rsidRPr="00704FE4" w:rsidP="00704FE4">
      <w:pPr>
        <w:pStyle w:val="Heading1"/>
      </w:pPr>
      <w:bookmarkStart w:id="1" w:name="O_519133"/>
      <w:bookmarkEnd w:id="1"/>
      <w:r w:rsidRPr="00704FE4">
        <w:t>Modification History</w:t>
      </w:r>
    </w:p>
    <w:p w:rsidR="00724675" w:rsidP="00704FE4">
      <w:pPr>
        <w:pStyle w:val="BodyText"/>
      </w:pPr>
      <w:r w:rsidRPr="00704FE4">
        <w:t>Release 1 (MEM05v9).</w:t>
      </w:r>
    </w:p>
    <w:p w:rsidR="00724675" w:rsidP="00704FE4">
      <w:pPr>
        <w:pStyle w:val="BodyText"/>
      </w:pPr>
    </w:p>
    <w:p w:rsidR="00000000" w:rsidRPr="00704FE4" w:rsidP="00704FE4">
      <w:pPr>
        <w:pStyle w:val="Heading1"/>
      </w:pPr>
      <w:bookmarkStart w:id="2" w:name="O_519145"/>
      <w:bookmarkEnd w:id="2"/>
      <w:r w:rsidRPr="00704FE4">
        <w:t>Unit Descriptor</w:t>
      </w:r>
    </w:p>
    <w:p w:rsidR="00724675" w:rsidP="00704FE4">
      <w:pPr>
        <w:pStyle w:val="BodyText"/>
      </w:pPr>
      <w:r w:rsidRPr="00704FE4">
        <w:t>This unit of competency covers the integration of maintenance fundamentals to achieve an engineering or related task. It includes identifying task parameters, personal and team functions, and work  health and safety (WHS) requirements. It includes investig</w:t>
      </w:r>
      <w:r w:rsidRPr="00704FE4">
        <w:t xml:space="preserve">ation of maintainable features of plant, facilities and services, and evaluation of related fundamentals of mathematics, scientific principles, workshop skills, materials and processes, and software required by the task. It requires completion of the task </w:t>
      </w:r>
      <w:r w:rsidRPr="00704FE4">
        <w:t xml:space="preserve">in cooperation with the team and documentation of the process and outcomes.  </w:t>
      </w:r>
    </w:p>
    <w:p w:rsidR="00724675" w:rsidP="00704FE4">
      <w:pPr>
        <w:pStyle w:val="BodyText"/>
      </w:pPr>
    </w:p>
    <w:p w:rsidR="00000000" w:rsidRPr="00704FE4" w:rsidP="00704FE4">
      <w:pPr>
        <w:pStyle w:val="Heading1"/>
      </w:pPr>
      <w:bookmarkStart w:id="3" w:name="O_519144"/>
      <w:bookmarkEnd w:id="3"/>
      <w:r w:rsidRPr="00704FE4">
        <w:t>Application of the Unit</w:t>
      </w:r>
    </w:p>
    <w:p w:rsidR="00000000" w:rsidRPr="00704FE4" w:rsidP="00704FE4">
      <w:pPr>
        <w:pStyle w:val="BodyText"/>
      </w:pPr>
      <w:r w:rsidRPr="00704FE4">
        <w:t>The unit applies to engineering and related tasks in a project or organisation and covers the identification, application and integratio</w:t>
      </w:r>
      <w:r w:rsidRPr="00704FE4">
        <w:t>n of maintenance fundamentals, including breakdown and preventative maintenance fundamentals. It is suitable for people working as maintenance technicians and draftspersons and those pursuing careers and qualifications in maintenance engineering.</w:t>
      </w:r>
    </w:p>
    <w:p w:rsidR="00724675" w:rsidP="00704FE4">
      <w:pPr>
        <w:pStyle w:val="BodyText"/>
      </w:pPr>
      <w:r w:rsidRPr="00704FE4">
        <w:t>This unit</w:t>
      </w:r>
      <w:r w:rsidRPr="00704FE4">
        <w:t xml:space="preserve"> should be undertaken in conjunction with technical units relevant to the equipment and processes used in the organisation.</w:t>
      </w:r>
    </w:p>
    <w:p w:rsidR="00724675" w:rsidP="00704FE4">
      <w:pPr>
        <w:pStyle w:val="BodyText"/>
      </w:pPr>
    </w:p>
    <w:p w:rsidR="00000000" w:rsidRPr="00704FE4" w:rsidP="00704FE4">
      <w:pPr>
        <w:pStyle w:val="Heading1"/>
      </w:pPr>
      <w:bookmarkStart w:id="4" w:name="O_519143"/>
      <w:bookmarkEnd w:id="4"/>
      <w:r w:rsidRPr="00704FE4">
        <w:t>Licensing/Regulatory Information</w:t>
      </w:r>
    </w:p>
    <w:p w:rsidR="00000000" w:rsidRPr="00704FE4" w:rsidP="00704FE4">
      <w:pPr>
        <w:pStyle w:val="BodyText"/>
      </w:pPr>
      <w:r w:rsidRPr="00704FE4">
        <w:t>Not applicable.</w:t>
      </w:r>
    </w:p>
    <w:p w:rsidR="00000000" w:rsidRPr="00704FE4" w:rsidP="00704FE4">
      <w:pPr>
        <w:pStyle w:val="AllowPageBreak"/>
      </w:pPr>
    </w:p>
    <w:p w:rsidR="00000000" w:rsidRPr="00704FE4" w:rsidP="00704FE4">
      <w:pPr>
        <w:pStyle w:val="Heading1"/>
      </w:pPr>
      <w:bookmarkStart w:id="5" w:name="O_519142"/>
      <w:bookmarkEnd w:id="5"/>
      <w:r w:rsidRPr="00704FE4">
        <w:t>Pre-Requisites</w:t>
      </w:r>
    </w:p>
    <w:tbl>
      <w:tblPr>
        <w:tblW w:w="9354" w:type="dxa"/>
        <w:tblLayout w:type="fixed"/>
        <w:tblCellMar>
          <w:left w:w="62" w:type="dxa"/>
          <w:right w:w="62" w:type="dxa"/>
        </w:tblCellMar>
        <w:tblLook w:val="0000"/>
      </w:tblPr>
      <w:tblGrid>
        <w:gridCol w:w="2567"/>
        <w:gridCol w:w="6787"/>
      </w:tblGrid>
      <w:tr w:rsidTr="00704FE4">
        <w:tblPrEx>
          <w:tblW w:w="9354" w:type="dxa"/>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MEM23004A</w:t>
            </w:r>
          </w:p>
        </w:tc>
        <w:tc>
          <w:tcPr>
            <w:tcW w:w="6787"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Apply technical mathema</w:t>
            </w:r>
            <w:r w:rsidRPr="00704FE4">
              <w:t>tics</w:t>
            </w:r>
          </w:p>
        </w:tc>
      </w:tr>
    </w:tbl>
    <w:p w:rsidR="00000000" w:rsidRPr="00704FE4" w:rsidP="00704FE4">
      <w:pPr>
        <w:pStyle w:val="BodyText"/>
      </w:pPr>
    </w:p>
    <w:p w:rsidR="00000000" w:rsidRPr="00704FE4" w:rsidP="00704FE4">
      <w:pPr>
        <w:pStyle w:val="AllowPageBreak"/>
      </w:pPr>
    </w:p>
    <w:p w:rsidR="00000000" w:rsidRPr="00704FE4" w:rsidP="00704FE4">
      <w:pPr>
        <w:pStyle w:val="Heading1"/>
      </w:pPr>
      <w:bookmarkStart w:id="6" w:name="O_519141"/>
      <w:bookmarkEnd w:id="6"/>
      <w:r w:rsidRPr="00704FE4">
        <w:t>Employability Skills Information</w:t>
      </w:r>
    </w:p>
    <w:p w:rsidR="00724675" w:rsidP="00704FE4">
      <w:pPr>
        <w:pStyle w:val="BodyText"/>
      </w:pPr>
      <w:r w:rsidRPr="00704FE4">
        <w:t>This unit contains employability skills.</w:t>
      </w:r>
    </w:p>
    <w:p w:rsidR="00724675" w:rsidP="00704FE4">
      <w:pPr>
        <w:pStyle w:val="BodyText"/>
      </w:pPr>
    </w:p>
    <w:p w:rsidR="00000000" w:rsidRPr="00704FE4" w:rsidP="00704FE4">
      <w:pPr>
        <w:pStyle w:val="Heading1"/>
      </w:pPr>
      <w:bookmarkStart w:id="7" w:name="O_519140"/>
      <w:bookmarkEnd w:id="7"/>
      <w:r w:rsidRPr="00704FE4">
        <w:t>Elements and Performance Criteria Pre-Content</w:t>
      </w:r>
    </w:p>
    <w:tbl>
      <w:tblPr>
        <w:tblW w:w="0" w:type="auto"/>
        <w:tblCellMar>
          <w:left w:w="62" w:type="dxa"/>
          <w:right w:w="62" w:type="dxa"/>
        </w:tblCellMar>
        <w:tblLook w:val="0000"/>
      </w:tblPr>
      <w:tblGrid>
        <w:gridCol w:w="2576"/>
        <w:gridCol w:w="6620"/>
      </w:tblGrid>
      <w:tr w:rsidTr="007246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Performance criteria descri</w:t>
            </w:r>
            <w:r w:rsidRPr="00704FE4">
              <w:t>be the performance needed to demonstrate achievement of the element. Where bold italicised text is used, further information is detailed in the required skills and knowledge section and the range statement. Assessment of performance is to be consistent wit</w:t>
            </w:r>
            <w:r w:rsidRPr="00704FE4">
              <w:t>h the evidence guide.</w:t>
            </w:r>
          </w:p>
        </w:tc>
      </w:tr>
    </w:tbl>
    <w:p w:rsidR="00724675" w:rsidP="00704FE4">
      <w:pPr>
        <w:pStyle w:val="BodyText"/>
      </w:pPr>
    </w:p>
    <w:p w:rsidR="00724675" w:rsidP="00704FE4">
      <w:pPr>
        <w:pStyle w:val="BodyText"/>
      </w:pPr>
    </w:p>
    <w:p w:rsidR="00000000" w:rsidRPr="00704FE4" w:rsidP="00704FE4">
      <w:pPr>
        <w:pStyle w:val="Heading1"/>
      </w:pPr>
      <w:bookmarkStart w:id="8" w:name="O_519139"/>
      <w:bookmarkEnd w:id="8"/>
      <w:r w:rsidRPr="00704FE4">
        <w:t>Elements and Performance Criteria</w:t>
      </w:r>
    </w:p>
    <w:p w:rsidR="00000000" w:rsidRPr="00704FE4" w:rsidP="00704FE4">
      <w:pPr>
        <w:pStyle w:val="BodyText"/>
      </w:pPr>
    </w:p>
    <w:tbl>
      <w:tblPr>
        <w:tblW w:w="0" w:type="auto"/>
        <w:tblLayout w:type="fixed"/>
        <w:tblCellMar>
          <w:left w:w="62" w:type="dxa"/>
          <w:right w:w="62" w:type="dxa"/>
        </w:tblCellMar>
        <w:tblLook w:val="0000"/>
      </w:tblPr>
      <w:tblGrid>
        <w:gridCol w:w="678"/>
        <w:gridCol w:w="1962"/>
        <w:gridCol w:w="770"/>
        <w:gridCol w:w="5610"/>
      </w:tblGrid>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Investigate scope of engineering task</w:t>
            </w: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1.1</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 xml:space="preserve">Identify the breakdown and preventative maintenance and other related fundamentals to be integrated into engineering task </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1.2</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 xml:space="preserve">Identify stakeholders to be consulted </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1.3</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Confirm WHS, regulatory requirements, risk management and organisational procedures</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1.4</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Identify maintainable features of plant, facilities and services affected by integration task</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1.5</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Identify methods, processes and workshop techniques required by task</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1.6</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Review sustainability implications for task</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1.7</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Review software techniques required for task analysis and graphics</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1.8</w:t>
            </w:r>
          </w:p>
        </w:tc>
        <w:tc>
          <w:tcPr>
            <w:tcW w:w="5610"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Plan task to maximise performance and reliability and p</w:t>
            </w:r>
            <w:r w:rsidRPr="00704FE4">
              <w:t>revent future breakdowns</w:t>
            </w:r>
          </w:p>
        </w:tc>
      </w:tr>
    </w:tbl>
    <w:p w:rsidR="00000000" w:rsidRPr="00704FE4" w:rsidP="00704FE4">
      <w:pPr>
        <w:pStyle w:val="BodyText"/>
      </w:pPr>
    </w:p>
    <w:tbl>
      <w:tblPr>
        <w:tblW w:w="0" w:type="auto"/>
        <w:tblLayout w:type="fixed"/>
        <w:tblCellMar>
          <w:left w:w="62" w:type="dxa"/>
          <w:right w:w="62" w:type="dxa"/>
        </w:tblCellMar>
        <w:tblLook w:val="0000"/>
      </w:tblPr>
      <w:tblGrid>
        <w:gridCol w:w="678"/>
        <w:gridCol w:w="1962"/>
        <w:gridCol w:w="770"/>
        <w:gridCol w:w="5610"/>
      </w:tblGrid>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Integrate maintenance fundamentals</w:t>
            </w: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2.1</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Use systems thinking to address contingencies and constraints, problem solving and decision making, and continuous improvement to achieve integration task</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2.2</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 xml:space="preserve">Consult with stakeholders on timing and scope of </w:t>
            </w:r>
            <w:r w:rsidRPr="00704FE4">
              <w:t>integration task</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2.3</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Integrate maintenance fundamentals to achieve task objectives</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2.4</w:t>
            </w:r>
          </w:p>
        </w:tc>
        <w:tc>
          <w:tcPr>
            <w:tcW w:w="5610"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 xml:space="preserve">Seek technical and professional assistance or clarification of design information, as required </w:t>
            </w:r>
          </w:p>
        </w:tc>
      </w:tr>
    </w:tbl>
    <w:p w:rsidR="00000000" w:rsidRPr="00704FE4" w:rsidP="00704FE4">
      <w:pPr>
        <w:pStyle w:val="BodyText"/>
      </w:pPr>
    </w:p>
    <w:tbl>
      <w:tblPr>
        <w:tblW w:w="0" w:type="auto"/>
        <w:tblLayout w:type="fixed"/>
        <w:tblCellMar>
          <w:left w:w="62" w:type="dxa"/>
          <w:right w:w="62" w:type="dxa"/>
        </w:tblCellMar>
        <w:tblLook w:val="0000"/>
      </w:tblPr>
      <w:tblGrid>
        <w:gridCol w:w="678"/>
        <w:gridCol w:w="1962"/>
        <w:gridCol w:w="770"/>
        <w:gridCol w:w="5610"/>
      </w:tblGrid>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Report results</w:t>
            </w: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3.1</w:t>
            </w:r>
          </w:p>
        </w:tc>
        <w:tc>
          <w:tcPr>
            <w:tcW w:w="561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Record results of investigation, evaluation and integration</w:t>
            </w:r>
          </w:p>
        </w:tc>
      </w:tr>
      <w:tr w:rsidTr="00704F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3.2</w:t>
            </w:r>
          </w:p>
        </w:tc>
        <w:tc>
          <w:tcPr>
            <w:tcW w:w="5610"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Provide documentation, such as diagrams, calculations, programs and files</w:t>
            </w:r>
          </w:p>
        </w:tc>
      </w:tr>
    </w:tbl>
    <w:p w:rsidR="00724675" w:rsidP="00704FE4">
      <w:pPr>
        <w:pStyle w:val="BodyText"/>
      </w:pPr>
    </w:p>
    <w:p w:rsidR="00724675" w:rsidP="00704FE4">
      <w:pPr>
        <w:pStyle w:val="BodyText"/>
      </w:pPr>
    </w:p>
    <w:p w:rsidR="00000000" w:rsidRPr="00704FE4" w:rsidP="00704FE4">
      <w:pPr>
        <w:pStyle w:val="Heading1"/>
      </w:pPr>
      <w:bookmarkStart w:id="9" w:name="O_519138"/>
      <w:bookmarkEnd w:id="9"/>
      <w:r w:rsidRPr="00704FE4">
        <w:t>Required Skills and Knowledge</w:t>
      </w:r>
    </w:p>
    <w:tbl>
      <w:tblPr>
        <w:tblW w:w="9462" w:type="dxa"/>
        <w:tblLayout w:type="fixed"/>
        <w:tblCellMar>
          <w:left w:w="62" w:type="dxa"/>
          <w:right w:w="62" w:type="dxa"/>
        </w:tblCellMar>
        <w:tblLook w:val="0000"/>
      </w:tblPr>
      <w:tblGrid>
        <w:gridCol w:w="9462"/>
      </w:tblGrid>
      <w:tr w:rsidTr="00704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t>This section describes the skills and knowledge required for this unit.</w:t>
            </w:r>
          </w:p>
        </w:tc>
      </w:tr>
      <w:tr w:rsidTr="00704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Required skills</w:t>
            </w:r>
          </w:p>
        </w:tc>
      </w:tr>
      <w:tr w:rsidTr="00704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Required skills include:</w:t>
            </w:r>
          </w:p>
          <w:p w:rsidR="00000000" w:rsidRPr="00704FE4" w:rsidP="00704FE4">
            <w:pPr>
              <w:pStyle w:val="ListBullet"/>
            </w:pPr>
            <w:r w:rsidRPr="00704FE4">
              <w:t xml:space="preserve">communicating, cooperating and negotiating with stakeholders </w:t>
            </w:r>
          </w:p>
          <w:p w:rsidR="00000000" w:rsidRPr="00704FE4" w:rsidP="00704FE4">
            <w:pPr>
              <w:pStyle w:val="ListBullet"/>
            </w:pPr>
            <w:r w:rsidRPr="00704FE4">
              <w:t>identifying task parameters and context, WHS and regulatory requirements, risk management and organisational procedures</w:t>
            </w:r>
          </w:p>
          <w:p w:rsidR="00000000" w:rsidRPr="00704FE4" w:rsidP="00704FE4">
            <w:pPr>
              <w:pStyle w:val="ListBullet"/>
            </w:pPr>
            <w:r w:rsidRPr="00704FE4">
              <w:t>evaluating task requirements, including principles, methods, processes and construction techniques, maintainable features of plant, faci</w:t>
            </w:r>
            <w:r w:rsidRPr="00704FE4">
              <w:t>lities and services</w:t>
            </w:r>
          </w:p>
          <w:p w:rsidR="00000000" w:rsidRPr="00704FE4" w:rsidP="00704FE4">
            <w:pPr>
              <w:pStyle w:val="ListBullet"/>
            </w:pPr>
            <w:r w:rsidRPr="00704FE4">
              <w:t>selecting and using software required for analysis and graphics</w:t>
            </w:r>
          </w:p>
          <w:p w:rsidR="00000000" w:rsidRPr="00704FE4" w:rsidP="00704FE4">
            <w:pPr>
              <w:pStyle w:val="ListBullet"/>
            </w:pPr>
            <w:r w:rsidRPr="00704FE4">
              <w:t>evaluating maintenance-related task activities for effect on performance, reliability and prevention of failure</w:t>
            </w:r>
          </w:p>
          <w:p w:rsidR="00000000" w:rsidRPr="00704FE4" w:rsidP="00704FE4">
            <w:pPr>
              <w:pStyle w:val="ListBullet"/>
            </w:pPr>
            <w:r w:rsidRPr="00704FE4">
              <w:t>solving problems and making decisions using systems thinking</w:t>
            </w:r>
            <w:r w:rsidRPr="00704FE4">
              <w:t xml:space="preserve"> and continuous improvement to address contingencies and constraints</w:t>
            </w:r>
          </w:p>
          <w:p w:rsidR="00000000" w:rsidRPr="00704FE4" w:rsidP="00704FE4">
            <w:pPr>
              <w:pStyle w:val="BodyText"/>
            </w:pPr>
            <w:r w:rsidRPr="00704FE4">
              <w:t xml:space="preserve">reporting and documenting results of investigation, evaluation and integration, diagrams and calculations </w:t>
            </w:r>
          </w:p>
          <w:p w:rsidR="00000000" w:rsidRPr="00704FE4" w:rsidP="00704FE4">
            <w:pPr>
              <w:pStyle w:val="ListBullet"/>
            </w:pPr>
            <w:r w:rsidRPr="00704FE4">
              <w:t>reviewing sustainability implications, functions and features for the engineeri</w:t>
            </w:r>
            <w:r w:rsidRPr="00704FE4">
              <w:t>ng task</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Required knowledge</w:t>
            </w:r>
          </w:p>
        </w:tc>
      </w:tr>
      <w:tr w:rsidTr="00704FE4">
        <w:tblPrEx>
          <w:tblW w:w="9462" w:type="dxa"/>
          <w:tblLayout w:type="fixed"/>
          <w:tblCellMar>
            <w:left w:w="62" w:type="dxa"/>
            <w:right w:w="62" w:type="dxa"/>
          </w:tblCellMar>
          <w:tblLook w:val="0000"/>
        </w:tblPrEx>
        <w:trPr>
          <w:trHeight w:val="799"/>
        </w:trPr>
        <w:tc>
          <w:tcPr>
            <w:tcW w:w="9462" w:type="dxa"/>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Required knowledge includes:</w:t>
            </w:r>
          </w:p>
          <w:p w:rsidR="00000000" w:rsidRPr="00704FE4" w:rsidP="00704FE4">
            <w:pPr>
              <w:pStyle w:val="ListBullet"/>
            </w:pPr>
            <w:r w:rsidRPr="00704FE4">
              <w:t>maintenance and related fundamentals may include:</w:t>
            </w:r>
          </w:p>
          <w:p w:rsidR="00000000" w:rsidRPr="00704FE4" w:rsidP="00704FE4">
            <w:pPr>
              <w:pStyle w:val="ListBullet2"/>
            </w:pPr>
            <w:r w:rsidRPr="00704FE4">
              <w:t>materials properties</w:t>
            </w:r>
          </w:p>
          <w:p w:rsidR="00000000" w:rsidRPr="00704FE4" w:rsidP="00704FE4">
            <w:pPr>
              <w:pStyle w:val="ListBullet2"/>
            </w:pPr>
            <w:r w:rsidRPr="00704FE4">
              <w:t>maintenance methods and processes</w:t>
            </w:r>
          </w:p>
          <w:p w:rsidR="00000000" w:rsidRPr="00704FE4" w:rsidP="00704FE4">
            <w:pPr>
              <w:pStyle w:val="ListBullet2"/>
            </w:pPr>
            <w:r w:rsidRPr="00704FE4">
              <w:t>mechanics</w:t>
            </w:r>
          </w:p>
          <w:p w:rsidR="00000000" w:rsidRPr="00704FE4" w:rsidP="00704FE4">
            <w:pPr>
              <w:pStyle w:val="ListBullet2"/>
            </w:pPr>
            <w:r w:rsidRPr="00704FE4">
              <w:t>chemistry</w:t>
            </w:r>
          </w:p>
          <w:p w:rsidR="00000000" w:rsidRPr="00704FE4" w:rsidP="00704FE4">
            <w:pPr>
              <w:pStyle w:val="ListBullet2"/>
            </w:pPr>
            <w:r w:rsidRPr="00704FE4">
              <w:t xml:space="preserve">thermodynamics </w:t>
            </w:r>
          </w:p>
          <w:p w:rsidR="00000000" w:rsidRPr="00704FE4" w:rsidP="00704FE4">
            <w:pPr>
              <w:pStyle w:val="ListBullet2"/>
            </w:pPr>
            <w:r w:rsidRPr="00704FE4">
              <w:t>fluid mechanics</w:t>
            </w:r>
          </w:p>
          <w:p w:rsidR="00000000" w:rsidRPr="00704FE4" w:rsidP="00704FE4">
            <w:pPr>
              <w:pStyle w:val="ListBullet2"/>
            </w:pPr>
            <w:r w:rsidRPr="00704FE4">
              <w:t>fluid power</w:t>
            </w:r>
          </w:p>
          <w:p w:rsidR="00000000" w:rsidRPr="00704FE4" w:rsidP="00704FE4">
            <w:pPr>
              <w:pStyle w:val="ListBullet2"/>
            </w:pPr>
            <w:r w:rsidRPr="00704FE4">
              <w:t>electrical and electronic fundamentals</w:t>
            </w:r>
          </w:p>
          <w:p w:rsidR="00000000" w:rsidRPr="00704FE4" w:rsidP="00704FE4">
            <w:pPr>
              <w:pStyle w:val="ListBullet2"/>
            </w:pPr>
            <w:r w:rsidRPr="00704FE4">
              <w:t>fundamentals of controller programming, interfacing and signal conditioning</w:t>
            </w:r>
          </w:p>
          <w:p w:rsidR="00000000" w:rsidRPr="00704FE4" w:rsidP="00704FE4">
            <w:pPr>
              <w:pStyle w:val="ListBullet2"/>
            </w:pPr>
            <w:r w:rsidRPr="00704FE4">
              <w:t>computing</w:t>
            </w:r>
          </w:p>
          <w:p w:rsidR="00000000" w:rsidRPr="00704FE4" w:rsidP="00704FE4">
            <w:pPr>
              <w:pStyle w:val="ListBullet2"/>
            </w:pPr>
            <w:r w:rsidRPr="00704FE4">
              <w:t>graphics, including computer-aided design (CAD)</w:t>
            </w:r>
          </w:p>
          <w:p w:rsidR="00000000" w:rsidRPr="00704FE4" w:rsidP="00704FE4">
            <w:pPr>
              <w:pStyle w:val="ListBullet2"/>
            </w:pPr>
            <w:r w:rsidRPr="00704FE4">
              <w:t>workshop and maintenance equipment</w:t>
            </w:r>
          </w:p>
          <w:p w:rsidR="00000000" w:rsidRPr="00704FE4" w:rsidP="00704FE4">
            <w:pPr>
              <w:pStyle w:val="ListBullet"/>
            </w:pPr>
            <w:r w:rsidRPr="00704FE4">
              <w:t>functions and maintainable features of plant, f</w:t>
            </w:r>
            <w:r w:rsidRPr="00704FE4">
              <w:t>acilities and services</w:t>
            </w:r>
          </w:p>
          <w:p w:rsidR="00000000" w:rsidRPr="00704FE4" w:rsidP="00704FE4">
            <w:pPr>
              <w:pStyle w:val="ListBullet"/>
            </w:pPr>
            <w:r w:rsidRPr="00704FE4">
              <w:t>maintenance methods and procedures:</w:t>
            </w:r>
          </w:p>
          <w:p w:rsidR="00000000" w:rsidRPr="00704FE4" w:rsidP="00704FE4">
            <w:pPr>
              <w:pStyle w:val="ListBullet2"/>
            </w:pPr>
            <w:r w:rsidRPr="00704FE4">
              <w:t>breakdown maintenance</w:t>
            </w:r>
          </w:p>
          <w:p w:rsidR="00000000" w:rsidRPr="00704FE4" w:rsidP="00704FE4">
            <w:pPr>
              <w:pStyle w:val="ListBullet2"/>
            </w:pPr>
            <w:r w:rsidRPr="00704FE4">
              <w:t>preventive maintenance</w:t>
            </w:r>
          </w:p>
          <w:p w:rsidR="00000000" w:rsidRPr="00704FE4" w:rsidP="00704FE4">
            <w:pPr>
              <w:pStyle w:val="ListBullet2"/>
            </w:pPr>
            <w:r w:rsidRPr="00704FE4">
              <w:t>predictive maintenance (on-condition)</w:t>
            </w:r>
          </w:p>
          <w:p w:rsidR="00000000" w:rsidRPr="00704FE4" w:rsidP="00704FE4">
            <w:pPr>
              <w:pStyle w:val="ListBullet2"/>
            </w:pPr>
            <w:r w:rsidRPr="00704FE4">
              <w:t>precision maintenance</w:t>
            </w:r>
          </w:p>
          <w:p w:rsidR="00000000" w:rsidRPr="00704FE4" w:rsidP="00704FE4">
            <w:pPr>
              <w:pStyle w:val="ListBullet2"/>
            </w:pPr>
            <w:r w:rsidRPr="00704FE4">
              <w:t>proactive maintenance</w:t>
            </w:r>
          </w:p>
          <w:p w:rsidR="00000000" w:rsidRPr="00704FE4" w:rsidP="00704FE4">
            <w:pPr>
              <w:pStyle w:val="ListBullet2"/>
            </w:pPr>
            <w:r w:rsidRPr="00704FE4">
              <w:t>reliability centred maintenance and modification</w:t>
            </w:r>
          </w:p>
          <w:p w:rsidR="00000000" w:rsidRPr="00704FE4" w:rsidP="00704FE4">
            <w:pPr>
              <w:pStyle w:val="ListBullet2"/>
            </w:pPr>
            <w:r w:rsidRPr="00704FE4">
              <w:t>total productive maintenance</w:t>
            </w:r>
          </w:p>
          <w:p w:rsidR="00000000" w:rsidRPr="00704FE4" w:rsidP="00704FE4">
            <w:pPr>
              <w:pStyle w:val="ListBullet2"/>
            </w:pPr>
            <w:r w:rsidRPr="00704FE4">
              <w:t xml:space="preserve">repair and replace methods and processes </w:t>
            </w:r>
          </w:p>
          <w:p w:rsidR="00000000" w:rsidRPr="00704FE4" w:rsidP="00704FE4">
            <w:pPr>
              <w:pStyle w:val="ListBullet"/>
            </w:pPr>
            <w:r w:rsidRPr="00704FE4">
              <w:t xml:space="preserve">role and application of maintenance-related risk management procedures and analysis </w:t>
            </w:r>
          </w:p>
          <w:p w:rsidR="00000000" w:rsidRPr="00704FE4" w:rsidP="00704FE4">
            <w:pPr>
              <w:pStyle w:val="ListBullet"/>
            </w:pPr>
            <w:r w:rsidRPr="00704FE4">
              <w:t xml:space="preserve">current options and tends in maintenance software </w:t>
            </w:r>
          </w:p>
          <w:p w:rsidR="00000000" w:rsidRPr="00704FE4" w:rsidP="00704FE4">
            <w:pPr>
              <w:pStyle w:val="ListBullet"/>
            </w:pPr>
            <w:r w:rsidRPr="00704FE4">
              <w:t>typical software applications for engineering ma</w:t>
            </w:r>
            <w:r w:rsidRPr="00704FE4">
              <w:t>intenance fundamentals</w:t>
            </w:r>
          </w:p>
          <w:p w:rsidR="00000000" w:rsidRPr="00704FE4" w:rsidP="00704FE4">
            <w:pPr>
              <w:pStyle w:val="BodyText"/>
            </w:pPr>
          </w:p>
        </w:tc>
      </w:tr>
    </w:tbl>
    <w:p w:rsidR="00724675" w:rsidP="00704FE4">
      <w:pPr>
        <w:pStyle w:val="BodyText"/>
      </w:pPr>
    </w:p>
    <w:p w:rsidR="00724675" w:rsidP="00704FE4">
      <w:pPr>
        <w:pStyle w:val="BodyText"/>
      </w:pPr>
    </w:p>
    <w:p w:rsidR="00000000" w:rsidRPr="00704FE4" w:rsidP="00704FE4">
      <w:pPr>
        <w:pStyle w:val="Heading1"/>
      </w:pPr>
      <w:bookmarkStart w:id="10" w:name="O_519137"/>
      <w:bookmarkEnd w:id="10"/>
      <w:r w:rsidRPr="00704FE4">
        <w:t>Evidence Guide</w:t>
      </w:r>
    </w:p>
    <w:tbl>
      <w:tblPr>
        <w:tblW w:w="9462" w:type="dxa"/>
        <w:tblLayout w:type="fixed"/>
        <w:tblCellMar>
          <w:left w:w="62" w:type="dxa"/>
          <w:right w:w="62" w:type="dxa"/>
        </w:tblCellMar>
        <w:tblLook w:val="0000"/>
      </w:tblPr>
      <w:tblGrid>
        <w:gridCol w:w="3800"/>
        <w:gridCol w:w="5662"/>
      </w:tblGrid>
      <w:tr w:rsidTr="00704FE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04FE4">
            <w:pPr>
              <w:pStyle w:val="BodyText"/>
              <w:rPr>
                <w:lang w:val="en-NZ"/>
              </w:rPr>
            </w:pPr>
            <w:r w:rsidRPr="00704FE4">
              <w:t xml:space="preserve">The evidence guide provides advice on assessment and must be read in conjunction with the performance criteria, required skills and knowledge, </w:t>
            </w:r>
            <w:r w:rsidRPr="00704FE4">
              <w:t>range statement and the Assessment Guidelines for the Training Package.</w:t>
            </w:r>
          </w:p>
        </w:tc>
      </w:tr>
      <w:tr w:rsidTr="00704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A person who demonstrates competency in this unit must be able to undertake investigation of an engineering task to determine the maintenance fundamentals requ</w:t>
            </w:r>
            <w:r w:rsidRPr="00704FE4">
              <w:t>ired by the task and integrating them into a task plan and report the plan and any investigations undertaken.</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Assessors must be satisfied that the candidate can competently and consistently:</w:t>
            </w:r>
          </w:p>
          <w:p w:rsidR="00000000" w:rsidRPr="00704FE4" w:rsidP="00704FE4">
            <w:pPr>
              <w:pStyle w:val="ListBullet"/>
            </w:pPr>
            <w:r w:rsidRPr="00704FE4">
              <w:t>communicate, cooperate and negotiate with stakeholders to achieve integration task</w:t>
            </w:r>
          </w:p>
          <w:p w:rsidR="00000000" w:rsidRPr="00704FE4" w:rsidP="00704FE4">
            <w:pPr>
              <w:pStyle w:val="ListBullet"/>
            </w:pPr>
            <w:r w:rsidRPr="00704FE4">
              <w:t>determine task parameters and context, chain of responsibility, WHS, regulatory requirement</w:t>
            </w:r>
            <w:r w:rsidRPr="00704FE4">
              <w:t>s, risk management and organisational procedures</w:t>
            </w:r>
          </w:p>
          <w:p w:rsidR="00000000" w:rsidRPr="00704FE4" w:rsidP="00704FE4">
            <w:pPr>
              <w:pStyle w:val="ListBullet"/>
            </w:pPr>
            <w:r w:rsidRPr="00704FE4">
              <w:t>evaluate task requirements, principles, techniques, typical applications and software</w:t>
            </w:r>
          </w:p>
          <w:p w:rsidR="00000000" w:rsidRPr="00704FE4" w:rsidP="00704FE4">
            <w:pPr>
              <w:pStyle w:val="ListBullet"/>
            </w:pPr>
            <w:r w:rsidRPr="00704FE4">
              <w:t>plan the task</w:t>
            </w:r>
          </w:p>
          <w:p w:rsidR="00000000" w:rsidRPr="00704FE4" w:rsidP="00704FE4">
            <w:pPr>
              <w:pStyle w:val="ListBullet"/>
            </w:pPr>
            <w:r w:rsidRPr="00704FE4">
              <w:t>integrate maintenance fundamentals to achieve task objectives</w:t>
            </w:r>
          </w:p>
          <w:p w:rsidR="00000000" w:rsidRPr="00704FE4" w:rsidP="00704FE4">
            <w:pPr>
              <w:pStyle w:val="ListBullet"/>
            </w:pPr>
            <w:r w:rsidRPr="00704FE4">
              <w:t>report and document results.</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Context of and</w:t>
            </w:r>
            <w:r w:rsidRPr="00704FE4">
              <w:rPr>
                <w:rStyle w:val="SpecialBold"/>
              </w:rPr>
              <w:t xml:space="preserve">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ListBullet"/>
            </w:pPr>
            <w:r w:rsidRPr="00704FE4">
              <w:t>This unit may be assessed on the job, off the job or a combination of both on and off the job. Where assessment occurs off the job, then a simulated working environment must be used where the range of conditions reflects</w:t>
            </w:r>
            <w:r w:rsidRPr="00704FE4">
              <w:t xml:space="preserve"> realistic workplace situations. The competencies covered by this unit would be demonstrated by an individual working alone or as part of a team. </w:t>
            </w:r>
          </w:p>
          <w:p w:rsidR="00000000" w:rsidRPr="00704FE4" w:rsidP="00704FE4">
            <w:pPr>
              <w:pStyle w:val="ListBullet"/>
            </w:pPr>
            <w:r w:rsidRPr="00704FE4">
              <w:t>Where applicable, reasonable adjustment must be made to work environments and training situations to accommod</w:t>
            </w:r>
            <w:r w:rsidRPr="00704FE4">
              <w:t>ate ethnicity, age, gender, demographics and disability.</w:t>
            </w:r>
          </w:p>
          <w:p w:rsidR="00000000" w:rsidRPr="00704FE4" w:rsidP="00704FE4">
            <w:pPr>
              <w:pStyle w:val="ListBullet"/>
            </w:pPr>
            <w:r w:rsidRPr="00704FE4">
              <w:t>Access must be provided to appropriate learning and/or assessment support when required. Where applicable, physical resources should include equipment modified for people with disabilities.</w:t>
            </w:r>
          </w:p>
          <w:p w:rsidR="00000000" w:rsidRPr="00704FE4" w:rsidP="00704FE4">
            <w:pPr>
              <w:pStyle w:val="ListBullet"/>
            </w:pP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ListBullet"/>
            </w:pPr>
            <w:r w:rsidRPr="00704FE4">
              <w:t>Assessment must satisfy the endorsed Assessment Guidelines of the MEM05 Metal and Engineering Training Package.</w:t>
            </w:r>
          </w:p>
          <w:p w:rsidR="00000000" w:rsidRPr="00704FE4" w:rsidP="00704FE4">
            <w:pPr>
              <w:pStyle w:val="ListBullet"/>
            </w:pPr>
            <w:r w:rsidRPr="00704FE4">
              <w:t>Assessment methods must confirm consistency and accuracy of performance (over time and in a range of workplace relevant co</w:t>
            </w:r>
            <w:r w:rsidRPr="00704FE4">
              <w:t>ntexts) together with application of underpinning knowledge.</w:t>
            </w:r>
          </w:p>
          <w:p w:rsidR="00000000" w:rsidRPr="00704FE4" w:rsidP="00704FE4">
            <w:pPr>
              <w:pStyle w:val="ListBullet"/>
            </w:pPr>
            <w:r w:rsidRPr="00704FE4">
              <w:t>Assessment methods must be by direct observation of tasks and include questioning on underpinning knowledge to ensure correct interpretation and application.</w:t>
            </w:r>
          </w:p>
          <w:p w:rsidR="00000000" w:rsidRPr="00704FE4" w:rsidP="00704FE4">
            <w:pPr>
              <w:pStyle w:val="ListBullet"/>
            </w:pPr>
            <w:r w:rsidRPr="00704FE4">
              <w:t>Assessment may be applied under proje</w:t>
            </w:r>
            <w:r w:rsidRPr="00704FE4">
              <w:t>ct-related conditions (real or simulated) and require evidence of process.</w:t>
            </w:r>
          </w:p>
          <w:p w:rsidR="00000000" w:rsidRPr="00704FE4" w:rsidP="00704FE4">
            <w:pPr>
              <w:pStyle w:val="ListBullet"/>
            </w:pPr>
            <w:r w:rsidRPr="00704FE4">
              <w:t>Assessment must confirm a reasonable inference that competency is not only able to be satisfied under the particular circumstance, but is able to be transferred to other circumstanc</w:t>
            </w:r>
            <w:r w:rsidRPr="00704FE4">
              <w:t>es.</w:t>
            </w:r>
          </w:p>
          <w:p w:rsidR="00000000" w:rsidRPr="00704FE4" w:rsidP="00704FE4">
            <w:pPr>
              <w:pStyle w:val="ListBullet"/>
            </w:pPr>
            <w:r w:rsidRPr="00704FE4">
              <w:t>Assessment may be in conjunction with assessment of other units of competency where required.</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Assessment processes and techniques must be culturally appropriate and appropriate to the language and literacy capacity</w:t>
            </w:r>
            <w:r w:rsidRPr="00704FE4">
              <w:t xml:space="preserve"> of the candidate and the work being performed.</w:t>
            </w:r>
          </w:p>
          <w:p w:rsidR="00000000" w:rsidRPr="00704FE4" w:rsidP="00704FE4">
            <w:pPr>
              <w:pStyle w:val="BodyText"/>
            </w:pPr>
          </w:p>
        </w:tc>
      </w:tr>
    </w:tbl>
    <w:p w:rsidR="00724675" w:rsidP="00704FE4">
      <w:pPr>
        <w:pStyle w:val="BodyText"/>
      </w:pPr>
    </w:p>
    <w:p w:rsidR="00724675" w:rsidP="00704FE4">
      <w:pPr>
        <w:pStyle w:val="BodyText"/>
      </w:pPr>
    </w:p>
    <w:p w:rsidR="00000000" w:rsidRPr="00704FE4" w:rsidP="00704FE4">
      <w:pPr>
        <w:pStyle w:val="Heading1"/>
      </w:pPr>
      <w:bookmarkStart w:id="11" w:name="O_519136"/>
      <w:bookmarkEnd w:id="11"/>
      <w:r w:rsidRPr="00704FE4">
        <w:t>Range Statement</w:t>
      </w:r>
    </w:p>
    <w:tbl>
      <w:tblPr>
        <w:tblW w:w="9462" w:type="dxa"/>
        <w:tblLayout w:type="fixed"/>
        <w:tblCellMar>
          <w:left w:w="62" w:type="dxa"/>
          <w:right w:w="62" w:type="dxa"/>
        </w:tblCellMar>
        <w:tblLook w:val="0000"/>
      </w:tblPr>
      <w:tblGrid>
        <w:gridCol w:w="2835"/>
        <w:gridCol w:w="6627"/>
      </w:tblGrid>
      <w:tr w:rsidTr="00704FE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04FE4">
            <w:pPr>
              <w:pStyle w:val="BodyText"/>
              <w:rPr>
                <w:lang w:val="en-NZ"/>
              </w:rPr>
            </w:pPr>
            <w:r w:rsidRPr="00704FE4">
              <w:t xml:space="preserve">The range statement relates to the unit of competency as a whole. It allows for different work environments and situations that may affect </w:t>
            </w:r>
            <w:r w:rsidRPr="00704FE4">
              <w:t>performance. Bold italicised wording, if used in the performance criteria, is detailed below. Essential operating conditions that may be present with training and assessment (depending on the work situation, needs of the candidate, accessibility of the ite</w:t>
            </w:r>
            <w:r w:rsidRPr="00704FE4">
              <w:t>m, and local industry and regional contexts) may also be included.</w:t>
            </w: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Integrate maintenance fundamentals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t xml:space="preserve">Integrate maintenance fundamentals refers to situations where maintenance skills and knowledge must be applied across more than one engineering, system </w:t>
            </w:r>
            <w:r w:rsidRPr="00704FE4">
              <w:t>or application area to achieve a task objective</w:t>
            </w: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Appropriate licensed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Appropriate licensed technical and professional assistance may include:</w:t>
            </w:r>
          </w:p>
          <w:p w:rsidR="00000000" w:rsidRPr="00704FE4" w:rsidP="00704FE4">
            <w:pPr>
              <w:pStyle w:val="ListBullet"/>
            </w:pPr>
            <w:r w:rsidRPr="00704FE4">
              <w:t>technical support and advice relating to elements which have intrinsic dangers, such as:</w:t>
            </w:r>
          </w:p>
          <w:p w:rsidR="00000000" w:rsidRPr="00704FE4" w:rsidP="00704FE4">
            <w:pPr>
              <w:pStyle w:val="ListBullet2"/>
            </w:pPr>
            <w:r w:rsidRPr="00704FE4">
              <w:t>high pressure</w:t>
            </w:r>
          </w:p>
          <w:p w:rsidR="00000000" w:rsidRPr="00704FE4" w:rsidP="00704FE4">
            <w:pPr>
              <w:pStyle w:val="ListBullet2"/>
            </w:pPr>
            <w:r w:rsidRPr="00704FE4">
              <w:t>energised fluid vessels</w:t>
            </w:r>
          </w:p>
          <w:p w:rsidR="00000000" w:rsidRPr="00704FE4" w:rsidP="00704FE4">
            <w:pPr>
              <w:pStyle w:val="ListBullet2"/>
            </w:pPr>
            <w:r w:rsidRPr="00704FE4">
              <w:t>high temperatures and heat energy capacity</w:t>
            </w:r>
          </w:p>
          <w:p w:rsidR="00000000" w:rsidRPr="00704FE4" w:rsidP="00704FE4">
            <w:pPr>
              <w:pStyle w:val="ListBullet2"/>
            </w:pPr>
            <w:r w:rsidRPr="00704FE4">
              <w:t>wiring with high current control voltages above extra low voltage</w:t>
            </w:r>
          </w:p>
          <w:p w:rsidR="00000000" w:rsidRPr="00704FE4" w:rsidP="00704FE4">
            <w:pPr>
              <w:pStyle w:val="ListBullet"/>
            </w:pPr>
            <w:r w:rsidRPr="00704FE4">
              <w:t>professional support for technologies, may include:</w:t>
            </w:r>
          </w:p>
          <w:p w:rsidR="00000000" w:rsidRPr="00704FE4" w:rsidP="00704FE4">
            <w:pPr>
              <w:pStyle w:val="ListBullet2"/>
            </w:pPr>
            <w:r w:rsidRPr="00704FE4">
              <w:t>specialist electric motor drives and controllers</w:t>
            </w:r>
          </w:p>
          <w:p w:rsidR="00000000" w:rsidRPr="00704FE4" w:rsidP="00704FE4">
            <w:pPr>
              <w:pStyle w:val="ListBullet2"/>
            </w:pPr>
            <w:r w:rsidRPr="00704FE4">
              <w:t>specialist materials, plastics, metal alloys and nano materials</w:t>
            </w:r>
          </w:p>
          <w:p w:rsidR="00000000" w:rsidRPr="00704FE4" w:rsidP="00704FE4">
            <w:pPr>
              <w:pStyle w:val="ListBullet2"/>
            </w:pPr>
            <w:r w:rsidRPr="00704FE4">
              <w:t xml:space="preserve">special processes, foundry, alloy welding, heat treatment, sealing </w:t>
            </w:r>
            <w:r w:rsidRPr="00704FE4">
              <w:t>and fastening</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rPr>
                <w:rStyle w:val="SpecialBold"/>
              </w:rPr>
              <w:t>WHS, re</w:t>
            </w:r>
            <w:r w:rsidRPr="00704FE4">
              <w:rPr>
                <w:rStyle w:val="SpecialBold"/>
              </w:rPr>
              <w:t>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WHS, regulatory requirements and enterprise procedures may include:</w:t>
            </w:r>
          </w:p>
          <w:p w:rsidR="00000000" w:rsidRPr="00704FE4" w:rsidP="00704FE4">
            <w:pPr>
              <w:pStyle w:val="ListBullet"/>
            </w:pPr>
            <w:r w:rsidRPr="00704FE4">
              <w:t>WHS Acts and regulations</w:t>
            </w:r>
          </w:p>
          <w:p w:rsidR="00000000" w:rsidRPr="00704FE4" w:rsidP="00704FE4">
            <w:pPr>
              <w:pStyle w:val="ListBullet"/>
            </w:pPr>
            <w:r w:rsidRPr="00704FE4">
              <w:t>relevant standards</w:t>
            </w:r>
          </w:p>
          <w:p w:rsidR="00000000" w:rsidRPr="00704FE4" w:rsidP="00704FE4">
            <w:pPr>
              <w:pStyle w:val="ListBullet"/>
            </w:pPr>
            <w:r w:rsidRPr="00704FE4">
              <w:t>codes of practice from Australian and overseas engineering and technical associations and societies</w:t>
            </w:r>
          </w:p>
          <w:p w:rsidR="00000000" w:rsidRPr="00704FE4" w:rsidP="00704FE4">
            <w:pPr>
              <w:pStyle w:val="ListBullet"/>
            </w:pPr>
            <w:r w:rsidRPr="00704FE4">
              <w:t>risk assessments</w:t>
            </w:r>
          </w:p>
          <w:p w:rsidR="00000000" w:rsidRPr="00704FE4" w:rsidP="00704FE4">
            <w:pPr>
              <w:pStyle w:val="ListBullet"/>
            </w:pPr>
            <w:r w:rsidRPr="00704FE4">
              <w:t xml:space="preserve">registration requirements </w:t>
            </w:r>
          </w:p>
          <w:p w:rsidR="00000000" w:rsidRPr="00704FE4" w:rsidP="00704FE4">
            <w:pPr>
              <w:pStyle w:val="ListBullet"/>
            </w:pPr>
            <w:r w:rsidRPr="00704FE4">
              <w:t>safe work practices</w:t>
            </w:r>
          </w:p>
          <w:p w:rsidR="00000000" w:rsidRPr="00704FE4" w:rsidP="00704FE4">
            <w:pPr>
              <w:pStyle w:val="ListBullet"/>
            </w:pPr>
            <w:r w:rsidRPr="00704FE4">
              <w:t xml:space="preserve">state and territory regulatory requirements </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 xml:space="preserve">Systems thinking refers to </w:t>
            </w:r>
            <w:r w:rsidRPr="00704FE4">
              <w:t>the conduct of engineering work in a manner that demonstrates knowledge of how the interaction of different technical systems on equipment, machinery or structures, as well as the skills and techniques of personnel, combine to perform or support engineerin</w:t>
            </w:r>
            <w:r w:rsidRPr="00704FE4">
              <w:t>g-related operations, processes or projects. It embraces determining or establishing how the function of each technical system or component, as well as the skills and techniques of personnel, effects or potentially may effect, outcomes. Systems should be i</w:t>
            </w:r>
            <w:r w:rsidRPr="00704FE4">
              <w:t>nterpreted broadly within the context of the organisation and depending on the project or operation can include equipment, related facilities, material, software, internal services and personnel, and other organisations in the value chain.</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 xml:space="preserve">Continuous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Continuous improvement implementation may relate to plant, products, processes, systems or services, including design, development, implementation or manufacture, commissioning, operation or delivery and maintenance.</w:t>
            </w:r>
          </w:p>
          <w:p w:rsidR="00000000" w:rsidRPr="00704FE4" w:rsidP="00704FE4">
            <w:pPr>
              <w:pStyle w:val="BodyText"/>
            </w:pPr>
            <w:r w:rsidRPr="00704FE4">
              <w:t>Improvement processes may include techniques, such as:</w:t>
            </w:r>
          </w:p>
          <w:p w:rsidR="00000000" w:rsidRPr="00704FE4" w:rsidP="00704FE4">
            <w:pPr>
              <w:pStyle w:val="ListBullet"/>
            </w:pPr>
            <w:r w:rsidRPr="00704FE4">
              <w:t xml:space="preserve">balanced scorecard </w:t>
            </w:r>
          </w:p>
          <w:p w:rsidR="00000000" w:rsidRPr="00704FE4" w:rsidP="00704FE4">
            <w:pPr>
              <w:pStyle w:val="ListBullet"/>
            </w:pPr>
            <w:r w:rsidRPr="00704FE4">
              <w:t>current and future state mapping</w:t>
            </w:r>
          </w:p>
          <w:p w:rsidR="00000000" w:rsidRPr="00704FE4" w:rsidP="00704FE4">
            <w:pPr>
              <w:pStyle w:val="ListBullet"/>
            </w:pPr>
            <w:r w:rsidRPr="00704FE4">
              <w:t xml:space="preserve">measuring performance against benchmarks </w:t>
            </w:r>
          </w:p>
          <w:p w:rsidR="00000000" w:rsidRPr="00704FE4" w:rsidP="00704FE4">
            <w:pPr>
              <w:pStyle w:val="ListBullet"/>
            </w:pPr>
            <w:r w:rsidRPr="00704FE4">
              <w:t>process improvement, problem solving and decision making</w:t>
            </w:r>
          </w:p>
          <w:p w:rsidR="00000000" w:rsidRPr="00704FE4" w:rsidP="00704FE4">
            <w:pPr>
              <w:pStyle w:val="ListBullet"/>
            </w:pPr>
            <w:r w:rsidRPr="00704FE4">
              <w:t>data management, generation, recording, analysin</w:t>
            </w:r>
            <w:r w:rsidRPr="00704FE4">
              <w:t>g, storing and use of software</w:t>
            </w:r>
          </w:p>
          <w:p w:rsidR="00000000" w:rsidRPr="00704FE4" w:rsidP="00704FE4">
            <w:pPr>
              <w:pStyle w:val="ListBullet"/>
            </w:pPr>
            <w:r w:rsidRPr="00704FE4">
              <w:t>training for improvement systems participation</w:t>
            </w:r>
          </w:p>
          <w:p w:rsidR="00000000" w:rsidRPr="00704FE4" w:rsidP="00704FE4">
            <w:pPr>
              <w:pStyle w:val="ListBullet"/>
            </w:pPr>
            <w:r w:rsidRPr="00704FE4">
              <w:t>technical training</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Constraints and contingencies may include:</w:t>
            </w:r>
          </w:p>
          <w:p w:rsidR="00000000" w:rsidRPr="00704FE4" w:rsidP="00704FE4">
            <w:pPr>
              <w:pStyle w:val="ListBullet"/>
            </w:pPr>
            <w:r w:rsidRPr="00704FE4">
              <w:t>financial</w:t>
            </w:r>
          </w:p>
          <w:p w:rsidR="00000000" w:rsidRPr="00704FE4" w:rsidP="00704FE4">
            <w:pPr>
              <w:pStyle w:val="ListBullet"/>
            </w:pPr>
            <w:r w:rsidRPr="00704FE4">
              <w:t>organisation procedural or culture</w:t>
            </w:r>
          </w:p>
          <w:p w:rsidR="00000000" w:rsidRPr="00704FE4" w:rsidP="00704FE4">
            <w:pPr>
              <w:pStyle w:val="ListBullet"/>
            </w:pPr>
            <w:r w:rsidRPr="00704FE4">
              <w:t>physical constraints such as limits to resources, limits to site access or logistical limitations</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Maintenance system data</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Maintenance system data may include:</w:t>
            </w:r>
          </w:p>
          <w:p w:rsidR="00000000" w:rsidRPr="00704FE4" w:rsidP="00704FE4">
            <w:pPr>
              <w:pStyle w:val="ListBullet"/>
            </w:pPr>
            <w:r w:rsidRPr="00704FE4">
              <w:t>asset ID and plant warranties</w:t>
            </w:r>
          </w:p>
          <w:p w:rsidR="00000000" w:rsidRPr="00704FE4" w:rsidP="00704FE4">
            <w:pPr>
              <w:pStyle w:val="ListBullet"/>
            </w:pPr>
            <w:r w:rsidRPr="00704FE4">
              <w:t>standard repair schemes</w:t>
            </w:r>
          </w:p>
          <w:p w:rsidR="00000000" w:rsidRPr="00704FE4" w:rsidP="00704FE4">
            <w:pPr>
              <w:pStyle w:val="ListBullet"/>
            </w:pPr>
            <w:r w:rsidRPr="00704FE4">
              <w:t>modification data and configuration</w:t>
            </w:r>
          </w:p>
          <w:p w:rsidR="00000000" w:rsidRPr="00704FE4" w:rsidP="00704FE4">
            <w:pPr>
              <w:pStyle w:val="ListBullet"/>
            </w:pPr>
            <w:r w:rsidRPr="00704FE4">
              <w:t>proc</w:t>
            </w:r>
            <w:r w:rsidRPr="00704FE4">
              <w:t>edural documents:</w:t>
            </w:r>
          </w:p>
          <w:p w:rsidR="00000000" w:rsidRPr="00704FE4" w:rsidP="00704FE4">
            <w:pPr>
              <w:pStyle w:val="ListBullet2"/>
            </w:pPr>
            <w:r w:rsidRPr="00704FE4">
              <w:t>monitoring and preventative maintenance schedules</w:t>
            </w:r>
          </w:p>
          <w:p w:rsidR="00000000" w:rsidRPr="00704FE4" w:rsidP="00704FE4">
            <w:pPr>
              <w:pStyle w:val="ListBullet2"/>
            </w:pPr>
            <w:r w:rsidRPr="00704FE4">
              <w:t>safe work methods statements</w:t>
            </w:r>
          </w:p>
          <w:p w:rsidR="00000000" w:rsidRPr="00704FE4" w:rsidP="00704FE4">
            <w:pPr>
              <w:pStyle w:val="ListBullet2"/>
            </w:pPr>
            <w:r w:rsidRPr="00704FE4">
              <w:t>material safety data sheets (MSDS)</w:t>
            </w:r>
          </w:p>
          <w:p w:rsidR="00000000" w:rsidRPr="00704FE4" w:rsidP="00704FE4">
            <w:pPr>
              <w:pStyle w:val="ListBullet2"/>
            </w:pPr>
            <w:r w:rsidRPr="00704FE4">
              <w:t>work permits</w:t>
            </w:r>
          </w:p>
          <w:p w:rsidR="00000000" w:rsidRPr="00704FE4" w:rsidP="00704FE4">
            <w:pPr>
              <w:pStyle w:val="ListBullet"/>
            </w:pPr>
            <w:r w:rsidRPr="00704FE4">
              <w:t>monitoring reports and system measurements</w:t>
            </w:r>
          </w:p>
          <w:p w:rsidR="00000000" w:rsidRPr="00704FE4" w:rsidP="00704FE4">
            <w:pPr>
              <w:pStyle w:val="ListBullet"/>
            </w:pPr>
            <w:r w:rsidRPr="00704FE4">
              <w:t>maintenance actions and costs</w:t>
            </w:r>
          </w:p>
          <w:p w:rsidR="00000000" w:rsidRPr="00704FE4" w:rsidP="00704FE4">
            <w:pPr>
              <w:pStyle w:val="ListBullet"/>
            </w:pPr>
            <w:r w:rsidRPr="00704FE4">
              <w:t>spares inventory control</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Standards and codes refer to all relevant Australian and international standards and codes applicable to a particular engineering integration task</w:t>
            </w:r>
          </w:p>
          <w:p w:rsidR="00000000" w:rsidP="00704FE4">
            <w:pPr>
              <w:pStyle w:val="BodyText"/>
              <w:rPr>
                <w:lang w:val="en-NZ"/>
              </w:rPr>
            </w:pPr>
          </w:p>
        </w:tc>
      </w:tr>
      <w:tr w:rsidTr="00704FE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FE4">
            <w:pPr>
              <w:pStyle w:val="BodyText"/>
              <w:rPr>
                <w:lang w:val="en-NZ"/>
              </w:rPr>
            </w:pPr>
            <w:r w:rsidRPr="00704FE4">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FE4" w:rsidP="00704FE4">
            <w:pPr>
              <w:pStyle w:val="BodyText"/>
            </w:pPr>
            <w:r w:rsidRPr="00704FE4">
              <w:t>Sustainability is used to mean the entire sustainable performance of the</w:t>
            </w:r>
            <w:r w:rsidRPr="00704FE4">
              <w:t xml:space="preserve"> organisation/plant, including:</w:t>
            </w:r>
          </w:p>
          <w:p w:rsidR="00000000" w:rsidRPr="00704FE4" w:rsidP="00704FE4">
            <w:pPr>
              <w:pStyle w:val="ListBullet"/>
            </w:pPr>
            <w:r w:rsidRPr="00704FE4">
              <w:t>meeting all regulatory requirements</w:t>
            </w:r>
          </w:p>
          <w:p w:rsidR="00000000" w:rsidRPr="00704FE4" w:rsidP="00704FE4">
            <w:pPr>
              <w:pStyle w:val="ListBullet"/>
            </w:pPr>
            <w:r w:rsidRPr="00704FE4">
              <w:t>conforming to all industry covenants, protocols and best practice guides</w:t>
            </w:r>
          </w:p>
          <w:p w:rsidR="00000000" w:rsidRPr="00704FE4" w:rsidP="00704FE4">
            <w:pPr>
              <w:pStyle w:val="ListBullet"/>
            </w:pPr>
            <w:r w:rsidRPr="00704FE4">
              <w:t>minimising ecological and environmental footprint of process, plant and product</w:t>
            </w:r>
          </w:p>
          <w:p w:rsidR="00000000" w:rsidRPr="00704FE4" w:rsidP="00704FE4">
            <w:pPr>
              <w:pStyle w:val="ListBullet"/>
            </w:pPr>
            <w:r w:rsidRPr="00704FE4">
              <w:t>maximising economic benefit of pro</w:t>
            </w:r>
            <w:r w:rsidRPr="00704FE4">
              <w:t xml:space="preserve">cess plant and product to the organisation and the community </w:t>
            </w:r>
          </w:p>
          <w:p w:rsidR="00000000" w:rsidRPr="00704FE4" w:rsidP="00704FE4">
            <w:pPr>
              <w:pStyle w:val="ListBullet"/>
            </w:pPr>
            <w:r w:rsidRPr="00704FE4">
              <w:t>minimising the negative WHS impact on employees, community and customer</w:t>
            </w:r>
          </w:p>
          <w:p w:rsidR="00000000" w:rsidRPr="00704FE4" w:rsidP="00704FE4">
            <w:pPr>
              <w:pStyle w:val="BodyText"/>
            </w:pPr>
          </w:p>
        </w:tc>
      </w:tr>
    </w:tbl>
    <w:p w:rsidR="00724675" w:rsidP="00704FE4">
      <w:pPr>
        <w:pStyle w:val="BodyText"/>
      </w:pPr>
    </w:p>
    <w:p w:rsidR="00724675" w:rsidP="00704FE4">
      <w:pPr>
        <w:pStyle w:val="BodyText"/>
      </w:pPr>
    </w:p>
    <w:p w:rsidR="00000000" w:rsidRPr="00704FE4" w:rsidP="00704FE4">
      <w:pPr>
        <w:pStyle w:val="Heading1"/>
      </w:pPr>
      <w:bookmarkStart w:id="12" w:name="O_519135"/>
      <w:bookmarkEnd w:id="12"/>
      <w:r w:rsidRPr="00704FE4">
        <w:t>Unit Sector(s)</w:t>
      </w:r>
    </w:p>
    <w:tbl>
      <w:tblPr>
        <w:tblW w:w="0" w:type="auto"/>
        <w:tblCellMar>
          <w:left w:w="62" w:type="dxa"/>
          <w:right w:w="62" w:type="dxa"/>
        </w:tblCellMar>
        <w:tblLook w:val="0000"/>
      </w:tblPr>
      <w:tblGrid>
        <w:gridCol w:w="2576"/>
        <w:gridCol w:w="6620"/>
      </w:tblGrid>
      <w:tr w:rsidTr="007246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04FE4">
            <w:pPr>
              <w:pStyle w:val="BodyText"/>
              <w:rPr>
                <w:lang w:val="en-NZ"/>
              </w:rPr>
            </w:pPr>
          </w:p>
        </w:tc>
      </w:tr>
      <w:tr w:rsidTr="007246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FE4">
            <w:pPr>
              <w:pStyle w:val="BodyText"/>
              <w:rPr>
                <w:lang w:val="en-NZ"/>
              </w:rPr>
            </w:pPr>
            <w:r w:rsidRPr="00704FE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04FE4" w:rsidP="00704FE4">
            <w:pPr>
              <w:pStyle w:val="BodyText"/>
            </w:pPr>
            <w:r w:rsidRPr="00704FE4">
              <w:t>Planning</w:t>
            </w:r>
          </w:p>
        </w:tc>
      </w:tr>
    </w:tbl>
    <w:p w:rsidR="00000000" w:rsidRPr="00704FE4" w:rsidP="00704FE4">
      <w:pPr>
        <w:pStyle w:val="BodyText"/>
      </w:pPr>
    </w:p>
    <w:p w:rsidR="00000000" w:rsidRPr="00704FE4" w:rsidP="00704FE4">
      <w:pPr>
        <w:pStyle w:val="AllowPageBreak"/>
      </w:pPr>
    </w:p>
    <w:p w:rsidR="00000000" w:rsidRPr="00704FE4" w:rsidP="00704FE4">
      <w:pPr>
        <w:pStyle w:val="Heading1"/>
      </w:pPr>
      <w:bookmarkStart w:id="13" w:name="O_519134"/>
      <w:bookmarkEnd w:id="13"/>
      <w:r w:rsidRPr="00704FE4">
        <w:t>Custom Content Section</w:t>
      </w:r>
    </w:p>
    <w:p w:rsidR="00000000" w:rsidRPr="00704FE4" w:rsidP="00704FE4">
      <w:pPr>
        <w:pStyle w:val="BodyText"/>
      </w:pPr>
      <w:r w:rsidRPr="00704FE4">
        <w:t>Not applicable.</w:t>
      </w:r>
    </w:p>
    <w:p w:rsidR="00000000" w:rsidRPr="00704FE4" w:rsidP="00704FE4"/>
    <w:sectPr w:rsidSect="00704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E4" w:rsidRPr="00724675" w:rsidP="007246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75" w:rsidP="00704F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4675" w:rsidP="00704F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4675" w:rsidP="00704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E4" w:rsidRPr="00724675" w:rsidP="007246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75" w:rsidRPr="002D2AF8" w:rsidP="00704FE4">
    <w:pPr>
      <w:pStyle w:val="Header"/>
      <w:framePr w:wrap="around"/>
    </w:pPr>
    <w:r>
      <w:fldChar w:fldCharType="begin"/>
    </w:r>
    <w:r>
      <w:instrText xml:space="preserve"> TITLE   \* MERGEFORMAT </w:instrText>
    </w:r>
    <w:r>
      <w:fldChar w:fldCharType="separate"/>
    </w:r>
    <w:r>
      <w:t>MEM14092A Integrate maintenance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724675" w:rsidP="00704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1CA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E7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EF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FE4"/>
    <w:pPr>
      <w:spacing w:before="360" w:after="60"/>
      <w:outlineLvl w:val="0"/>
    </w:pPr>
    <w:rPr>
      <w:sz w:val="32"/>
    </w:rPr>
  </w:style>
  <w:style w:type="paragraph" w:styleId="Heading2">
    <w:name w:val="heading 2"/>
    <w:basedOn w:val="HeadingBase"/>
    <w:next w:val="BodyText"/>
    <w:link w:val="Heading2Char"/>
    <w:qFormat/>
    <w:rsid w:val="00704FE4"/>
    <w:pPr>
      <w:keepLines/>
      <w:spacing w:before="240" w:after="120"/>
      <w:outlineLvl w:val="1"/>
    </w:pPr>
    <w:rPr>
      <w:sz w:val="28"/>
      <w:szCs w:val="40"/>
    </w:rPr>
  </w:style>
  <w:style w:type="paragraph" w:styleId="Heading3">
    <w:name w:val="heading 3"/>
    <w:basedOn w:val="HeadingBase"/>
    <w:next w:val="BodyText"/>
    <w:link w:val="Heading3Char"/>
    <w:qFormat/>
    <w:rsid w:val="00704FE4"/>
    <w:pPr>
      <w:spacing w:before="180" w:after="120"/>
      <w:outlineLvl w:val="2"/>
    </w:pPr>
    <w:rPr>
      <w:spacing w:val="-10"/>
      <w:kern w:val="32"/>
    </w:rPr>
  </w:style>
  <w:style w:type="paragraph" w:styleId="Heading4">
    <w:name w:val="heading 4"/>
    <w:basedOn w:val="HeadingBase"/>
    <w:next w:val="BodyText"/>
    <w:link w:val="Heading4Char"/>
    <w:qFormat/>
    <w:rsid w:val="00704FE4"/>
    <w:pPr>
      <w:spacing w:before="160" w:after="120"/>
      <w:outlineLvl w:val="3"/>
    </w:pPr>
    <w:rPr>
      <w:sz w:val="22"/>
    </w:rPr>
  </w:style>
  <w:style w:type="paragraph" w:styleId="Heading5">
    <w:name w:val="heading 5"/>
    <w:basedOn w:val="HeadingBase"/>
    <w:next w:val="Normal"/>
    <w:link w:val="Heading5Char"/>
    <w:qFormat/>
    <w:rsid w:val="00704FE4"/>
    <w:pPr>
      <w:spacing w:before="80"/>
      <w:outlineLvl w:val="4"/>
    </w:pPr>
    <w:rPr>
      <w:color w:val="918585"/>
      <w:sz w:val="20"/>
    </w:rPr>
  </w:style>
  <w:style w:type="paragraph" w:styleId="Heading6">
    <w:name w:val="heading 6"/>
    <w:basedOn w:val="HeadingBase"/>
    <w:next w:val="Normal"/>
    <w:link w:val="Heading6Char"/>
    <w:qFormat/>
    <w:rsid w:val="00704FE4"/>
    <w:pPr>
      <w:spacing w:before="60"/>
      <w:outlineLvl w:val="5"/>
    </w:pPr>
    <w:rPr>
      <w:color w:val="918585"/>
      <w:sz w:val="20"/>
    </w:rPr>
  </w:style>
  <w:style w:type="paragraph" w:styleId="Heading7">
    <w:name w:val="heading 7"/>
    <w:basedOn w:val="Normal"/>
    <w:next w:val="Normal"/>
    <w:link w:val="Heading7Char"/>
    <w:qFormat/>
    <w:rsid w:val="00704FE4"/>
    <w:pPr>
      <w:ind w:left="720"/>
      <w:outlineLvl w:val="6"/>
    </w:pPr>
    <w:rPr>
      <w:i/>
    </w:rPr>
  </w:style>
  <w:style w:type="paragraph" w:styleId="Heading8">
    <w:name w:val="heading 8"/>
    <w:basedOn w:val="Normal"/>
    <w:next w:val="Normal"/>
    <w:link w:val="Heading8Char"/>
    <w:qFormat/>
    <w:rsid w:val="00704FE4"/>
    <w:pPr>
      <w:ind w:left="720"/>
      <w:outlineLvl w:val="7"/>
    </w:pPr>
    <w:rPr>
      <w:i/>
    </w:rPr>
  </w:style>
  <w:style w:type="paragraph" w:styleId="Heading9">
    <w:name w:val="heading 9"/>
    <w:basedOn w:val="Normal"/>
    <w:next w:val="Normal"/>
    <w:link w:val="Heading9Char"/>
    <w:qFormat/>
    <w:rsid w:val="00704FE4"/>
    <w:pPr>
      <w:ind w:left="720"/>
      <w:outlineLvl w:val="8"/>
    </w:pPr>
    <w:rPr>
      <w:i/>
    </w:rPr>
  </w:style>
  <w:style w:type="character" w:default="1" w:styleId="DefaultParagraphFont">
    <w:name w:val="Default Paragraph Font"/>
    <w:uiPriority w:val="1"/>
    <w:unhideWhenUsed/>
    <w:rsid w:val="00704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FE4"/>
  </w:style>
  <w:style w:type="character" w:customStyle="1" w:styleId="Heading1Char">
    <w:name w:val="Heading 1 Char"/>
    <w:basedOn w:val="DefaultParagraphFont"/>
    <w:link w:val="Heading1"/>
    <w:rsid w:val="00704FE4"/>
    <w:rPr>
      <w:rFonts w:ascii="Times New Roman" w:eastAsia="Times New Roman" w:hAnsi="Times New Roman" w:cs="Times New Roman"/>
      <w:b/>
      <w:sz w:val="32"/>
      <w:szCs w:val="20"/>
      <w:lang w:eastAsia="en-US"/>
    </w:rPr>
  </w:style>
  <w:style w:type="paragraph" w:styleId="BodyText">
    <w:name w:val="Body Text"/>
    <w:basedOn w:val="Normal"/>
    <w:link w:val="BodyTextChar"/>
    <w:rsid w:val="00704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FE4"/>
    <w:rPr>
      <w:rFonts w:ascii="Times New Roman" w:eastAsia="Times New Roman" w:hAnsi="Times New Roman" w:cs="Times New Roman"/>
      <w:sz w:val="24"/>
      <w:lang w:eastAsia="en-US"/>
    </w:rPr>
  </w:style>
  <w:style w:type="paragraph" w:styleId="ListBullet">
    <w:name w:val="List Bullet"/>
    <w:basedOn w:val="List"/>
    <w:rsid w:val="00704FE4"/>
    <w:pPr>
      <w:numPr>
        <w:numId w:val="13"/>
      </w:numPr>
      <w:tabs>
        <w:tab w:val="clear" w:pos="340"/>
      </w:tabs>
      <w:spacing w:before="40" w:after="40"/>
    </w:pPr>
  </w:style>
  <w:style w:type="character" w:customStyle="1" w:styleId="SpecialBold">
    <w:name w:val="Special Bold"/>
    <w:basedOn w:val="DefaultParagraphFont"/>
    <w:rsid w:val="00704FE4"/>
    <w:rPr>
      <w:b/>
      <w:spacing w:val="0"/>
    </w:rPr>
  </w:style>
  <w:style w:type="paragraph" w:styleId="ListBullet2">
    <w:name w:val="List Bullet 2"/>
    <w:basedOn w:val="List2"/>
    <w:rsid w:val="00704FE4"/>
    <w:pPr>
      <w:numPr>
        <w:numId w:val="14"/>
      </w:numPr>
      <w:tabs>
        <w:tab w:val="clear" w:pos="680"/>
      </w:tabs>
    </w:pPr>
  </w:style>
  <w:style w:type="paragraph" w:customStyle="1" w:styleId="SuperHeading">
    <w:name w:val="SuperHeading"/>
    <w:basedOn w:val="Normal"/>
    <w:rsid w:val="00704FE4"/>
    <w:pPr>
      <w:spacing w:before="240" w:after="120"/>
      <w:outlineLvl w:val="0"/>
    </w:pPr>
    <w:rPr>
      <w:rFonts w:ascii="Times New Roman" w:hAnsi="Times New Roman"/>
      <w:b/>
      <w:sz w:val="32"/>
    </w:rPr>
  </w:style>
  <w:style w:type="paragraph" w:customStyle="1" w:styleId="AllowPageBreak">
    <w:name w:val="AllowPageBreak"/>
    <w:rsid w:val="00704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FE4"/>
    <w:rPr>
      <w:rFonts w:ascii="Courier New" w:eastAsia="Times New Roman" w:hAnsi="Courier New" w:cs="Times New Roman"/>
      <w:i/>
      <w:szCs w:val="20"/>
      <w:lang w:eastAsia="en-US"/>
    </w:rPr>
  </w:style>
  <w:style w:type="paragraph" w:customStyle="1" w:styleId="HeadingBase">
    <w:name w:val="Heading Base"/>
    <w:rsid w:val="00704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FE4"/>
    <w:pPr>
      <w:tabs>
        <w:tab w:val="right" w:leader="dot" w:pos="9072"/>
      </w:tabs>
      <w:ind w:left="567"/>
    </w:pPr>
    <w:rPr>
      <w:szCs w:val="22"/>
    </w:rPr>
  </w:style>
  <w:style w:type="paragraph" w:customStyle="1" w:styleId="TOCBase">
    <w:name w:val="TOC Base"/>
    <w:rsid w:val="00704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FE4"/>
    <w:pPr>
      <w:tabs>
        <w:tab w:val="right" w:leader="dot" w:pos="9072"/>
      </w:tabs>
      <w:spacing w:before="40" w:after="40"/>
      <w:ind w:left="284"/>
    </w:pPr>
    <w:rPr>
      <w:rFonts w:ascii="Times New Roman" w:hAnsi="Times New Roman"/>
    </w:rPr>
  </w:style>
  <w:style w:type="paragraph" w:styleId="TOC1">
    <w:name w:val="toc 1"/>
    <w:basedOn w:val="TOCBase"/>
    <w:next w:val="Normal"/>
    <w:rsid w:val="00704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FE4"/>
    <w:rPr>
      <w:rFonts w:ascii="Times New Roman" w:eastAsia="Times New Roman" w:hAnsi="Times New Roman" w:cs="Times New Roman"/>
      <w:sz w:val="16"/>
      <w:lang w:eastAsia="en-US"/>
    </w:rPr>
  </w:style>
  <w:style w:type="paragraph" w:styleId="Title">
    <w:name w:val="Title"/>
    <w:basedOn w:val="HeadingBase"/>
    <w:link w:val="TitleChar"/>
    <w:qFormat/>
    <w:rsid w:val="00704FE4"/>
    <w:pPr>
      <w:spacing w:before="5040"/>
      <w:jc w:val="center"/>
    </w:pPr>
    <w:rPr>
      <w:sz w:val="48"/>
      <w:szCs w:val="72"/>
      <w:lang w:val="en-US"/>
    </w:rPr>
  </w:style>
  <w:style w:type="character" w:customStyle="1" w:styleId="TitleChar">
    <w:name w:val="Title Char"/>
    <w:basedOn w:val="DefaultParagraphFont"/>
    <w:link w:val="Title"/>
    <w:rsid w:val="00704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FE4"/>
    <w:pPr>
      <w:tabs>
        <w:tab w:val="left" w:pos="3600"/>
        <w:tab w:val="left" w:pos="3958"/>
      </w:tabs>
    </w:pPr>
  </w:style>
  <w:style w:type="paragraph" w:styleId="List">
    <w:name w:val="List"/>
    <w:basedOn w:val="BodyText"/>
    <w:next w:val="BodyText"/>
    <w:rsid w:val="00704FE4"/>
    <w:pPr>
      <w:tabs>
        <w:tab w:val="left" w:pos="340"/>
      </w:tabs>
      <w:spacing w:before="60" w:after="60"/>
      <w:ind w:left="340" w:hanging="340"/>
    </w:pPr>
  </w:style>
  <w:style w:type="paragraph" w:customStyle="1" w:styleId="Note">
    <w:name w:val="Note"/>
    <w:basedOn w:val="BodyText"/>
    <w:rsid w:val="00704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FE4"/>
    <w:pPr>
      <w:framePr w:wrap="auto" w:hAnchor="text" w:y="6049"/>
    </w:pPr>
    <w:rPr>
      <w:color w:val="000000"/>
      <w:sz w:val="40"/>
    </w:rPr>
  </w:style>
  <w:style w:type="paragraph" w:customStyle="1" w:styleId="TOCTitle">
    <w:name w:val="TOCTitle"/>
    <w:basedOn w:val="Heading1"/>
    <w:rsid w:val="00704FE4"/>
    <w:pPr>
      <w:spacing w:after="240"/>
      <w:jc w:val="center"/>
      <w:outlineLvl w:val="9"/>
    </w:pPr>
    <w:rPr>
      <w:caps/>
    </w:rPr>
  </w:style>
  <w:style w:type="paragraph" w:customStyle="1" w:styleId="Version">
    <w:name w:val="Version"/>
    <w:rsid w:val="00704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FE4"/>
    <w:pPr>
      <w:keepNext w:val="0"/>
      <w:tabs>
        <w:tab w:val="right" w:pos="4176"/>
      </w:tabs>
      <w:ind w:left="198" w:hanging="198"/>
    </w:pPr>
    <w:rPr>
      <w:rFonts w:ascii="Garamond" w:hAnsi="Garamond"/>
    </w:rPr>
  </w:style>
  <w:style w:type="paragraph" w:styleId="IndexHeading">
    <w:name w:val="index heading"/>
    <w:basedOn w:val="Normal"/>
    <w:next w:val="Index1"/>
    <w:semiHidden/>
    <w:rsid w:val="00704FE4"/>
    <w:pPr>
      <w:spacing w:before="120" w:after="120"/>
    </w:pPr>
    <w:rPr>
      <w:rFonts w:ascii="Arial" w:hAnsi="Arial"/>
      <w:b/>
      <w:color w:val="918585"/>
      <w:sz w:val="24"/>
    </w:rPr>
  </w:style>
  <w:style w:type="paragraph" w:styleId="Header">
    <w:name w:val="header"/>
    <w:basedOn w:val="Normal"/>
    <w:link w:val="HeaderChar"/>
    <w:rsid w:val="00704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FE4"/>
    <w:rPr>
      <w:rFonts w:ascii="Times New Roman" w:eastAsia="Times New Roman" w:hAnsi="Times New Roman" w:cs="Times New Roman"/>
      <w:sz w:val="16"/>
      <w:szCs w:val="20"/>
      <w:lang w:val="en-GB" w:eastAsia="en-US"/>
    </w:rPr>
  </w:style>
  <w:style w:type="paragraph" w:customStyle="1" w:styleId="Chapter">
    <w:name w:val="Chapter"/>
    <w:basedOn w:val="Normal"/>
    <w:rsid w:val="00704FE4"/>
    <w:pPr>
      <w:spacing w:before="240"/>
    </w:pPr>
    <w:rPr>
      <w:rFonts w:ascii="Times New Roman" w:hAnsi="Times New Roman"/>
      <w:smallCaps/>
      <w:spacing w:val="80"/>
      <w:sz w:val="28"/>
    </w:rPr>
  </w:style>
  <w:style w:type="paragraph" w:customStyle="1" w:styleId="InChapter">
    <w:name w:val="InChapter"/>
    <w:basedOn w:val="Heading3"/>
    <w:rsid w:val="00704FE4"/>
    <w:pPr>
      <w:spacing w:after="240"/>
      <w:outlineLvl w:val="9"/>
    </w:pPr>
    <w:rPr>
      <w:noProof/>
    </w:rPr>
  </w:style>
  <w:style w:type="paragraph" w:styleId="Index2">
    <w:name w:val="index 2"/>
    <w:basedOn w:val="Normal"/>
    <w:next w:val="Normal"/>
    <w:semiHidden/>
    <w:rsid w:val="00704FE4"/>
    <w:pPr>
      <w:tabs>
        <w:tab w:val="right" w:pos="4176"/>
      </w:tabs>
      <w:ind w:left="568" w:hanging="284"/>
    </w:pPr>
    <w:rPr>
      <w:rFonts w:ascii="Garamond" w:hAnsi="Garamond"/>
    </w:rPr>
  </w:style>
  <w:style w:type="paragraph" w:customStyle="1" w:styleId="Byline">
    <w:name w:val="Byline"/>
    <w:rsid w:val="00704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FE4"/>
    <w:pPr>
      <w:tabs>
        <w:tab w:val="clear" w:pos="3600"/>
        <w:tab w:val="clear" w:pos="3958"/>
      </w:tabs>
      <w:jc w:val="right"/>
    </w:pPr>
  </w:style>
  <w:style w:type="character" w:styleId="Emphasis">
    <w:name w:val="Emphasis"/>
    <w:basedOn w:val="DefaultParagraphFont"/>
    <w:qFormat/>
    <w:rsid w:val="00704FE4"/>
    <w:rPr>
      <w:i/>
    </w:rPr>
  </w:style>
  <w:style w:type="paragraph" w:styleId="Caption">
    <w:name w:val="caption"/>
    <w:basedOn w:val="BodyText"/>
    <w:next w:val="Normal"/>
    <w:qFormat/>
    <w:rsid w:val="00704FE4"/>
    <w:pPr>
      <w:framePr w:w="2268" w:hSpace="181" w:vSpace="181" w:wrap="around" w:vAnchor="text" w:hAnchor="page" w:x="1135" w:y="285" w:anchorLock="1"/>
    </w:pPr>
    <w:rPr>
      <w:i/>
    </w:rPr>
  </w:style>
  <w:style w:type="paragraph" w:customStyle="1" w:styleId="MiniTOCTitle">
    <w:name w:val="MiniTOCTitle"/>
    <w:basedOn w:val="Heading4"/>
    <w:rsid w:val="00704FE4"/>
    <w:pPr>
      <w:spacing w:before="240"/>
      <w:outlineLvl w:val="9"/>
    </w:pPr>
    <w:rPr>
      <w:noProof/>
      <w:sz w:val="24"/>
    </w:rPr>
  </w:style>
  <w:style w:type="paragraph" w:customStyle="1" w:styleId="MiniTOCItem">
    <w:name w:val="MiniTOCItem"/>
    <w:basedOn w:val="ListBullet"/>
    <w:rsid w:val="00704FE4"/>
    <w:pPr>
      <w:numPr>
        <w:numId w:val="0"/>
      </w:numPr>
      <w:tabs>
        <w:tab w:val="right" w:leader="dot" w:pos="6521"/>
      </w:tabs>
      <w:spacing w:before="0" w:after="0"/>
    </w:pPr>
  </w:style>
  <w:style w:type="paragraph" w:customStyle="1" w:styleId="TOFTitle">
    <w:name w:val="TOFTitle"/>
    <w:basedOn w:val="TOCTitle"/>
    <w:rsid w:val="00704FE4"/>
  </w:style>
  <w:style w:type="paragraph" w:styleId="TableofFigures">
    <w:name w:val="table of figures"/>
    <w:basedOn w:val="Normal"/>
    <w:next w:val="Normal"/>
    <w:semiHidden/>
    <w:rsid w:val="00704FE4"/>
    <w:pPr>
      <w:tabs>
        <w:tab w:val="right" w:leader="dot" w:pos="9072"/>
      </w:tabs>
      <w:ind w:left="970" w:hanging="403"/>
    </w:pPr>
    <w:rPr>
      <w:rFonts w:ascii="Times New Roman" w:hAnsi="Times New Roman"/>
      <w:b/>
    </w:rPr>
  </w:style>
  <w:style w:type="paragraph" w:styleId="ListNumber">
    <w:name w:val="List Number"/>
    <w:basedOn w:val="List"/>
    <w:rsid w:val="00704FE4"/>
    <w:pPr>
      <w:numPr>
        <w:numId w:val="11"/>
      </w:numPr>
    </w:pPr>
  </w:style>
  <w:style w:type="character" w:customStyle="1" w:styleId="WingdingSymbols">
    <w:name w:val="Wingding Symbols"/>
    <w:rsid w:val="00704FE4"/>
    <w:rPr>
      <w:rFonts w:ascii="Wingdings" w:hAnsi="Wingdings"/>
    </w:rPr>
  </w:style>
  <w:style w:type="paragraph" w:customStyle="1" w:styleId="TableHeading">
    <w:name w:val="Table Heading"/>
    <w:basedOn w:val="HeadingBase"/>
    <w:rsid w:val="00704FE4"/>
    <w:pPr>
      <w:keepLines/>
      <w:pBdr>
        <w:bottom w:val="single" w:sz="6" w:space="1" w:color="918585"/>
      </w:pBdr>
      <w:spacing w:before="240"/>
    </w:pPr>
  </w:style>
  <w:style w:type="character" w:customStyle="1" w:styleId="HotSpot">
    <w:name w:val="HotSpot"/>
    <w:rsid w:val="00704FE4"/>
    <w:rPr>
      <w:color w:val="0033CC"/>
      <w:u w:val="none"/>
    </w:rPr>
  </w:style>
  <w:style w:type="paragraph" w:customStyle="1" w:styleId="BodyTextRight">
    <w:name w:val="Body Text Right"/>
    <w:basedOn w:val="BodyText"/>
    <w:rsid w:val="00704FE4"/>
    <w:pPr>
      <w:spacing w:before="0" w:after="0"/>
      <w:jc w:val="right"/>
    </w:pPr>
  </w:style>
  <w:style w:type="paragraph" w:styleId="Index3">
    <w:name w:val="index 3"/>
    <w:basedOn w:val="ListNumber2"/>
    <w:next w:val="Normal"/>
    <w:semiHidden/>
    <w:rsid w:val="00704FE4"/>
    <w:pPr>
      <w:numPr>
        <w:numId w:val="0"/>
      </w:numPr>
      <w:tabs>
        <w:tab w:val="right" w:leader="dot" w:pos="4176"/>
      </w:tabs>
    </w:pPr>
  </w:style>
  <w:style w:type="paragraph" w:styleId="ListNumber2">
    <w:name w:val="List Number 2"/>
    <w:basedOn w:val="List2"/>
    <w:rsid w:val="00704FE4"/>
    <w:pPr>
      <w:numPr>
        <w:numId w:val="10"/>
      </w:numPr>
      <w:tabs>
        <w:tab w:val="clear" w:pos="1060"/>
      </w:tabs>
    </w:pPr>
  </w:style>
  <w:style w:type="paragraph" w:customStyle="1" w:styleId="MarginNote">
    <w:name w:val="Margin Note"/>
    <w:basedOn w:val="BodyText"/>
    <w:rsid w:val="00704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FE4"/>
    <w:rPr>
      <w:sz w:val="32"/>
    </w:rPr>
  </w:style>
  <w:style w:type="paragraph" w:customStyle="1" w:styleId="HeadingProcedure">
    <w:name w:val="Heading Procedure"/>
    <w:basedOn w:val="HeadingBase"/>
    <w:next w:val="Normal"/>
    <w:rsid w:val="00704FE4"/>
    <w:pPr>
      <w:tabs>
        <w:tab w:val="left" w:pos="0"/>
      </w:tabs>
      <w:spacing w:before="120" w:after="60"/>
    </w:pPr>
    <w:rPr>
      <w:i/>
      <w:color w:val="918585"/>
      <w:sz w:val="22"/>
    </w:rPr>
  </w:style>
  <w:style w:type="paragraph" w:customStyle="1" w:styleId="TableBodyText">
    <w:name w:val="Table Body Text"/>
    <w:basedOn w:val="BodyText"/>
    <w:rsid w:val="00704FE4"/>
    <w:pPr>
      <w:spacing w:before="60" w:after="60"/>
    </w:pPr>
  </w:style>
  <w:style w:type="paragraph" w:styleId="ListContinue">
    <w:name w:val="List Continue"/>
    <w:basedOn w:val="List"/>
    <w:rsid w:val="00704FE4"/>
    <w:pPr>
      <w:ind w:firstLine="0"/>
    </w:pPr>
  </w:style>
  <w:style w:type="paragraph" w:customStyle="1" w:styleId="ListNote">
    <w:name w:val="List Note"/>
    <w:basedOn w:val="List"/>
    <w:rsid w:val="00704FE4"/>
    <w:pPr>
      <w:pBdr>
        <w:top w:val="single" w:sz="6" w:space="2" w:color="918585"/>
        <w:bottom w:val="single" w:sz="6" w:space="2" w:color="918585"/>
      </w:pBdr>
      <w:tabs>
        <w:tab w:val="left" w:pos="1021"/>
      </w:tabs>
      <w:ind w:firstLine="0"/>
    </w:pPr>
  </w:style>
  <w:style w:type="paragraph" w:customStyle="1" w:styleId="Warning">
    <w:name w:val="Warning"/>
    <w:basedOn w:val="BodyText"/>
    <w:rsid w:val="00704FE4"/>
    <w:pPr>
      <w:shd w:val="clear" w:color="auto" w:fill="D9D9D9"/>
      <w:tabs>
        <w:tab w:val="left" w:pos="992"/>
      </w:tabs>
      <w:ind w:left="119" w:right="119"/>
    </w:pPr>
    <w:rPr>
      <w:sz w:val="20"/>
    </w:rPr>
  </w:style>
  <w:style w:type="paragraph" w:customStyle="1" w:styleId="MarginIcons">
    <w:name w:val="Margin Icons"/>
    <w:basedOn w:val="BodyText"/>
    <w:rsid w:val="00704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FE4"/>
    <w:rPr>
      <w:rFonts w:ascii="Courier New" w:hAnsi="Courier New"/>
    </w:rPr>
  </w:style>
  <w:style w:type="paragraph" w:customStyle="1" w:styleId="NoteBullet">
    <w:name w:val="Note Bullet"/>
    <w:basedOn w:val="Note"/>
    <w:rsid w:val="00704FE4"/>
    <w:pPr>
      <w:tabs>
        <w:tab w:val="clear" w:pos="680"/>
      </w:tabs>
      <w:spacing w:before="60" w:after="60"/>
    </w:pPr>
  </w:style>
  <w:style w:type="paragraph" w:customStyle="1" w:styleId="SubHeading2">
    <w:name w:val="SubHeading2"/>
    <w:basedOn w:val="HeadingBase"/>
    <w:rsid w:val="00704FE4"/>
    <w:pPr>
      <w:spacing w:before="240" w:after="60"/>
    </w:pPr>
    <w:rPr>
      <w:sz w:val="20"/>
    </w:rPr>
  </w:style>
  <w:style w:type="paragraph" w:customStyle="1" w:styleId="SubHeading1">
    <w:name w:val="SubHeading1"/>
    <w:basedOn w:val="HeadingBase"/>
    <w:rsid w:val="00704FE4"/>
    <w:pPr>
      <w:spacing w:before="240" w:after="60"/>
    </w:pPr>
    <w:rPr>
      <w:color w:val="918585"/>
      <w:sz w:val="22"/>
    </w:rPr>
  </w:style>
  <w:style w:type="paragraph" w:customStyle="1" w:styleId="SideHeading">
    <w:name w:val="Side Heading"/>
    <w:basedOn w:val="HeadingBase"/>
    <w:rsid w:val="00704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FE4"/>
    <w:pPr>
      <w:numPr>
        <w:numId w:val="12"/>
      </w:numPr>
    </w:pPr>
  </w:style>
  <w:style w:type="paragraph" w:styleId="PlainText">
    <w:name w:val="Plain Text"/>
    <w:basedOn w:val="Normal"/>
    <w:link w:val="PlainTextChar"/>
    <w:rsid w:val="00704FE4"/>
    <w:rPr>
      <w:sz w:val="20"/>
    </w:rPr>
  </w:style>
  <w:style w:type="character" w:customStyle="1" w:styleId="PlainTextChar">
    <w:name w:val="Plain Text Char"/>
    <w:basedOn w:val="DefaultParagraphFont"/>
    <w:link w:val="PlainText"/>
    <w:rsid w:val="00704FE4"/>
    <w:rPr>
      <w:rFonts w:ascii="Courier New" w:eastAsia="Times New Roman" w:hAnsi="Courier New" w:cs="Times New Roman"/>
      <w:sz w:val="20"/>
      <w:szCs w:val="20"/>
      <w:lang w:eastAsia="en-US"/>
    </w:rPr>
  </w:style>
  <w:style w:type="character" w:customStyle="1" w:styleId="MenuOption">
    <w:name w:val="Menu Option"/>
    <w:basedOn w:val="DefaultParagraphFont"/>
    <w:rsid w:val="00704FE4"/>
    <w:rPr>
      <w:b/>
      <w:smallCaps/>
    </w:rPr>
  </w:style>
  <w:style w:type="paragraph" w:customStyle="1" w:styleId="TableListNumber">
    <w:name w:val="Table List Number"/>
    <w:basedOn w:val="ListNumber"/>
    <w:rsid w:val="00704FE4"/>
    <w:pPr>
      <w:numPr>
        <w:numId w:val="0"/>
      </w:numPr>
    </w:pPr>
  </w:style>
  <w:style w:type="paragraph" w:styleId="TOC4">
    <w:name w:val="toc 4"/>
    <w:basedOn w:val="TOCBase"/>
    <w:next w:val="Normal"/>
    <w:semiHidden/>
    <w:rsid w:val="00704FE4"/>
    <w:pPr>
      <w:tabs>
        <w:tab w:val="right" w:leader="dot" w:pos="9071"/>
      </w:tabs>
      <w:ind w:left="1701"/>
    </w:pPr>
  </w:style>
  <w:style w:type="paragraph" w:customStyle="1" w:styleId="ListAlpha">
    <w:name w:val="List Alpha"/>
    <w:basedOn w:val="List"/>
    <w:rsid w:val="00704FE4"/>
    <w:pPr>
      <w:numPr>
        <w:numId w:val="9"/>
      </w:numPr>
    </w:pPr>
  </w:style>
  <w:style w:type="paragraph" w:customStyle="1" w:styleId="ListAlpha2">
    <w:name w:val="List Alpha 2"/>
    <w:basedOn w:val="List2"/>
    <w:rsid w:val="00704FE4"/>
    <w:pPr>
      <w:numPr>
        <w:numId w:val="8"/>
      </w:numPr>
    </w:pPr>
  </w:style>
  <w:style w:type="paragraph" w:styleId="List2">
    <w:name w:val="List 2"/>
    <w:basedOn w:val="BodyText"/>
    <w:rsid w:val="00704FE4"/>
    <w:pPr>
      <w:tabs>
        <w:tab w:val="left" w:pos="680"/>
      </w:tabs>
      <w:spacing w:before="60" w:after="60"/>
      <w:ind w:left="680" w:hanging="340"/>
    </w:pPr>
  </w:style>
  <w:style w:type="paragraph" w:styleId="List3">
    <w:name w:val="List 3"/>
    <w:basedOn w:val="BodyText"/>
    <w:rsid w:val="00704FE4"/>
    <w:pPr>
      <w:tabs>
        <w:tab w:val="left" w:pos="1021"/>
      </w:tabs>
      <w:spacing w:before="60" w:after="60"/>
      <w:ind w:left="1020" w:hanging="340"/>
    </w:pPr>
  </w:style>
  <w:style w:type="paragraph" w:styleId="List4">
    <w:name w:val="List 4"/>
    <w:basedOn w:val="BodyText"/>
    <w:rsid w:val="00704FE4"/>
    <w:pPr>
      <w:tabs>
        <w:tab w:val="left" w:pos="1361"/>
      </w:tabs>
      <w:spacing w:before="60" w:after="60"/>
      <w:ind w:left="1361" w:hanging="340"/>
    </w:pPr>
  </w:style>
  <w:style w:type="paragraph" w:styleId="List5">
    <w:name w:val="List 5"/>
    <w:basedOn w:val="BodyText"/>
    <w:rsid w:val="00704FE4"/>
    <w:pPr>
      <w:tabs>
        <w:tab w:val="left" w:pos="1701"/>
      </w:tabs>
      <w:spacing w:before="60" w:after="60"/>
      <w:ind w:left="1701" w:hanging="340"/>
    </w:pPr>
  </w:style>
  <w:style w:type="paragraph" w:styleId="ListBullet3">
    <w:name w:val="List Bullet 3"/>
    <w:basedOn w:val="List3"/>
    <w:rsid w:val="00704FE4"/>
    <w:pPr>
      <w:numPr>
        <w:numId w:val="15"/>
      </w:numPr>
      <w:tabs>
        <w:tab w:val="clear" w:pos="1021"/>
      </w:tabs>
      <w:ind w:left="1037" w:hanging="357"/>
    </w:pPr>
  </w:style>
  <w:style w:type="paragraph" w:styleId="ListBullet4">
    <w:name w:val="List Bullet 4"/>
    <w:basedOn w:val="List4"/>
    <w:rsid w:val="00704FE4"/>
    <w:pPr>
      <w:numPr>
        <w:numId w:val="3"/>
      </w:numPr>
    </w:pPr>
  </w:style>
  <w:style w:type="paragraph" w:styleId="ListBullet5">
    <w:name w:val="List Bullet 5"/>
    <w:basedOn w:val="List5"/>
    <w:rsid w:val="00704FE4"/>
    <w:pPr>
      <w:numPr>
        <w:numId w:val="4"/>
      </w:numPr>
    </w:pPr>
  </w:style>
  <w:style w:type="paragraph" w:styleId="ListContinue2">
    <w:name w:val="List Continue 2"/>
    <w:basedOn w:val="List2"/>
    <w:rsid w:val="00704FE4"/>
    <w:pPr>
      <w:ind w:firstLine="0"/>
    </w:pPr>
  </w:style>
  <w:style w:type="paragraph" w:styleId="ListContinue3">
    <w:name w:val="List Continue 3"/>
    <w:basedOn w:val="List3"/>
    <w:rsid w:val="00704FE4"/>
    <w:pPr>
      <w:ind w:left="1021" w:firstLine="0"/>
    </w:pPr>
  </w:style>
  <w:style w:type="paragraph" w:styleId="ListContinue4">
    <w:name w:val="List Continue 4"/>
    <w:basedOn w:val="List4"/>
    <w:rsid w:val="00704FE4"/>
    <w:pPr>
      <w:ind w:firstLine="0"/>
    </w:pPr>
  </w:style>
  <w:style w:type="paragraph" w:styleId="ListContinue5">
    <w:name w:val="List Continue 5"/>
    <w:basedOn w:val="List5"/>
    <w:rsid w:val="00704FE4"/>
    <w:pPr>
      <w:ind w:firstLine="0"/>
    </w:pPr>
  </w:style>
  <w:style w:type="paragraph" w:styleId="ListNumber3">
    <w:name w:val="List Number 3"/>
    <w:basedOn w:val="List3"/>
    <w:rsid w:val="00704FE4"/>
    <w:pPr>
      <w:numPr>
        <w:numId w:val="5"/>
      </w:numPr>
    </w:pPr>
  </w:style>
  <w:style w:type="paragraph" w:styleId="ListNumber4">
    <w:name w:val="List Number 4"/>
    <w:basedOn w:val="List4"/>
    <w:rsid w:val="00704FE4"/>
    <w:pPr>
      <w:numPr>
        <w:numId w:val="6"/>
      </w:numPr>
    </w:pPr>
  </w:style>
  <w:style w:type="paragraph" w:styleId="ListNumber5">
    <w:name w:val="List Number 5"/>
    <w:basedOn w:val="List5"/>
    <w:rsid w:val="00704FE4"/>
    <w:pPr>
      <w:numPr>
        <w:numId w:val="7"/>
      </w:numPr>
    </w:pPr>
  </w:style>
  <w:style w:type="paragraph" w:styleId="BlockText">
    <w:name w:val="Block Text"/>
    <w:basedOn w:val="Normal"/>
    <w:rsid w:val="00704FE4"/>
    <w:pPr>
      <w:spacing w:after="120"/>
      <w:ind w:left="1440" w:right="1440"/>
    </w:pPr>
  </w:style>
  <w:style w:type="character" w:customStyle="1" w:styleId="Subscript">
    <w:name w:val="Subscript"/>
    <w:basedOn w:val="DefaultParagraphFont"/>
    <w:rsid w:val="00704FE4"/>
    <w:rPr>
      <w:sz w:val="16"/>
      <w:vertAlign w:val="subscript"/>
    </w:rPr>
  </w:style>
  <w:style w:type="character" w:customStyle="1" w:styleId="Superscript">
    <w:name w:val="Superscript"/>
    <w:basedOn w:val="DefaultParagraphFont"/>
    <w:rsid w:val="00704FE4"/>
    <w:rPr>
      <w:sz w:val="16"/>
      <w:vertAlign w:val="superscript"/>
    </w:rPr>
  </w:style>
  <w:style w:type="character" w:customStyle="1" w:styleId="Symbols">
    <w:name w:val="Symbols"/>
    <w:basedOn w:val="DefaultParagraphFont"/>
    <w:rsid w:val="00704FE4"/>
    <w:rPr>
      <w:rFonts w:ascii="Symbol" w:hAnsi="Symbol"/>
    </w:rPr>
  </w:style>
  <w:style w:type="character" w:customStyle="1" w:styleId="MenuOptions">
    <w:name w:val="Menu Options"/>
    <w:basedOn w:val="DefaultParagraphFont"/>
    <w:rsid w:val="00704FE4"/>
    <w:rPr>
      <w:rFonts w:ascii="Arial Narrow" w:hAnsi="Arial Narrow"/>
      <w:smallCaps/>
    </w:rPr>
  </w:style>
  <w:style w:type="character" w:customStyle="1" w:styleId="Buttons">
    <w:name w:val="Buttons"/>
    <w:basedOn w:val="DefaultParagraphFont"/>
    <w:rsid w:val="00704FE4"/>
    <w:rPr>
      <w:b/>
    </w:rPr>
  </w:style>
  <w:style w:type="character" w:customStyle="1" w:styleId="Underlined">
    <w:name w:val="Underlined"/>
    <w:basedOn w:val="DefaultParagraphFont"/>
    <w:rsid w:val="00704FE4"/>
    <w:rPr>
      <w:u w:val="single"/>
    </w:rPr>
  </w:style>
  <w:style w:type="paragraph" w:customStyle="1" w:styleId="TableBodyTextRight">
    <w:name w:val="Table Body Text Right"/>
    <w:basedOn w:val="TableBodyText"/>
    <w:rsid w:val="00704FE4"/>
    <w:pPr>
      <w:widowControl w:val="0"/>
      <w:autoSpaceDE w:val="0"/>
      <w:autoSpaceDN w:val="0"/>
      <w:adjustRightInd w:val="0"/>
      <w:jc w:val="right"/>
    </w:pPr>
    <w:rPr>
      <w:rFonts w:cs="Arial"/>
      <w:szCs w:val="18"/>
    </w:rPr>
  </w:style>
  <w:style w:type="paragraph" w:customStyle="1" w:styleId="CopyrightText">
    <w:name w:val="Copyright Text"/>
    <w:basedOn w:val="BodyText"/>
    <w:rsid w:val="00704FE4"/>
    <w:rPr>
      <w:sz w:val="18"/>
    </w:rPr>
  </w:style>
  <w:style w:type="paragraph" w:customStyle="1" w:styleId="BodySmallRight">
    <w:name w:val="Body Small Right"/>
    <w:basedOn w:val="BodyTextRight"/>
    <w:rsid w:val="00704FE4"/>
    <w:rPr>
      <w:sz w:val="18"/>
      <w:szCs w:val="18"/>
    </w:rPr>
  </w:style>
  <w:style w:type="paragraph" w:customStyle="1" w:styleId="MarginEdition">
    <w:name w:val="Margin Edition"/>
    <w:basedOn w:val="MarginNote"/>
    <w:rsid w:val="00704FE4"/>
    <w:pPr>
      <w:spacing w:before="0" w:after="0"/>
    </w:pPr>
    <w:rPr>
      <w:rFonts w:ascii="Times New Roman" w:hAnsi="Times New Roman"/>
      <w:color w:val="999999"/>
    </w:rPr>
  </w:style>
  <w:style w:type="paragraph" w:customStyle="1" w:styleId="Spacer">
    <w:name w:val="Spacer"/>
    <w:basedOn w:val="Normal"/>
    <w:rsid w:val="00704FE4"/>
    <w:rPr>
      <w:sz w:val="2"/>
      <w:szCs w:val="2"/>
    </w:rPr>
  </w:style>
  <w:style w:type="character" w:customStyle="1" w:styleId="Small">
    <w:name w:val="Small"/>
    <w:basedOn w:val="DefaultParagraphFont"/>
    <w:rsid w:val="00704FE4"/>
    <w:rPr>
      <w:sz w:val="16"/>
    </w:rPr>
  </w:style>
  <w:style w:type="paragraph" w:customStyle="1" w:styleId="WideTable">
    <w:name w:val="Wide Table"/>
    <w:basedOn w:val="Normal"/>
    <w:rsid w:val="00704FE4"/>
    <w:pPr>
      <w:ind w:left="-1418"/>
    </w:pPr>
    <w:rPr>
      <w:sz w:val="2"/>
      <w:szCs w:val="2"/>
    </w:rPr>
  </w:style>
  <w:style w:type="character" w:styleId="PageNumber">
    <w:name w:val="page number"/>
    <w:basedOn w:val="DefaultParagraphFont"/>
    <w:rsid w:val="00704FE4"/>
  </w:style>
  <w:style w:type="paragraph" w:styleId="Quote">
    <w:name w:val="Quote"/>
    <w:basedOn w:val="Heading1"/>
    <w:link w:val="QuoteChar"/>
    <w:qFormat/>
    <w:rsid w:val="00704FE4"/>
    <w:rPr>
      <w:b w:val="0"/>
      <w:sz w:val="72"/>
      <w:szCs w:val="72"/>
      <w:lang w:val="en-NZ"/>
    </w:rPr>
  </w:style>
  <w:style w:type="character" w:customStyle="1" w:styleId="QuoteChar">
    <w:name w:val="Quote Char"/>
    <w:basedOn w:val="DefaultParagraphFont"/>
    <w:link w:val="Quote"/>
    <w:rsid w:val="00704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FE4"/>
    <w:pPr>
      <w:pageBreakBefore/>
    </w:pPr>
  </w:style>
  <w:style w:type="paragraph" w:customStyle="1" w:styleId="Border">
    <w:name w:val="Border"/>
    <w:basedOn w:val="Normal"/>
    <w:qFormat/>
    <w:rsid w:val="00704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FE4"/>
    <w:rPr>
      <w:b/>
      <w:bCs/>
      <w:i/>
      <w:iCs/>
      <w:color w:val="auto"/>
    </w:rPr>
  </w:style>
  <w:style w:type="paragraph" w:styleId="IntenseQuote">
    <w:name w:val="Intense Quote"/>
    <w:basedOn w:val="Normal"/>
    <w:next w:val="Normal"/>
    <w:link w:val="IntenseQuoteChar"/>
    <w:uiPriority w:val="30"/>
    <w:qFormat/>
    <w:rsid w:val="00704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FE4"/>
    <w:rPr>
      <w:smallCaps/>
      <w:color w:val="auto"/>
      <w:u w:val="single"/>
    </w:rPr>
  </w:style>
  <w:style w:type="character" w:styleId="IntenseReference">
    <w:name w:val="Intense Reference"/>
    <w:basedOn w:val="DefaultParagraphFont"/>
    <w:uiPriority w:val="32"/>
    <w:qFormat/>
    <w:rsid w:val="00704FE4"/>
    <w:rPr>
      <w:b/>
      <w:bCs/>
      <w:smallCaps/>
      <w:color w:val="auto"/>
      <w:spacing w:val="5"/>
      <w:u w:val="single"/>
    </w:rPr>
  </w:style>
  <w:style w:type="paragraph" w:customStyle="1" w:styleId="2ColumnHeading">
    <w:name w:val="2Column Heading"/>
    <w:basedOn w:val="BodyText"/>
    <w:qFormat/>
    <w:rsid w:val="00704FE4"/>
    <w:pPr>
      <w:spacing w:after="60"/>
      <w:ind w:left="-2268"/>
    </w:pPr>
    <w:rPr>
      <w:b/>
    </w:rPr>
  </w:style>
  <w:style w:type="paragraph" w:customStyle="1" w:styleId="Heading1TOC">
    <w:name w:val="Heading1 TOC"/>
    <w:basedOn w:val="Normal"/>
    <w:qFormat/>
    <w:rsid w:val="00704FE4"/>
    <w:pPr>
      <w:spacing w:before="240" w:after="120"/>
    </w:pPr>
    <w:rPr>
      <w:rFonts w:ascii="Times New Roman" w:hAnsi="Times New Roman"/>
      <w:b/>
      <w:sz w:val="32"/>
    </w:rPr>
  </w:style>
  <w:style w:type="paragraph" w:customStyle="1" w:styleId="Heading2TOC">
    <w:name w:val="Heading2 TOC"/>
    <w:basedOn w:val="Normal"/>
    <w:qFormat/>
    <w:rsid w:val="00704FE4"/>
    <w:pPr>
      <w:spacing w:before="240" w:after="60"/>
    </w:pPr>
    <w:rPr>
      <w:rFonts w:ascii="Times New Roman" w:hAnsi="Times New Roman"/>
      <w:b/>
      <w:sz w:val="28"/>
    </w:rPr>
  </w:style>
  <w:style w:type="character" w:customStyle="1" w:styleId="Underline">
    <w:name w:val="Underline"/>
    <w:basedOn w:val="DefaultParagraphFont"/>
    <w:qFormat/>
    <w:rsid w:val="00704FE4"/>
    <w:rPr>
      <w:u w:val="single"/>
    </w:rPr>
  </w:style>
  <w:style w:type="character" w:customStyle="1" w:styleId="BoldandItalics">
    <w:name w:val="Bold and Italics"/>
    <w:qFormat/>
    <w:rsid w:val="00704FE4"/>
    <w:rPr>
      <w:b/>
      <w:i/>
      <w:u w:val="none"/>
    </w:rPr>
  </w:style>
  <w:style w:type="paragraph" w:styleId="BalloonText">
    <w:name w:val="Balloon Text"/>
    <w:basedOn w:val="Normal"/>
    <w:link w:val="BalloonTextChar"/>
    <w:rsid w:val="00704FE4"/>
    <w:rPr>
      <w:rFonts w:ascii="Tahoma" w:hAnsi="Tahoma" w:cs="Tahoma"/>
      <w:sz w:val="16"/>
      <w:szCs w:val="16"/>
    </w:rPr>
  </w:style>
  <w:style w:type="character" w:customStyle="1" w:styleId="BalloonTextChar">
    <w:name w:val="Balloon Text Char"/>
    <w:basedOn w:val="DefaultParagraphFont"/>
    <w:link w:val="BalloonText"/>
    <w:rsid w:val="00704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FE4"/>
    <w:rPr>
      <w:b/>
      <w:color w:val="660033"/>
      <w:spacing w:val="0"/>
    </w:rPr>
  </w:style>
  <w:style w:type="paragraph" w:customStyle="1" w:styleId="Nameditemlist">
    <w:name w:val="Named item list"/>
    <w:basedOn w:val="BodyText"/>
    <w:qFormat/>
    <w:rsid w:val="00704F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11020</Characters>
  <Application>Microsoft Office Word</Application>
  <DocSecurity>0</DocSecurity>
  <Lines>385</Lines>
  <Paragraphs>189</Paragraphs>
  <ScaleCrop>false</ScaleCrop>
  <Company>Author-it Software Corporation Ltd.</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MEM14092A Integrate maintenance fundamentals into an engineering task</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2012-12-20T07:22:00Z</dcterms:created>
  <dcterms:modified xsi:type="dcterms:W3CDTF">2012-12-20T07:22:00Z</dcterms:modified>
</cp:coreProperties>
</file>