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185A" w:rsidP="0095185A">
      <w:pPr>
        <w:pStyle w:val="Title"/>
      </w:pPr>
      <w:r>
        <w:fldChar w:fldCharType="begin"/>
      </w:r>
      <w:r>
        <w:instrText xml:space="preserve"> TITLE   \* MERGEFORMAT </w:instrText>
      </w:r>
      <w:r>
        <w:fldChar w:fldCharType="separate"/>
      </w:r>
      <w:r>
        <w:t>MEM14090A Integrate mechatronic fundamentals into an engineering task</w:t>
      </w:r>
      <w:r>
        <w:fldChar w:fldCharType="end"/>
      </w:r>
    </w:p>
    <w:p w:rsidR="0095185A" w:rsidP="0095185A">
      <w:pPr>
        <w:pStyle w:val="Version"/>
        <w:sectPr w:rsidSect="009342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42A3" w:rsidP="009342A3">
      <w:pPr>
        <w:pStyle w:val="SuperHeading"/>
      </w:pPr>
      <w:r w:rsidRPr="009342A3">
        <w:t>MEM14090A Integrate mechatronic fundamentals into an engineering task</w:t>
      </w:r>
    </w:p>
    <w:p w:rsidR="00000000" w:rsidRPr="009342A3" w:rsidP="009342A3">
      <w:pPr>
        <w:pStyle w:val="Heading1"/>
      </w:pPr>
      <w:bookmarkStart w:id="1" w:name="O_518943"/>
      <w:bookmarkEnd w:id="1"/>
      <w:r w:rsidRPr="009342A3">
        <w:t>Modification History</w:t>
      </w:r>
    </w:p>
    <w:p w:rsidR="0095185A" w:rsidP="009342A3">
      <w:pPr>
        <w:pStyle w:val="BodyText"/>
      </w:pPr>
      <w:r w:rsidRPr="009342A3">
        <w:t>Release 1 - New unit.  Replaces MEM14082A and MEM23072A, but not equivalent.</w:t>
      </w:r>
    </w:p>
    <w:p w:rsidR="0095185A" w:rsidP="009342A3">
      <w:pPr>
        <w:pStyle w:val="BodyText"/>
      </w:pPr>
    </w:p>
    <w:p w:rsidR="00000000" w:rsidRPr="009342A3" w:rsidP="009342A3">
      <w:pPr>
        <w:pStyle w:val="Heading1"/>
      </w:pPr>
      <w:bookmarkStart w:id="2" w:name="O_518955"/>
      <w:bookmarkEnd w:id="2"/>
      <w:r w:rsidRPr="009342A3">
        <w:t>Unit Descriptor</w:t>
      </w:r>
    </w:p>
    <w:p w:rsidR="0095185A" w:rsidP="009342A3">
      <w:pPr>
        <w:pStyle w:val="BodyText"/>
      </w:pPr>
      <w:r w:rsidRPr="009342A3">
        <w:t>This unit of competency covers the integration of mechatronic fundamentals to achieve an engineering or related task. It includes identifying task parameters, personal and team functions, and work health and safety (WHS) requirements. It includes investiga</w:t>
      </w:r>
      <w:r w:rsidRPr="009342A3">
        <w:t>tion of programmable machines, controllers and mechatronic devices, and automated systems and mechatronic fundamentals, including mechatronic methods and processes, workshop techniques, materials, scientific and mathematical principles and computer softwar</w:t>
      </w:r>
      <w:r w:rsidRPr="009342A3">
        <w:t xml:space="preserve">e. It requires completion of the task in cooperation with the team and documentation of the process and outcomes. </w:t>
      </w:r>
    </w:p>
    <w:p w:rsidR="0095185A" w:rsidP="009342A3">
      <w:pPr>
        <w:pStyle w:val="BodyText"/>
      </w:pPr>
    </w:p>
    <w:p w:rsidR="00000000" w:rsidRPr="009342A3" w:rsidP="009342A3">
      <w:pPr>
        <w:pStyle w:val="Heading1"/>
      </w:pPr>
      <w:bookmarkStart w:id="3" w:name="O_518954"/>
      <w:bookmarkEnd w:id="3"/>
      <w:r w:rsidRPr="009342A3">
        <w:t>Application of the Unit</w:t>
      </w:r>
    </w:p>
    <w:p w:rsidR="00000000" w:rsidRPr="009342A3" w:rsidP="009342A3">
      <w:pPr>
        <w:pStyle w:val="BodyText"/>
      </w:pPr>
      <w:r w:rsidRPr="009342A3">
        <w:t>The unit applies to engineering or related projects requiring mechatronic engineering skills and co</w:t>
      </w:r>
      <w:r w:rsidRPr="009342A3">
        <w:t>vers the identification, application and integration of mechatronic fundamentals. It is suitable for people working as mechatronic or automation technicians and drafters and those pursuing careers and qualifications in mechatronic engineering.</w:t>
      </w:r>
    </w:p>
    <w:p w:rsidR="00000000" w:rsidRPr="009342A3" w:rsidP="009342A3">
      <w:pPr>
        <w:pStyle w:val="AllowPageBreak"/>
      </w:pPr>
    </w:p>
    <w:p w:rsidR="00000000" w:rsidRPr="009342A3" w:rsidP="009342A3">
      <w:pPr>
        <w:pStyle w:val="Heading1"/>
      </w:pPr>
      <w:bookmarkStart w:id="4" w:name="O_518953"/>
      <w:bookmarkEnd w:id="4"/>
      <w:r w:rsidRPr="009342A3">
        <w:t>Licensing/Regulatory Information</w:t>
      </w:r>
    </w:p>
    <w:p w:rsidR="00000000" w:rsidRPr="009342A3" w:rsidP="009342A3">
      <w:pPr>
        <w:pStyle w:val="BodyText"/>
      </w:pPr>
      <w:r w:rsidRPr="009342A3">
        <w:t>Not applicable.</w:t>
      </w:r>
    </w:p>
    <w:p w:rsidR="00000000" w:rsidRPr="009342A3" w:rsidP="009342A3">
      <w:pPr>
        <w:pStyle w:val="AllowPageBreak"/>
      </w:pPr>
    </w:p>
    <w:p w:rsidR="00000000" w:rsidRPr="009342A3" w:rsidP="009342A3">
      <w:pPr>
        <w:pStyle w:val="Heading1"/>
      </w:pPr>
      <w:bookmarkStart w:id="5" w:name="O_518952"/>
      <w:bookmarkEnd w:id="5"/>
      <w:r w:rsidRPr="009342A3">
        <w:t>Pre-Requisites</w:t>
      </w:r>
    </w:p>
    <w:tbl>
      <w:tblPr>
        <w:tblW w:w="9462" w:type="dxa"/>
        <w:tblLayout w:type="fixed"/>
        <w:tblCellMar>
          <w:left w:w="62" w:type="dxa"/>
          <w:right w:w="62" w:type="dxa"/>
        </w:tblCellMar>
        <w:tblLook w:val="0000"/>
      </w:tblPr>
      <w:tblGrid>
        <w:gridCol w:w="2675"/>
        <w:gridCol w:w="6787"/>
      </w:tblGrid>
      <w:tr w:rsidTr="009342A3">
        <w:tblPrEx>
          <w:tblW w:w="9462" w:type="dxa"/>
          <w:tblLayout w:type="fixed"/>
          <w:tblCellMar>
            <w:left w:w="62" w:type="dxa"/>
            <w:right w:w="62" w:type="dxa"/>
          </w:tblCellMar>
          <w:tblLook w:val="0000"/>
        </w:tblPrEx>
        <w:tc>
          <w:tcPr>
            <w:tcW w:w="2675" w:type="dxa"/>
            <w:tcBorders>
              <w:top w:val="nil"/>
              <w:left w:val="nil"/>
              <w:bottom w:val="nil"/>
              <w:right w:val="nil"/>
            </w:tcBorders>
            <w:tcMar>
              <w:top w:w="0" w:type="dxa"/>
              <w:left w:w="62" w:type="dxa"/>
              <w:bottom w:w="0" w:type="dxa"/>
              <w:right w:w="62" w:type="dxa"/>
            </w:tcMar>
          </w:tcPr>
          <w:p w:rsidR="00000000" w:rsidP="009342A3">
            <w:pPr>
              <w:pStyle w:val="BodyText"/>
              <w:rPr>
                <w:lang w:val="en-NZ"/>
              </w:rPr>
            </w:pPr>
            <w:r w:rsidRPr="009342A3">
              <w:t>MEM23004A</w:t>
            </w:r>
          </w:p>
        </w:tc>
        <w:tc>
          <w:tcPr>
            <w:tcW w:w="6787" w:type="dxa"/>
            <w:tcBorders>
              <w:top w:val="nil"/>
              <w:left w:val="nil"/>
              <w:bottom w:val="nil"/>
              <w:right w:val="nil"/>
            </w:tcBorders>
            <w:tcMar>
              <w:top w:w="0" w:type="dxa"/>
              <w:left w:w="62" w:type="dxa"/>
              <w:bottom w:w="0" w:type="dxa"/>
              <w:right w:w="62" w:type="dxa"/>
            </w:tcMar>
          </w:tcPr>
          <w:p w:rsidR="00000000" w:rsidP="009342A3">
            <w:pPr>
              <w:pStyle w:val="BodyText"/>
              <w:rPr>
                <w:lang w:val="en-NZ"/>
              </w:rPr>
            </w:pPr>
            <w:r w:rsidRPr="009342A3">
              <w:t>Apply technical mathematics</w:t>
            </w:r>
          </w:p>
        </w:tc>
      </w:tr>
      <w:tr w:rsidTr="009342A3">
        <w:tblPrEx>
          <w:tblW w:w="9462" w:type="dxa"/>
          <w:tblLayout w:type="fixed"/>
          <w:tblCellMar>
            <w:left w:w="62" w:type="dxa"/>
            <w:right w:w="62" w:type="dxa"/>
          </w:tblCellMar>
          <w:tblLook w:val="0000"/>
        </w:tblPrEx>
        <w:tc>
          <w:tcPr>
            <w:tcW w:w="2675" w:type="dxa"/>
            <w:tcBorders>
              <w:top w:val="nil"/>
              <w:left w:val="nil"/>
              <w:bottom w:val="nil"/>
              <w:right w:val="nil"/>
            </w:tcBorders>
            <w:tcMar>
              <w:top w:w="0" w:type="dxa"/>
              <w:left w:w="62" w:type="dxa"/>
              <w:bottom w:w="0" w:type="dxa"/>
              <w:right w:w="62" w:type="dxa"/>
            </w:tcMar>
          </w:tcPr>
          <w:p w:rsidR="00000000" w:rsidP="009342A3">
            <w:pPr>
              <w:pStyle w:val="BodyText"/>
              <w:rPr>
                <w:lang w:val="en-NZ"/>
              </w:rPr>
            </w:pPr>
            <w:r w:rsidRPr="009342A3">
              <w:t>MEM23111A</w:t>
            </w:r>
          </w:p>
        </w:tc>
        <w:tc>
          <w:tcPr>
            <w:tcW w:w="6787" w:type="dxa"/>
            <w:tcBorders>
              <w:top w:val="nil"/>
              <w:left w:val="nil"/>
              <w:bottom w:val="nil"/>
              <w:right w:val="nil"/>
            </w:tcBorders>
            <w:tcMar>
              <w:top w:w="0" w:type="dxa"/>
              <w:left w:w="62" w:type="dxa"/>
              <w:bottom w:w="0" w:type="dxa"/>
              <w:right w:w="62" w:type="dxa"/>
            </w:tcMar>
          </w:tcPr>
          <w:p w:rsidR="00000000" w:rsidP="009342A3">
            <w:pPr>
              <w:pStyle w:val="BodyText"/>
              <w:rPr>
                <w:lang w:val="en-NZ"/>
              </w:rPr>
            </w:pPr>
            <w:r w:rsidRPr="009342A3">
              <w:t>Select electrical equipment and components for engineering applications</w:t>
            </w:r>
          </w:p>
        </w:tc>
      </w:tr>
      <w:tr w:rsidTr="009342A3">
        <w:tblPrEx>
          <w:tblW w:w="9462" w:type="dxa"/>
          <w:tblLayout w:type="fixed"/>
          <w:tblCellMar>
            <w:left w:w="62" w:type="dxa"/>
            <w:right w:w="62" w:type="dxa"/>
          </w:tblCellMar>
          <w:tblLook w:val="0000"/>
        </w:tblPrEx>
        <w:tc>
          <w:tcPr>
            <w:tcW w:w="2675" w:type="dxa"/>
            <w:tcBorders>
              <w:top w:val="nil"/>
              <w:left w:val="nil"/>
              <w:bottom w:val="nil"/>
              <w:right w:val="nil"/>
            </w:tcBorders>
            <w:tcMar>
              <w:top w:w="0" w:type="dxa"/>
              <w:left w:w="62" w:type="dxa"/>
              <w:bottom w:w="0" w:type="dxa"/>
              <w:right w:w="62" w:type="dxa"/>
            </w:tcMar>
          </w:tcPr>
          <w:p w:rsidR="00000000" w:rsidP="009342A3">
            <w:pPr>
              <w:pStyle w:val="BodyText"/>
              <w:rPr>
                <w:lang w:val="en-NZ"/>
              </w:rPr>
            </w:pPr>
            <w:r w:rsidRPr="009342A3">
              <w:t>MEM23112A</w:t>
            </w:r>
          </w:p>
        </w:tc>
        <w:tc>
          <w:tcPr>
            <w:tcW w:w="6787" w:type="dxa"/>
            <w:tcBorders>
              <w:top w:val="nil"/>
              <w:left w:val="nil"/>
              <w:bottom w:val="nil"/>
              <w:right w:val="nil"/>
            </w:tcBorders>
            <w:tcMar>
              <w:top w:w="0" w:type="dxa"/>
              <w:left w:w="62" w:type="dxa"/>
              <w:bottom w:w="0" w:type="dxa"/>
              <w:right w:w="62" w:type="dxa"/>
            </w:tcMar>
          </w:tcPr>
          <w:p w:rsidR="00000000" w:rsidRPr="009342A3" w:rsidP="009342A3">
            <w:pPr>
              <w:pStyle w:val="BodyText"/>
            </w:pPr>
            <w:r w:rsidRPr="009342A3">
              <w:t>Investigate electrical and electronic controllers in engineering applications</w:t>
            </w:r>
          </w:p>
        </w:tc>
      </w:tr>
    </w:tbl>
    <w:p w:rsidR="0095185A" w:rsidP="009342A3">
      <w:pPr>
        <w:pStyle w:val="BodyText"/>
      </w:pPr>
    </w:p>
    <w:p w:rsidR="0095185A" w:rsidP="009342A3">
      <w:pPr>
        <w:pStyle w:val="BodyText"/>
      </w:pPr>
    </w:p>
    <w:p w:rsidR="00000000" w:rsidRPr="009342A3" w:rsidP="009342A3">
      <w:pPr>
        <w:pStyle w:val="Heading1"/>
      </w:pPr>
      <w:bookmarkStart w:id="6" w:name="O_518951"/>
      <w:bookmarkEnd w:id="6"/>
      <w:r w:rsidRPr="009342A3">
        <w:t>Employability Skills Information</w:t>
      </w:r>
    </w:p>
    <w:p w:rsidR="0095185A" w:rsidP="009342A3">
      <w:pPr>
        <w:pStyle w:val="BodyText"/>
      </w:pPr>
      <w:r w:rsidRPr="009342A3">
        <w:t>This unit contains employability skills.</w:t>
      </w:r>
    </w:p>
    <w:p w:rsidR="0095185A" w:rsidP="009342A3">
      <w:pPr>
        <w:pStyle w:val="BodyText"/>
      </w:pPr>
    </w:p>
    <w:p w:rsidR="00000000" w:rsidRPr="009342A3" w:rsidP="009342A3">
      <w:pPr>
        <w:pStyle w:val="Heading1"/>
      </w:pPr>
      <w:bookmarkStart w:id="7" w:name="O_518950"/>
      <w:bookmarkEnd w:id="7"/>
      <w:r w:rsidRPr="009342A3">
        <w:t>Elements and Performance Criteria Pre-Content</w:t>
      </w:r>
    </w:p>
    <w:tbl>
      <w:tblPr>
        <w:tblW w:w="0" w:type="auto"/>
        <w:tblCellMar>
          <w:left w:w="62" w:type="dxa"/>
          <w:right w:w="62" w:type="dxa"/>
        </w:tblCellMar>
        <w:tblLook w:val="0000"/>
      </w:tblPr>
      <w:tblGrid>
        <w:gridCol w:w="2576"/>
        <w:gridCol w:w="6620"/>
      </w:tblGrid>
      <w:tr w:rsidTr="009518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342A3">
            <w:pPr>
              <w:pStyle w:val="BodyText"/>
              <w:rPr>
                <w:lang w:val="en-NZ"/>
              </w:rPr>
            </w:pPr>
            <w:r w:rsidRPr="009342A3">
              <w:t>Elements describe th</w:t>
            </w:r>
            <w:r w:rsidRPr="009342A3">
              <w:t>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9342A3" w:rsidP="009342A3">
            <w:pPr>
              <w:pStyle w:val="BodyText"/>
            </w:pPr>
            <w:r w:rsidRPr="009342A3">
              <w:t xml:space="preserve">Performance criteria describe the performance needed to demonstrate achievement of the element. </w:t>
            </w:r>
          </w:p>
        </w:tc>
      </w:tr>
    </w:tbl>
    <w:p w:rsidR="0095185A" w:rsidP="009342A3">
      <w:pPr>
        <w:pStyle w:val="BodyText"/>
      </w:pPr>
    </w:p>
    <w:p w:rsidR="0095185A" w:rsidP="009342A3">
      <w:pPr>
        <w:pStyle w:val="BodyText"/>
      </w:pPr>
    </w:p>
    <w:p w:rsidR="00000000" w:rsidRPr="009342A3" w:rsidP="009342A3">
      <w:pPr>
        <w:pStyle w:val="Heading1"/>
      </w:pPr>
      <w:bookmarkStart w:id="8" w:name="O_518949"/>
      <w:bookmarkEnd w:id="8"/>
      <w:r w:rsidRPr="009342A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342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342A3">
            <w:pPr>
              <w:pStyle w:val="BodyText"/>
              <w:rPr>
                <w:lang w:val="en-NZ"/>
              </w:rPr>
            </w:pPr>
            <w:r w:rsidRPr="009342A3">
              <w:t>1</w:t>
            </w:r>
          </w:p>
        </w:tc>
        <w:tc>
          <w:tcPr>
            <w:tcW w:w="1962" w:type="dxa"/>
            <w:vMerge w:val="restart"/>
            <w:tcBorders>
              <w:top w:val="nil"/>
              <w:left w:val="nil"/>
              <w:bottom w:val="nil"/>
              <w:right w:val="nil"/>
            </w:tcBorders>
            <w:tcMar>
              <w:top w:w="0" w:type="dxa"/>
              <w:left w:w="62" w:type="dxa"/>
              <w:bottom w:w="0" w:type="dxa"/>
              <w:right w:w="62" w:type="dxa"/>
            </w:tcMar>
          </w:tcPr>
          <w:p w:rsidR="00000000" w:rsidP="009342A3">
            <w:pPr>
              <w:pStyle w:val="BodyText"/>
              <w:rPr>
                <w:lang w:val="en-NZ"/>
              </w:rPr>
            </w:pPr>
            <w:r w:rsidRPr="009342A3">
              <w:t>Investigate scope of engineering task</w:t>
            </w:r>
          </w:p>
        </w:tc>
        <w:tc>
          <w:tcPr>
            <w:tcW w:w="770" w:type="dxa"/>
            <w:tcBorders>
              <w:top w:val="nil"/>
              <w:left w:val="nil"/>
              <w:bottom w:val="nil"/>
              <w:right w:val="nil"/>
            </w:tcBorders>
            <w:tcMar>
              <w:top w:w="0" w:type="dxa"/>
              <w:left w:w="62" w:type="dxa"/>
              <w:bottom w:w="0" w:type="dxa"/>
              <w:right w:w="62" w:type="dxa"/>
            </w:tcMar>
          </w:tcPr>
          <w:p w:rsidR="00000000" w:rsidP="009342A3">
            <w:pPr>
              <w:pStyle w:val="BodyText"/>
              <w:rPr>
                <w:lang w:val="en-NZ"/>
              </w:rPr>
            </w:pPr>
            <w:r w:rsidRPr="009342A3">
              <w:t>1.1</w:t>
            </w:r>
          </w:p>
        </w:tc>
        <w:tc>
          <w:tcPr>
            <w:tcW w:w="5610" w:type="dxa"/>
            <w:tcBorders>
              <w:top w:val="nil"/>
              <w:left w:val="nil"/>
              <w:bottom w:val="nil"/>
              <w:right w:val="nil"/>
            </w:tcBorders>
            <w:tcMar>
              <w:top w:w="0" w:type="dxa"/>
              <w:left w:w="62" w:type="dxa"/>
              <w:bottom w:w="0" w:type="dxa"/>
              <w:right w:w="62" w:type="dxa"/>
            </w:tcMar>
          </w:tcPr>
          <w:p w:rsidR="00000000" w:rsidP="009342A3">
            <w:pPr>
              <w:pStyle w:val="BodyText"/>
              <w:rPr>
                <w:lang w:val="en-NZ"/>
              </w:rPr>
            </w:pPr>
            <w:r w:rsidRPr="009342A3">
              <w:t>Identify mechatronic and related fundamentals to be integrated into engineering task</w:t>
            </w:r>
          </w:p>
        </w:tc>
      </w:tr>
      <w:tr w:rsidTr="009342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42A3">
            <w:pPr>
              <w:pStyle w:val="BodyText"/>
              <w:rPr>
                <w:lang w:val="en-NZ"/>
              </w:rPr>
            </w:pPr>
            <w:r w:rsidRPr="009342A3">
              <w:t>1.2</w:t>
            </w:r>
          </w:p>
        </w:tc>
        <w:tc>
          <w:tcPr>
            <w:tcW w:w="5610" w:type="dxa"/>
            <w:tcBorders>
              <w:top w:val="nil"/>
              <w:left w:val="nil"/>
              <w:bottom w:val="nil"/>
              <w:right w:val="nil"/>
            </w:tcBorders>
            <w:tcMar>
              <w:top w:w="0" w:type="dxa"/>
              <w:left w:w="62" w:type="dxa"/>
              <w:bottom w:w="0" w:type="dxa"/>
              <w:right w:w="62" w:type="dxa"/>
            </w:tcMar>
          </w:tcPr>
          <w:p w:rsidR="00000000" w:rsidP="009342A3">
            <w:pPr>
              <w:pStyle w:val="BodyText"/>
              <w:rPr>
                <w:lang w:val="en-NZ"/>
              </w:rPr>
            </w:pPr>
            <w:r w:rsidRPr="009342A3">
              <w:t xml:space="preserve">Identify stakeholders to be consulted </w:t>
            </w:r>
          </w:p>
        </w:tc>
      </w:tr>
      <w:tr w:rsidTr="009342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42A3">
            <w:pPr>
              <w:pStyle w:val="BodyText"/>
              <w:rPr>
                <w:lang w:val="en-NZ"/>
              </w:rPr>
            </w:pPr>
            <w:r w:rsidRPr="009342A3">
              <w:t>1.3</w:t>
            </w:r>
          </w:p>
        </w:tc>
        <w:tc>
          <w:tcPr>
            <w:tcW w:w="5610" w:type="dxa"/>
            <w:tcBorders>
              <w:top w:val="nil"/>
              <w:left w:val="nil"/>
              <w:bottom w:val="nil"/>
              <w:right w:val="nil"/>
            </w:tcBorders>
            <w:tcMar>
              <w:top w:w="0" w:type="dxa"/>
              <w:left w:w="62" w:type="dxa"/>
              <w:bottom w:w="0" w:type="dxa"/>
              <w:right w:w="62" w:type="dxa"/>
            </w:tcMar>
          </w:tcPr>
          <w:p w:rsidR="00000000" w:rsidP="009342A3">
            <w:pPr>
              <w:pStyle w:val="BodyText"/>
              <w:rPr>
                <w:lang w:val="en-NZ"/>
              </w:rPr>
            </w:pPr>
            <w:r w:rsidRPr="009342A3">
              <w:t>Review functions and features of machines, controllers, devices and automated systems requiring mechatronics</w:t>
            </w:r>
          </w:p>
        </w:tc>
      </w:tr>
      <w:tr w:rsidTr="009342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42A3">
            <w:pPr>
              <w:pStyle w:val="BodyText"/>
              <w:rPr>
                <w:lang w:val="en-NZ"/>
              </w:rPr>
            </w:pPr>
            <w:r w:rsidRPr="009342A3">
              <w:t>1.4</w:t>
            </w:r>
          </w:p>
        </w:tc>
        <w:tc>
          <w:tcPr>
            <w:tcW w:w="5610" w:type="dxa"/>
            <w:tcBorders>
              <w:top w:val="nil"/>
              <w:left w:val="nil"/>
              <w:bottom w:val="nil"/>
              <w:right w:val="nil"/>
            </w:tcBorders>
            <w:tcMar>
              <w:top w:w="0" w:type="dxa"/>
              <w:left w:w="62" w:type="dxa"/>
              <w:bottom w:w="0" w:type="dxa"/>
              <w:right w:w="62" w:type="dxa"/>
            </w:tcMar>
          </w:tcPr>
          <w:p w:rsidR="00000000" w:rsidP="009342A3">
            <w:pPr>
              <w:pStyle w:val="BodyText"/>
              <w:rPr>
                <w:lang w:val="en-NZ"/>
              </w:rPr>
            </w:pPr>
            <w:r w:rsidRPr="009342A3">
              <w:t>Confirm WHS, regulatory requirements, risk management and organisational procedures</w:t>
            </w:r>
          </w:p>
        </w:tc>
      </w:tr>
      <w:tr w:rsidTr="009342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42A3">
            <w:pPr>
              <w:pStyle w:val="BodyText"/>
              <w:rPr>
                <w:lang w:val="en-NZ"/>
              </w:rPr>
            </w:pPr>
            <w:r w:rsidRPr="009342A3">
              <w:t>1.5</w:t>
            </w:r>
          </w:p>
        </w:tc>
        <w:tc>
          <w:tcPr>
            <w:tcW w:w="5610" w:type="dxa"/>
            <w:tcBorders>
              <w:top w:val="nil"/>
              <w:left w:val="nil"/>
              <w:bottom w:val="nil"/>
              <w:right w:val="nil"/>
            </w:tcBorders>
            <w:tcMar>
              <w:top w:w="0" w:type="dxa"/>
              <w:left w:w="62" w:type="dxa"/>
              <w:bottom w:w="0" w:type="dxa"/>
              <w:right w:w="62" w:type="dxa"/>
            </w:tcMar>
          </w:tcPr>
          <w:p w:rsidR="00000000" w:rsidRPr="009342A3" w:rsidP="009342A3">
            <w:pPr>
              <w:pStyle w:val="BodyText"/>
            </w:pPr>
            <w:r w:rsidRPr="009342A3">
              <w:t>Review software techniques required for task analysis and graphics</w:t>
            </w:r>
          </w:p>
        </w:tc>
      </w:tr>
    </w:tbl>
    <w:p w:rsidR="00000000" w:rsidRPr="009342A3" w:rsidP="009342A3">
      <w:pPr>
        <w:pStyle w:val="BodyText"/>
      </w:pPr>
    </w:p>
    <w:tbl>
      <w:tblPr>
        <w:tblW w:w="0" w:type="auto"/>
        <w:tblLayout w:type="fixed"/>
        <w:tblCellMar>
          <w:left w:w="62" w:type="dxa"/>
          <w:right w:w="62" w:type="dxa"/>
        </w:tblCellMar>
        <w:tblLook w:val="0000"/>
      </w:tblPr>
      <w:tblGrid>
        <w:gridCol w:w="678"/>
        <w:gridCol w:w="1962"/>
        <w:gridCol w:w="770"/>
        <w:gridCol w:w="5610"/>
      </w:tblGrid>
      <w:tr w:rsidTr="009342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342A3">
            <w:pPr>
              <w:pStyle w:val="BodyText"/>
              <w:rPr>
                <w:lang w:val="en-NZ"/>
              </w:rPr>
            </w:pPr>
            <w:r w:rsidRPr="009342A3">
              <w:t>2</w:t>
            </w:r>
          </w:p>
        </w:tc>
        <w:tc>
          <w:tcPr>
            <w:tcW w:w="1962" w:type="dxa"/>
            <w:vMerge w:val="restart"/>
            <w:tcBorders>
              <w:top w:val="nil"/>
              <w:left w:val="nil"/>
              <w:bottom w:val="nil"/>
              <w:right w:val="nil"/>
            </w:tcBorders>
            <w:tcMar>
              <w:top w:w="0" w:type="dxa"/>
              <w:left w:w="62" w:type="dxa"/>
              <w:bottom w:w="0" w:type="dxa"/>
              <w:right w:w="62" w:type="dxa"/>
            </w:tcMar>
          </w:tcPr>
          <w:p w:rsidR="00000000" w:rsidP="009342A3">
            <w:pPr>
              <w:pStyle w:val="BodyText"/>
              <w:rPr>
                <w:lang w:val="en-NZ"/>
              </w:rPr>
            </w:pPr>
            <w:r w:rsidRPr="009342A3">
              <w:t>Integrate mechatronic fundamentals</w:t>
            </w:r>
          </w:p>
        </w:tc>
        <w:tc>
          <w:tcPr>
            <w:tcW w:w="770" w:type="dxa"/>
            <w:tcBorders>
              <w:top w:val="nil"/>
              <w:left w:val="nil"/>
              <w:bottom w:val="nil"/>
              <w:right w:val="nil"/>
            </w:tcBorders>
            <w:tcMar>
              <w:top w:w="0" w:type="dxa"/>
              <w:left w:w="62" w:type="dxa"/>
              <w:bottom w:w="0" w:type="dxa"/>
              <w:right w:w="62" w:type="dxa"/>
            </w:tcMar>
          </w:tcPr>
          <w:p w:rsidR="00000000" w:rsidP="009342A3">
            <w:pPr>
              <w:pStyle w:val="BodyText"/>
              <w:rPr>
                <w:lang w:val="en-NZ"/>
              </w:rPr>
            </w:pPr>
            <w:r w:rsidRPr="009342A3">
              <w:t>2.1</w:t>
            </w:r>
          </w:p>
        </w:tc>
        <w:tc>
          <w:tcPr>
            <w:tcW w:w="5610" w:type="dxa"/>
            <w:tcBorders>
              <w:top w:val="nil"/>
              <w:left w:val="nil"/>
              <w:bottom w:val="nil"/>
              <w:right w:val="nil"/>
            </w:tcBorders>
            <w:tcMar>
              <w:top w:w="0" w:type="dxa"/>
              <w:left w:w="62" w:type="dxa"/>
              <w:bottom w:w="0" w:type="dxa"/>
              <w:right w:w="62" w:type="dxa"/>
            </w:tcMar>
          </w:tcPr>
          <w:p w:rsidR="00000000" w:rsidP="009342A3">
            <w:pPr>
              <w:pStyle w:val="BodyText"/>
              <w:rPr>
                <w:lang w:val="en-NZ"/>
              </w:rPr>
            </w:pPr>
            <w:r w:rsidRPr="009342A3">
              <w:t>Use systems thinking to address contingencies and const</w:t>
            </w:r>
            <w:r w:rsidRPr="009342A3">
              <w:t>raints, problem solving and decision making, and continuous improvement to achieve integration task</w:t>
            </w:r>
          </w:p>
        </w:tc>
      </w:tr>
      <w:tr w:rsidTr="009342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42A3">
            <w:pPr>
              <w:pStyle w:val="BodyText"/>
              <w:rPr>
                <w:lang w:val="en-NZ"/>
              </w:rPr>
            </w:pPr>
            <w:r w:rsidRPr="009342A3">
              <w:t>2.2</w:t>
            </w:r>
          </w:p>
        </w:tc>
        <w:tc>
          <w:tcPr>
            <w:tcW w:w="5610" w:type="dxa"/>
            <w:tcBorders>
              <w:top w:val="nil"/>
              <w:left w:val="nil"/>
              <w:bottom w:val="nil"/>
              <w:right w:val="nil"/>
            </w:tcBorders>
            <w:tcMar>
              <w:top w:w="0" w:type="dxa"/>
              <w:left w:w="62" w:type="dxa"/>
              <w:bottom w:w="0" w:type="dxa"/>
              <w:right w:w="62" w:type="dxa"/>
            </w:tcMar>
          </w:tcPr>
          <w:p w:rsidR="00000000" w:rsidP="009342A3">
            <w:pPr>
              <w:pStyle w:val="BodyText"/>
              <w:rPr>
                <w:lang w:val="en-NZ"/>
              </w:rPr>
            </w:pPr>
            <w:r w:rsidRPr="009342A3">
              <w:t>Integrate mechatronic fundamentals to achieve task objectives</w:t>
            </w:r>
          </w:p>
        </w:tc>
      </w:tr>
      <w:tr w:rsidTr="009342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42A3">
            <w:pPr>
              <w:pStyle w:val="BodyText"/>
              <w:rPr>
                <w:lang w:val="en-NZ"/>
              </w:rPr>
            </w:pPr>
            <w:r w:rsidRPr="009342A3">
              <w:t>2.3</w:t>
            </w:r>
          </w:p>
        </w:tc>
        <w:tc>
          <w:tcPr>
            <w:tcW w:w="5610" w:type="dxa"/>
            <w:tcBorders>
              <w:top w:val="nil"/>
              <w:left w:val="nil"/>
              <w:bottom w:val="nil"/>
              <w:right w:val="nil"/>
            </w:tcBorders>
            <w:tcMar>
              <w:top w:w="0" w:type="dxa"/>
              <w:left w:w="62" w:type="dxa"/>
              <w:bottom w:w="0" w:type="dxa"/>
              <w:right w:w="62" w:type="dxa"/>
            </w:tcMar>
          </w:tcPr>
          <w:p w:rsidR="00000000" w:rsidRPr="009342A3" w:rsidP="009342A3">
            <w:pPr>
              <w:pStyle w:val="BodyText"/>
            </w:pPr>
            <w:r w:rsidRPr="009342A3">
              <w:t>Seek technical and professional assistance or clarification of design information, as required</w:t>
            </w:r>
          </w:p>
        </w:tc>
      </w:tr>
    </w:tbl>
    <w:p w:rsidR="00000000" w:rsidRPr="009342A3" w:rsidP="009342A3">
      <w:pPr>
        <w:pStyle w:val="BodyText"/>
      </w:pPr>
    </w:p>
    <w:tbl>
      <w:tblPr>
        <w:tblW w:w="0" w:type="auto"/>
        <w:tblLayout w:type="fixed"/>
        <w:tblCellMar>
          <w:left w:w="62" w:type="dxa"/>
          <w:right w:w="62" w:type="dxa"/>
        </w:tblCellMar>
        <w:tblLook w:val="0000"/>
      </w:tblPr>
      <w:tblGrid>
        <w:gridCol w:w="678"/>
        <w:gridCol w:w="1962"/>
        <w:gridCol w:w="770"/>
        <w:gridCol w:w="5610"/>
      </w:tblGrid>
      <w:tr w:rsidTr="009342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342A3">
            <w:pPr>
              <w:pStyle w:val="BodyText"/>
              <w:rPr>
                <w:lang w:val="en-NZ"/>
              </w:rPr>
            </w:pPr>
            <w:r w:rsidRPr="009342A3">
              <w:t>3</w:t>
            </w:r>
          </w:p>
        </w:tc>
        <w:tc>
          <w:tcPr>
            <w:tcW w:w="1962" w:type="dxa"/>
            <w:vMerge w:val="restart"/>
            <w:tcBorders>
              <w:top w:val="nil"/>
              <w:left w:val="nil"/>
              <w:bottom w:val="nil"/>
              <w:right w:val="nil"/>
            </w:tcBorders>
            <w:tcMar>
              <w:top w:w="0" w:type="dxa"/>
              <w:left w:w="62" w:type="dxa"/>
              <w:bottom w:w="0" w:type="dxa"/>
              <w:right w:w="62" w:type="dxa"/>
            </w:tcMar>
          </w:tcPr>
          <w:p w:rsidR="00000000" w:rsidP="009342A3">
            <w:pPr>
              <w:pStyle w:val="BodyText"/>
              <w:rPr>
                <w:lang w:val="en-NZ"/>
              </w:rPr>
            </w:pPr>
            <w:r w:rsidRPr="009342A3">
              <w:t>Report results</w:t>
            </w:r>
          </w:p>
        </w:tc>
        <w:tc>
          <w:tcPr>
            <w:tcW w:w="770" w:type="dxa"/>
            <w:tcBorders>
              <w:top w:val="nil"/>
              <w:left w:val="nil"/>
              <w:bottom w:val="nil"/>
              <w:right w:val="nil"/>
            </w:tcBorders>
            <w:tcMar>
              <w:top w:w="0" w:type="dxa"/>
              <w:left w:w="62" w:type="dxa"/>
              <w:bottom w:w="0" w:type="dxa"/>
              <w:right w:w="62" w:type="dxa"/>
            </w:tcMar>
          </w:tcPr>
          <w:p w:rsidR="00000000" w:rsidP="009342A3">
            <w:pPr>
              <w:pStyle w:val="BodyText"/>
              <w:rPr>
                <w:lang w:val="en-NZ"/>
              </w:rPr>
            </w:pPr>
            <w:r w:rsidRPr="009342A3">
              <w:t>3.1</w:t>
            </w:r>
          </w:p>
        </w:tc>
        <w:tc>
          <w:tcPr>
            <w:tcW w:w="5610" w:type="dxa"/>
            <w:tcBorders>
              <w:top w:val="nil"/>
              <w:left w:val="nil"/>
              <w:bottom w:val="nil"/>
              <w:right w:val="nil"/>
            </w:tcBorders>
            <w:tcMar>
              <w:top w:w="0" w:type="dxa"/>
              <w:left w:w="62" w:type="dxa"/>
              <w:bottom w:w="0" w:type="dxa"/>
              <w:right w:w="62" w:type="dxa"/>
            </w:tcMar>
          </w:tcPr>
          <w:p w:rsidR="00000000" w:rsidP="009342A3">
            <w:pPr>
              <w:pStyle w:val="BodyText"/>
              <w:rPr>
                <w:lang w:val="en-NZ"/>
              </w:rPr>
            </w:pPr>
            <w:r w:rsidRPr="009342A3">
              <w:t>Record results of investigation, evaluation and integration</w:t>
            </w:r>
          </w:p>
        </w:tc>
      </w:tr>
      <w:tr w:rsidTr="009342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42A3">
            <w:pPr>
              <w:pStyle w:val="BodyText"/>
              <w:rPr>
                <w:lang w:val="en-NZ"/>
              </w:rPr>
            </w:pPr>
            <w:r w:rsidRPr="009342A3">
              <w:t>3.2</w:t>
            </w:r>
          </w:p>
        </w:tc>
        <w:tc>
          <w:tcPr>
            <w:tcW w:w="5610" w:type="dxa"/>
            <w:tcBorders>
              <w:top w:val="nil"/>
              <w:left w:val="nil"/>
              <w:bottom w:val="nil"/>
              <w:right w:val="nil"/>
            </w:tcBorders>
            <w:tcMar>
              <w:top w:w="0" w:type="dxa"/>
              <w:left w:w="62" w:type="dxa"/>
              <w:bottom w:w="0" w:type="dxa"/>
              <w:right w:w="62" w:type="dxa"/>
            </w:tcMar>
          </w:tcPr>
          <w:p w:rsidR="00000000" w:rsidRPr="009342A3" w:rsidP="009342A3">
            <w:pPr>
              <w:pStyle w:val="BodyText"/>
            </w:pPr>
            <w:r w:rsidRPr="009342A3">
              <w:t>Provide do</w:t>
            </w:r>
            <w:r w:rsidRPr="009342A3">
              <w:t>cumentation, such as diagrams, calculations, programs and files</w:t>
            </w:r>
          </w:p>
        </w:tc>
      </w:tr>
    </w:tbl>
    <w:p w:rsidR="0095185A" w:rsidP="009342A3">
      <w:pPr>
        <w:pStyle w:val="BodyText"/>
      </w:pPr>
    </w:p>
    <w:p w:rsidR="0095185A" w:rsidP="009342A3">
      <w:pPr>
        <w:pStyle w:val="BodyText"/>
      </w:pPr>
    </w:p>
    <w:p w:rsidR="00000000" w:rsidRPr="009342A3" w:rsidP="009342A3">
      <w:pPr>
        <w:pStyle w:val="Heading1"/>
      </w:pPr>
      <w:bookmarkStart w:id="9" w:name="O_518948"/>
      <w:bookmarkEnd w:id="9"/>
      <w:r w:rsidRPr="009342A3">
        <w:t>Required Skills and Knowledge</w:t>
      </w:r>
    </w:p>
    <w:tbl>
      <w:tblPr>
        <w:tblW w:w="9462" w:type="dxa"/>
        <w:tblLayout w:type="fixed"/>
        <w:tblCellMar>
          <w:left w:w="62" w:type="dxa"/>
          <w:right w:w="62" w:type="dxa"/>
        </w:tblCellMar>
        <w:tblLook w:val="0000"/>
      </w:tblPr>
      <w:tblGrid>
        <w:gridCol w:w="9462"/>
      </w:tblGrid>
      <w:tr w:rsidTr="009342A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9342A3">
            <w:pPr>
              <w:pStyle w:val="BodyText"/>
              <w:rPr>
                <w:lang w:val="en-NZ"/>
              </w:rPr>
            </w:pPr>
            <w:r w:rsidRPr="009342A3">
              <w:t>This section describes the skills and knowledge required for this unit.</w:t>
            </w:r>
          </w:p>
        </w:tc>
      </w:tr>
      <w:tr w:rsidTr="009342A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9342A3">
            <w:pPr>
              <w:pStyle w:val="BodyText"/>
              <w:rPr>
                <w:lang w:val="en-NZ"/>
              </w:rPr>
            </w:pPr>
            <w:r w:rsidRPr="009342A3">
              <w:rPr>
                <w:rStyle w:val="SpecialBold"/>
              </w:rPr>
              <w:t>Required skills</w:t>
            </w:r>
          </w:p>
        </w:tc>
      </w:tr>
      <w:tr w:rsidTr="009342A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9342A3" w:rsidP="009342A3">
            <w:pPr>
              <w:pStyle w:val="BodyText"/>
            </w:pPr>
            <w:r w:rsidRPr="009342A3">
              <w:t>Required skills include:</w:t>
            </w:r>
          </w:p>
          <w:p w:rsidR="00000000" w:rsidRPr="009342A3" w:rsidP="009342A3">
            <w:pPr>
              <w:pStyle w:val="ListBullet"/>
            </w:pPr>
            <w:r w:rsidRPr="009342A3">
              <w:t xml:space="preserve">communicating, cooperating and negotiating with stakeholders </w:t>
            </w:r>
          </w:p>
          <w:p w:rsidR="00000000" w:rsidRPr="009342A3" w:rsidP="009342A3">
            <w:pPr>
              <w:pStyle w:val="ListBullet"/>
            </w:pPr>
            <w:r w:rsidRPr="009342A3">
              <w:t>identifying task parameters and context, WHS and regulatory requirements, risk management and organisational procedures</w:t>
            </w:r>
          </w:p>
          <w:p w:rsidR="00000000" w:rsidRPr="009342A3" w:rsidP="009342A3">
            <w:pPr>
              <w:pStyle w:val="ListBullet"/>
            </w:pPr>
            <w:r w:rsidRPr="009342A3">
              <w:t xml:space="preserve">evaluating task requirements, including principles, techniques, machines, </w:t>
            </w:r>
            <w:r w:rsidRPr="009342A3">
              <w:t xml:space="preserve">controllers and mechatronic devices, and typical automated systems </w:t>
            </w:r>
          </w:p>
          <w:p w:rsidR="00000000" w:rsidRPr="009342A3" w:rsidP="009342A3">
            <w:pPr>
              <w:pStyle w:val="ListBullet"/>
            </w:pPr>
            <w:r w:rsidRPr="009342A3">
              <w:t>selecting and using software for required analysis and graphics</w:t>
            </w:r>
          </w:p>
          <w:p w:rsidR="00000000" w:rsidRPr="009342A3" w:rsidP="009342A3">
            <w:pPr>
              <w:pStyle w:val="ListBullet"/>
            </w:pPr>
            <w:r w:rsidRPr="009342A3">
              <w:t>planning the task</w:t>
            </w:r>
          </w:p>
          <w:p w:rsidR="00000000" w:rsidRPr="009342A3" w:rsidP="009342A3">
            <w:pPr>
              <w:pStyle w:val="ListBullet"/>
            </w:pPr>
            <w:r w:rsidRPr="009342A3">
              <w:t>solving problems and making decisions using systems thinking and continuous improvement to address conting</w:t>
            </w:r>
            <w:r w:rsidRPr="009342A3">
              <w:t>encies and constraints</w:t>
            </w:r>
          </w:p>
          <w:p w:rsidR="00000000" w:rsidRPr="009342A3" w:rsidP="009342A3">
            <w:pPr>
              <w:pStyle w:val="BodyText"/>
            </w:pPr>
            <w:r w:rsidRPr="009342A3">
              <w:t xml:space="preserve">reporting and documenting results of investigation, evaluation and integration, diagrams and calculations </w:t>
            </w:r>
          </w:p>
          <w:p w:rsidR="00000000" w:rsidP="009342A3">
            <w:pPr>
              <w:pStyle w:val="ListBullet"/>
              <w:rPr>
                <w:lang w:val="en-NZ"/>
              </w:rPr>
            </w:pPr>
            <w:r w:rsidRPr="009342A3">
              <w:t>reviewing sustainability implications, functions and features for the engineering task</w:t>
            </w:r>
          </w:p>
        </w:tc>
      </w:tr>
      <w:tr w:rsidTr="009342A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9342A3" w:rsidP="009342A3">
            <w:pPr>
              <w:pStyle w:val="BodyText"/>
            </w:pPr>
          </w:p>
          <w:p w:rsidR="00000000" w:rsidP="009342A3">
            <w:pPr>
              <w:pStyle w:val="BodyText"/>
              <w:rPr>
                <w:lang w:val="en-NZ"/>
              </w:rPr>
            </w:pPr>
            <w:r w:rsidRPr="009342A3">
              <w:rPr>
                <w:rStyle w:val="SpecialBold"/>
              </w:rPr>
              <w:t>Required knowledge</w:t>
            </w:r>
          </w:p>
        </w:tc>
      </w:tr>
      <w:tr w:rsidTr="009342A3">
        <w:tblPrEx>
          <w:tblW w:w="9462" w:type="dxa"/>
          <w:tblLayout w:type="fixed"/>
          <w:tblCellMar>
            <w:left w:w="62" w:type="dxa"/>
            <w:right w:w="62" w:type="dxa"/>
          </w:tblCellMar>
          <w:tblLook w:val="0000"/>
        </w:tblPrEx>
        <w:trPr>
          <w:trHeight w:val="799"/>
        </w:trPr>
        <w:tc>
          <w:tcPr>
            <w:tcW w:w="9462" w:type="dxa"/>
            <w:tcBorders>
              <w:top w:val="nil"/>
              <w:left w:val="nil"/>
              <w:bottom w:val="nil"/>
              <w:right w:val="nil"/>
            </w:tcBorders>
            <w:tcMar>
              <w:top w:w="0" w:type="dxa"/>
              <w:left w:w="62" w:type="dxa"/>
              <w:bottom w:w="0" w:type="dxa"/>
              <w:right w:w="62" w:type="dxa"/>
            </w:tcMar>
          </w:tcPr>
          <w:p w:rsidR="00000000" w:rsidRPr="009342A3" w:rsidP="009342A3">
            <w:pPr>
              <w:pStyle w:val="BodyText"/>
            </w:pPr>
            <w:r w:rsidRPr="009342A3">
              <w:t>Required knowledge includes:</w:t>
            </w:r>
          </w:p>
          <w:p w:rsidR="00000000" w:rsidRPr="009342A3" w:rsidP="009342A3">
            <w:pPr>
              <w:pStyle w:val="ListBullet"/>
            </w:pPr>
            <w:r w:rsidRPr="009342A3">
              <w:t xml:space="preserve">WHS and regulatory requirements, codes of practice, and risk minimisation and registration requirements </w:t>
            </w:r>
          </w:p>
          <w:p w:rsidR="00000000" w:rsidRPr="009342A3" w:rsidP="009342A3">
            <w:pPr>
              <w:pStyle w:val="ListBullet"/>
            </w:pPr>
            <w:r w:rsidRPr="009342A3">
              <w:t>mechatronic fundamentals, including:</w:t>
            </w:r>
          </w:p>
          <w:p w:rsidR="00000000" w:rsidRPr="009342A3" w:rsidP="009342A3">
            <w:pPr>
              <w:pStyle w:val="ListBullet2"/>
            </w:pPr>
            <w:r w:rsidRPr="009342A3">
              <w:t>mathematics</w:t>
            </w:r>
          </w:p>
          <w:p w:rsidR="00000000" w:rsidRPr="009342A3" w:rsidP="009342A3">
            <w:pPr>
              <w:pStyle w:val="ListBullet2"/>
            </w:pPr>
            <w:r w:rsidRPr="009342A3">
              <w:t>materials properties</w:t>
            </w:r>
          </w:p>
          <w:p w:rsidR="00000000" w:rsidRPr="009342A3" w:rsidP="009342A3">
            <w:pPr>
              <w:pStyle w:val="ListBullet2"/>
            </w:pPr>
            <w:r w:rsidRPr="009342A3">
              <w:t>mechanics</w:t>
            </w:r>
          </w:p>
          <w:p w:rsidR="00000000" w:rsidRPr="009342A3" w:rsidP="009342A3">
            <w:pPr>
              <w:pStyle w:val="ListBullet2"/>
            </w:pPr>
            <w:r w:rsidRPr="009342A3">
              <w:t>electrical and electronic fundamentals</w:t>
            </w:r>
          </w:p>
          <w:p w:rsidR="00000000" w:rsidRPr="009342A3" w:rsidP="009342A3">
            <w:pPr>
              <w:pStyle w:val="BodyText"/>
            </w:pPr>
            <w:r w:rsidRPr="009342A3">
              <w:t>fundamentals of controller programming, interfacing and signal conditioning, and which depending on the application may also include:</w:t>
            </w:r>
          </w:p>
          <w:p w:rsidR="00000000" w:rsidRPr="009342A3" w:rsidP="009342A3">
            <w:pPr>
              <w:pStyle w:val="ListBullet2"/>
            </w:pPr>
            <w:r w:rsidRPr="009342A3">
              <w:t>chemistry</w:t>
            </w:r>
          </w:p>
          <w:p w:rsidR="00000000" w:rsidRPr="009342A3" w:rsidP="009342A3">
            <w:pPr>
              <w:pStyle w:val="ListBullet2"/>
            </w:pPr>
            <w:r w:rsidRPr="009342A3">
              <w:t>light, sound and electromagnetic effects</w:t>
            </w:r>
          </w:p>
          <w:p w:rsidR="00000000" w:rsidRPr="009342A3" w:rsidP="009342A3">
            <w:pPr>
              <w:pStyle w:val="ListBullet2"/>
            </w:pPr>
            <w:r w:rsidRPr="009342A3">
              <w:t>thermodynamics and heating, ventilation and air conditioning (HVAC)</w:t>
            </w:r>
          </w:p>
          <w:p w:rsidR="00000000" w:rsidRPr="009342A3" w:rsidP="009342A3">
            <w:pPr>
              <w:pStyle w:val="ListBullet2"/>
            </w:pPr>
            <w:r w:rsidRPr="009342A3">
              <w:t>fl</w:t>
            </w:r>
            <w:r w:rsidRPr="009342A3">
              <w:t>uid mechanics</w:t>
            </w:r>
          </w:p>
          <w:p w:rsidR="00000000" w:rsidRPr="009342A3" w:rsidP="009342A3">
            <w:pPr>
              <w:pStyle w:val="ListBullet2"/>
            </w:pPr>
            <w:r w:rsidRPr="009342A3">
              <w:t>fluid power</w:t>
            </w:r>
          </w:p>
          <w:p w:rsidR="00000000" w:rsidRPr="009342A3" w:rsidP="009342A3">
            <w:pPr>
              <w:pStyle w:val="ListBullet2"/>
            </w:pPr>
            <w:r w:rsidRPr="009342A3">
              <w:t>system control and data acquisition systems (SCADA) and distributed control systems (DCS)</w:t>
            </w:r>
          </w:p>
          <w:p w:rsidR="00000000" w:rsidRPr="009342A3" w:rsidP="009342A3">
            <w:pPr>
              <w:pStyle w:val="ListBullet2"/>
            </w:pPr>
            <w:r w:rsidRPr="009342A3">
              <w:t>computing</w:t>
            </w:r>
          </w:p>
          <w:p w:rsidR="00000000" w:rsidRPr="009342A3" w:rsidP="009342A3">
            <w:pPr>
              <w:pStyle w:val="ListBullet2"/>
            </w:pPr>
            <w:r w:rsidRPr="009342A3">
              <w:t>graphics, including computer-aided design and drafting systems (CAD)</w:t>
            </w:r>
          </w:p>
          <w:p w:rsidR="00000000" w:rsidRPr="009342A3" w:rsidP="009342A3">
            <w:pPr>
              <w:pStyle w:val="ListBullet"/>
            </w:pPr>
            <w:r w:rsidRPr="009342A3">
              <w:t>methods and processes for shaping, cutting, joining and coat</w:t>
            </w:r>
            <w:r w:rsidRPr="009342A3">
              <w:t xml:space="preserve">ing of metal and other materials </w:t>
            </w:r>
          </w:p>
          <w:p w:rsidR="00000000" w:rsidRPr="009342A3" w:rsidP="009342A3">
            <w:pPr>
              <w:pStyle w:val="ListBullet"/>
            </w:pPr>
            <w:r w:rsidRPr="009342A3">
              <w:t>functions and features of machines, controllers and mechatronic devices and automated systems</w:t>
            </w:r>
          </w:p>
          <w:p w:rsidR="00000000" w:rsidRPr="009342A3" w:rsidP="009342A3">
            <w:pPr>
              <w:pStyle w:val="ListBullet"/>
            </w:pPr>
            <w:r w:rsidRPr="009342A3">
              <w:t>current options and tends in software, including circuit and system layout and simulation</w:t>
            </w:r>
          </w:p>
        </w:tc>
      </w:tr>
    </w:tbl>
    <w:p w:rsidR="0095185A" w:rsidP="009342A3">
      <w:pPr>
        <w:pStyle w:val="BodyText"/>
      </w:pPr>
    </w:p>
    <w:p w:rsidR="0095185A" w:rsidP="009342A3">
      <w:pPr>
        <w:pStyle w:val="BodyText"/>
      </w:pPr>
    </w:p>
    <w:p w:rsidR="00000000" w:rsidRPr="009342A3" w:rsidP="009342A3">
      <w:pPr>
        <w:pStyle w:val="Heading1"/>
      </w:pPr>
      <w:bookmarkStart w:id="10" w:name="O_518947"/>
      <w:bookmarkEnd w:id="10"/>
      <w:r w:rsidRPr="009342A3">
        <w:t>Evidence Guide</w:t>
      </w:r>
    </w:p>
    <w:tbl>
      <w:tblPr>
        <w:tblW w:w="9462" w:type="dxa"/>
        <w:tblLayout w:type="fixed"/>
        <w:tblCellMar>
          <w:left w:w="62" w:type="dxa"/>
          <w:right w:w="62" w:type="dxa"/>
        </w:tblCellMar>
        <w:tblLook w:val="0000"/>
      </w:tblPr>
      <w:tblGrid>
        <w:gridCol w:w="3800"/>
        <w:gridCol w:w="5662"/>
      </w:tblGrid>
      <w:tr w:rsidTr="009342A3">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9342A3">
            <w:pPr>
              <w:pStyle w:val="BodyText"/>
              <w:rPr>
                <w:lang w:val="en-NZ"/>
              </w:rPr>
            </w:pPr>
            <w:r w:rsidRPr="009342A3">
              <w:t>The evidence guide provides advice on assessment and must be read in conjunction with the performance criteria, required skills and knowledge, range statement and the Assessment Guidelines for the Training Package.</w:t>
            </w:r>
          </w:p>
        </w:tc>
      </w:tr>
      <w:tr w:rsidTr="009342A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42A3">
            <w:pPr>
              <w:pStyle w:val="BodyText"/>
              <w:rPr>
                <w:lang w:val="en-NZ"/>
              </w:rPr>
            </w:pPr>
            <w:r w:rsidRPr="009342A3">
              <w:rPr>
                <w:rStyle w:val="SpecialBold"/>
              </w:rPr>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42A3">
            <w:pPr>
              <w:pStyle w:val="BodyText"/>
              <w:rPr>
                <w:lang w:val="en-NZ"/>
              </w:rPr>
            </w:pPr>
            <w:r w:rsidRPr="009342A3">
              <w:t>A person who demonstrates competency in this unit must be able to undertake investigation of an engineering task to determine the mechatronic fundamentals required by the task and integrating them into a task plan and report the plan and any investigations</w:t>
            </w:r>
            <w:r w:rsidRPr="009342A3">
              <w:t xml:space="preserve"> undertaken.</w:t>
            </w:r>
          </w:p>
        </w:tc>
      </w:tr>
      <w:tr w:rsidTr="009342A3">
        <w:tblPrEx>
          <w:tblW w:w="9462" w:type="dxa"/>
          <w:tblLayout w:type="fixed"/>
          <w:tblCellMar>
            <w:left w:w="62" w:type="dxa"/>
            <w:right w:w="62" w:type="dxa"/>
          </w:tblCellMar>
          <w:tblLook w:val="0000"/>
        </w:tblPrEx>
        <w:trPr>
          <w:trHeight w:val="2867"/>
        </w:trPr>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42A3">
            <w:pPr>
              <w:pStyle w:val="BodyText"/>
              <w:rPr>
                <w:lang w:val="en-NZ"/>
              </w:rPr>
            </w:pPr>
            <w:r w:rsidRPr="009342A3">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42A3" w:rsidP="009342A3">
            <w:pPr>
              <w:pStyle w:val="BodyText"/>
            </w:pPr>
            <w:r w:rsidRPr="009342A3">
              <w:t>Assessors must be satisfied that the candidate can competently and consistently:</w:t>
            </w:r>
          </w:p>
          <w:p w:rsidR="00000000" w:rsidRPr="009342A3" w:rsidP="009342A3">
            <w:pPr>
              <w:pStyle w:val="ListBullet"/>
            </w:pPr>
            <w:r w:rsidRPr="009342A3">
              <w:t xml:space="preserve">determine task parameters and context and identify and investigate </w:t>
            </w:r>
            <w:r w:rsidRPr="009342A3">
              <w:t>required mechatronic fundamentals</w:t>
            </w:r>
          </w:p>
          <w:p w:rsidR="00000000" w:rsidRPr="009342A3" w:rsidP="009342A3">
            <w:pPr>
              <w:pStyle w:val="ListBullet"/>
            </w:pPr>
            <w:r w:rsidRPr="009342A3">
              <w:t>evaluate task requirements, principles, techniques, typical applications and software</w:t>
            </w:r>
          </w:p>
          <w:p w:rsidR="00000000" w:rsidRPr="009342A3" w:rsidP="009342A3">
            <w:pPr>
              <w:pStyle w:val="ListBullet"/>
            </w:pPr>
            <w:r w:rsidRPr="009342A3">
              <w:t>plan the task</w:t>
            </w:r>
          </w:p>
          <w:p w:rsidR="00000000" w:rsidRPr="009342A3" w:rsidP="009342A3">
            <w:pPr>
              <w:pStyle w:val="ListBullet"/>
            </w:pPr>
            <w:r w:rsidRPr="009342A3">
              <w:t>integrate mechatronic fundamentals to achieve task objectives</w:t>
            </w:r>
          </w:p>
          <w:p w:rsidR="00000000" w:rsidRPr="009342A3" w:rsidP="009342A3">
            <w:pPr>
              <w:pStyle w:val="ListBullet"/>
            </w:pPr>
            <w:r w:rsidRPr="009342A3">
              <w:t>communicate, cooperate and negotiate with stakeholders to achieve integration task</w:t>
            </w:r>
          </w:p>
          <w:p w:rsidR="00000000" w:rsidP="009342A3">
            <w:pPr>
              <w:pStyle w:val="ListBullet"/>
              <w:rPr>
                <w:lang w:val="en-NZ"/>
              </w:rPr>
            </w:pPr>
            <w:r w:rsidRPr="009342A3">
              <w:t>report and document results.</w:t>
            </w:r>
          </w:p>
        </w:tc>
      </w:tr>
      <w:tr w:rsidTr="009342A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42A3">
            <w:pPr>
              <w:pStyle w:val="BodyText"/>
              <w:rPr>
                <w:lang w:val="en-NZ"/>
              </w:rPr>
            </w:pPr>
            <w:r w:rsidRPr="009342A3">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42A3" w:rsidP="009342A3">
            <w:pPr>
              <w:pStyle w:val="ListBullet"/>
            </w:pPr>
            <w:r w:rsidRPr="009342A3">
              <w:t>This unit may be assessed on the job, off the job or a combination of both on and off the job</w:t>
            </w:r>
            <w:r w:rsidRPr="009342A3">
              <w:t>. Where assessment occurs off the job, then a simulated working environment must be used where the range of conditions reflects realistic workplace situations. The competencies covered by this unit would be demonstrated by an individual working alone or as</w:t>
            </w:r>
            <w:r w:rsidRPr="009342A3">
              <w:t xml:space="preserve"> part of a team. </w:t>
            </w:r>
          </w:p>
          <w:p w:rsidR="00000000" w:rsidRPr="009342A3" w:rsidP="009342A3">
            <w:pPr>
              <w:pStyle w:val="ListBullet"/>
            </w:pPr>
            <w:r w:rsidRPr="009342A3">
              <w:t>Where applicable, reasonable adjustment must be made to work environments and training situations to accommodate ethnicity, age, gender, demographics and disability.</w:t>
            </w:r>
          </w:p>
          <w:p w:rsidR="00000000" w:rsidP="009342A3">
            <w:pPr>
              <w:pStyle w:val="ListBullet"/>
              <w:rPr>
                <w:lang w:val="en-NZ"/>
              </w:rPr>
            </w:pPr>
            <w:r w:rsidRPr="009342A3">
              <w:t>Access must be provided to appropriate learning and/or assessment suppor</w:t>
            </w:r>
            <w:r w:rsidRPr="009342A3">
              <w:t>t when required. Where applicable, physical resources should include equipment modified for people with disabilities.</w:t>
            </w:r>
          </w:p>
        </w:tc>
      </w:tr>
      <w:tr w:rsidTr="009342A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42A3">
            <w:pPr>
              <w:pStyle w:val="BodyText"/>
              <w:rPr>
                <w:lang w:val="en-NZ"/>
              </w:rPr>
            </w:pPr>
            <w:r w:rsidRPr="009342A3">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42A3" w:rsidP="009342A3">
            <w:pPr>
              <w:pStyle w:val="ListBullet"/>
            </w:pPr>
            <w:r w:rsidRPr="009342A3">
              <w:t>Assessment must satisfy the endorsed Assessment Guidelines of the MEM05 Metal and Engineering Training Package.</w:t>
            </w:r>
          </w:p>
          <w:p w:rsidR="00000000" w:rsidRPr="009342A3" w:rsidP="009342A3">
            <w:pPr>
              <w:pStyle w:val="ListBullet"/>
            </w:pPr>
            <w:r w:rsidRPr="009342A3">
              <w:t>Assessment must cover the integration of two or more mechatronic fundamentals to achieve the engineering task.</w:t>
            </w:r>
          </w:p>
          <w:p w:rsidR="00000000" w:rsidRPr="009342A3" w:rsidP="009342A3">
            <w:pPr>
              <w:pStyle w:val="ListBullet"/>
            </w:pPr>
            <w:r w:rsidRPr="009342A3">
              <w:t>Assessment methods must confirm consistency and accuracy of performance (over time and in a range of workplace relevant contexts) together with a</w:t>
            </w:r>
            <w:r w:rsidRPr="009342A3">
              <w:t>pplication of underpinning knowledge.</w:t>
            </w:r>
          </w:p>
          <w:p w:rsidR="00000000" w:rsidRPr="009342A3" w:rsidP="009342A3">
            <w:pPr>
              <w:pStyle w:val="ListBullet"/>
            </w:pPr>
            <w:r w:rsidRPr="009342A3">
              <w:t xml:space="preserve">Assessment methods must be by direct observation of tasks and include questioning on underpinning knowledge to ensure correct interpretation and </w:t>
            </w:r>
            <w:r w:rsidRPr="009342A3">
              <w:t>application.</w:t>
            </w:r>
          </w:p>
          <w:p w:rsidR="00000000" w:rsidRPr="009342A3" w:rsidP="009342A3">
            <w:pPr>
              <w:pStyle w:val="ListBullet"/>
            </w:pPr>
            <w:r w:rsidRPr="009342A3">
              <w:t>Assessment may be applied under project-related conditions (</w:t>
            </w:r>
            <w:r w:rsidRPr="009342A3">
              <w:t>real or simulated) and require evidence of process.</w:t>
            </w:r>
          </w:p>
          <w:p w:rsidR="00000000" w:rsidRPr="009342A3" w:rsidP="009342A3">
            <w:pPr>
              <w:pStyle w:val="ListBullet"/>
            </w:pPr>
            <w:r w:rsidRPr="009342A3">
              <w:t>Assessment must confirm a reasonable inference that competency is not only able to be satisfied under the particular circumstance, but is able to be transferred to other circumstances.</w:t>
            </w:r>
          </w:p>
          <w:p w:rsidR="00000000" w:rsidP="009342A3">
            <w:pPr>
              <w:pStyle w:val="ListBullet"/>
              <w:rPr>
                <w:lang w:val="en-NZ"/>
              </w:rPr>
            </w:pPr>
            <w:r w:rsidRPr="009342A3">
              <w:t>Assessment may be i</w:t>
            </w:r>
            <w:r w:rsidRPr="009342A3">
              <w:t>n conjunction with assessment of other units of competency where required.</w:t>
            </w:r>
          </w:p>
        </w:tc>
      </w:tr>
      <w:tr w:rsidTr="009342A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42A3">
            <w:pPr>
              <w:pStyle w:val="BodyText"/>
              <w:rPr>
                <w:lang w:val="en-NZ"/>
              </w:rPr>
            </w:pPr>
            <w:r w:rsidRPr="009342A3">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42A3" w:rsidP="009342A3">
            <w:pPr>
              <w:pStyle w:val="BodyText"/>
            </w:pPr>
            <w:r w:rsidRPr="009342A3">
              <w:t>Assessment processes and techniques must be culturally appropriate and appropriate to the language and literacy capacity of the candidate and th</w:t>
            </w:r>
            <w:r w:rsidRPr="009342A3">
              <w:t>e work being performed.</w:t>
            </w:r>
          </w:p>
        </w:tc>
      </w:tr>
    </w:tbl>
    <w:p w:rsidR="0095185A" w:rsidP="009342A3">
      <w:pPr>
        <w:pStyle w:val="BodyText"/>
      </w:pPr>
    </w:p>
    <w:p w:rsidR="0095185A" w:rsidP="009342A3">
      <w:pPr>
        <w:pStyle w:val="BodyText"/>
      </w:pPr>
    </w:p>
    <w:p w:rsidR="00000000" w:rsidRPr="009342A3" w:rsidP="009342A3">
      <w:pPr>
        <w:pStyle w:val="Heading1"/>
      </w:pPr>
      <w:bookmarkStart w:id="11" w:name="O_518946"/>
      <w:bookmarkEnd w:id="11"/>
      <w:r w:rsidRPr="009342A3">
        <w:t>Range Statement</w:t>
      </w:r>
    </w:p>
    <w:tbl>
      <w:tblPr>
        <w:tblW w:w="9462" w:type="dxa"/>
        <w:tblLayout w:type="fixed"/>
        <w:tblCellMar>
          <w:left w:w="62" w:type="dxa"/>
          <w:right w:w="62" w:type="dxa"/>
        </w:tblCellMar>
        <w:tblLook w:val="0000"/>
      </w:tblPr>
      <w:tblGrid>
        <w:gridCol w:w="2835"/>
        <w:gridCol w:w="6627"/>
      </w:tblGrid>
      <w:tr w:rsidTr="009342A3">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9342A3">
            <w:pPr>
              <w:pStyle w:val="BodyText"/>
              <w:rPr>
                <w:lang w:val="en-NZ"/>
              </w:rPr>
            </w:pPr>
            <w:r w:rsidRPr="009342A3">
              <w:t xml:space="preserve">The range statement relates to the unit of competency as a whole. It allows for different work environments and situations that may affect </w:t>
            </w:r>
            <w:r w:rsidRPr="009342A3">
              <w:t>performance. Bold italicised wording, if used in the performance criteria, is detailed below. Essential operating conditions that may be present with training and assessment (depending on the work situation, needs of the candidate, accessibility of the ite</w:t>
            </w:r>
            <w:r w:rsidRPr="009342A3">
              <w:t>m, and local industry and regional contexts) may also be included.</w:t>
            </w:r>
          </w:p>
        </w:tc>
      </w:tr>
      <w:tr w:rsidTr="009342A3">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42A3">
            <w:pPr>
              <w:pStyle w:val="BodyText"/>
              <w:rPr>
                <w:lang w:val="en-NZ"/>
              </w:rPr>
            </w:pPr>
            <w:r w:rsidRPr="009342A3">
              <w:rPr>
                <w:rStyle w:val="SpecialBold"/>
              </w:rPr>
              <w:t>Appropriate licensed technical and professional assistance</w:t>
            </w: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42A3" w:rsidP="009342A3">
            <w:pPr>
              <w:pStyle w:val="BodyText"/>
            </w:pPr>
            <w:r w:rsidRPr="009342A3">
              <w:t>Appropriate licensed technical and professional assistance may include:</w:t>
            </w:r>
          </w:p>
          <w:p w:rsidR="00000000" w:rsidRPr="009342A3" w:rsidP="009342A3">
            <w:pPr>
              <w:pStyle w:val="ListBullet"/>
            </w:pPr>
            <w:r w:rsidRPr="009342A3">
              <w:t>technical support and advice relating to elements which</w:t>
            </w:r>
            <w:r w:rsidRPr="009342A3">
              <w:t xml:space="preserve"> have intrinsic dangers, such as:</w:t>
            </w:r>
          </w:p>
          <w:p w:rsidR="00000000" w:rsidRPr="009342A3" w:rsidP="009342A3">
            <w:pPr>
              <w:pStyle w:val="ListBullet2"/>
            </w:pPr>
            <w:r w:rsidRPr="009342A3">
              <w:t>high pressure</w:t>
            </w:r>
          </w:p>
          <w:p w:rsidR="00000000" w:rsidRPr="009342A3" w:rsidP="009342A3">
            <w:pPr>
              <w:pStyle w:val="ListBullet2"/>
            </w:pPr>
            <w:r w:rsidRPr="009342A3">
              <w:t>energised fluid vessels</w:t>
            </w:r>
          </w:p>
          <w:p w:rsidR="00000000" w:rsidRPr="009342A3" w:rsidP="009342A3">
            <w:pPr>
              <w:pStyle w:val="ListBullet2"/>
            </w:pPr>
            <w:r w:rsidRPr="009342A3">
              <w:t>high temperatures and heat energy capacity</w:t>
            </w:r>
          </w:p>
          <w:p w:rsidR="00000000" w:rsidRPr="009342A3" w:rsidP="009342A3">
            <w:pPr>
              <w:pStyle w:val="ListBullet2"/>
            </w:pPr>
            <w:r w:rsidRPr="009342A3">
              <w:t>wiring with high current control voltages above extra low voltage</w:t>
            </w:r>
          </w:p>
          <w:p w:rsidR="00000000" w:rsidRPr="009342A3" w:rsidP="009342A3">
            <w:pPr>
              <w:pStyle w:val="ListBullet"/>
            </w:pPr>
            <w:r w:rsidRPr="009342A3">
              <w:t>professional support for technologies may include:</w:t>
            </w:r>
          </w:p>
          <w:p w:rsidR="00000000" w:rsidRPr="009342A3" w:rsidP="009342A3">
            <w:pPr>
              <w:pStyle w:val="ListBullet2"/>
            </w:pPr>
            <w:r w:rsidRPr="009342A3">
              <w:t>specialist electric motor drives and controllers</w:t>
            </w:r>
          </w:p>
          <w:p w:rsidR="00000000" w:rsidRPr="009342A3" w:rsidP="009342A3">
            <w:pPr>
              <w:pStyle w:val="ListBullet2"/>
            </w:pPr>
            <w:r w:rsidRPr="009342A3">
              <w:t>specialist materials, plastics, metal alloys and nano materials</w:t>
            </w:r>
          </w:p>
          <w:p w:rsidR="00000000" w:rsidP="009342A3">
            <w:pPr>
              <w:pStyle w:val="ListBullet2"/>
              <w:rPr>
                <w:lang w:val="en-NZ"/>
              </w:rPr>
            </w:pPr>
            <w:r w:rsidRPr="009342A3">
              <w:t>special processes, foundry, alloy welding, heat treatment, sealing and fastening</w:t>
            </w:r>
          </w:p>
        </w:tc>
      </w:tr>
      <w:tr w:rsidTr="009342A3">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42A3" w:rsidP="009342A3">
            <w:pPr>
              <w:pStyle w:val="BodyText"/>
            </w:pPr>
            <w:r w:rsidRPr="009342A3">
              <w:rPr>
                <w:rStyle w:val="SpecialBold"/>
              </w:rPr>
              <w:t>WHS, regulatory requirements and enterprise procedures</w:t>
            </w:r>
          </w:p>
          <w:p w:rsidR="00000000">
            <w:pPr>
              <w:pStyle w:val="BodyText"/>
              <w:keepNext w:val="0"/>
              <w:keepLines w:val="0"/>
              <w:contextualSpacing w:val="0"/>
              <w:rPr>
                <w:rFonts w:ascii="Tahoma" w:hAnsi="Tahoma"/>
                <w:color w:val="000000"/>
                <w:sz w:val="20"/>
                <w:lang w:val="en-NZ"/>
              </w:rPr>
            </w:pP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42A3" w:rsidP="009342A3">
            <w:pPr>
              <w:pStyle w:val="BodyText"/>
            </w:pPr>
            <w:r w:rsidRPr="009342A3">
              <w:t>WHS, regulatory requirements and enterprise procedures may include:</w:t>
            </w:r>
          </w:p>
          <w:p w:rsidR="00000000" w:rsidRPr="009342A3" w:rsidP="009342A3">
            <w:pPr>
              <w:pStyle w:val="ListBullet"/>
            </w:pPr>
            <w:r w:rsidRPr="009342A3">
              <w:t>WHS Acts and regulations</w:t>
            </w:r>
          </w:p>
          <w:p w:rsidR="00000000" w:rsidRPr="009342A3" w:rsidP="009342A3">
            <w:pPr>
              <w:pStyle w:val="ListBullet"/>
            </w:pPr>
            <w:r w:rsidRPr="009342A3">
              <w:t>relevant standards</w:t>
            </w:r>
          </w:p>
          <w:p w:rsidR="00000000" w:rsidRPr="009342A3" w:rsidP="009342A3">
            <w:pPr>
              <w:pStyle w:val="ListBullet"/>
            </w:pPr>
            <w:r w:rsidRPr="009342A3">
              <w:t>codes of practice from Australian and overseas engineering and technical associations and societies</w:t>
            </w:r>
          </w:p>
          <w:p w:rsidR="00000000" w:rsidRPr="009342A3" w:rsidP="009342A3">
            <w:pPr>
              <w:pStyle w:val="ListBullet"/>
            </w:pPr>
            <w:r w:rsidRPr="009342A3">
              <w:t>risk assessments</w:t>
            </w:r>
          </w:p>
          <w:p w:rsidR="00000000" w:rsidRPr="009342A3" w:rsidP="009342A3">
            <w:pPr>
              <w:pStyle w:val="ListBullet"/>
            </w:pPr>
            <w:r w:rsidRPr="009342A3">
              <w:t xml:space="preserve">registration requirements </w:t>
            </w:r>
          </w:p>
          <w:p w:rsidR="00000000" w:rsidRPr="009342A3" w:rsidP="009342A3">
            <w:pPr>
              <w:pStyle w:val="ListBullet"/>
            </w:pPr>
            <w:r w:rsidRPr="009342A3">
              <w:t>safe work practices</w:t>
            </w:r>
          </w:p>
          <w:p w:rsidR="00000000" w:rsidP="009342A3">
            <w:pPr>
              <w:pStyle w:val="ListBullet"/>
              <w:rPr>
                <w:lang w:val="en-NZ"/>
              </w:rPr>
            </w:pPr>
            <w:r w:rsidRPr="009342A3">
              <w:t>state and territory regulatory requirements applying to electrical work</w:t>
            </w:r>
          </w:p>
        </w:tc>
      </w:tr>
      <w:tr w:rsidTr="009342A3">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42A3" w:rsidP="009342A3">
            <w:pPr>
              <w:pStyle w:val="BodyText"/>
            </w:pPr>
            <w:r w:rsidRPr="009342A3">
              <w:rPr>
                <w:rStyle w:val="SpecialBold"/>
              </w:rPr>
              <w:t>Systems thinking</w:t>
            </w:r>
          </w:p>
          <w:p w:rsidR="00000000">
            <w:pPr>
              <w:pStyle w:val="BodyText"/>
              <w:keepNext w:val="0"/>
              <w:keepLines w:val="0"/>
              <w:contextualSpacing w:val="0"/>
              <w:rPr>
                <w:rFonts w:ascii="Tahoma" w:hAnsi="Tahoma"/>
                <w:color w:val="000000"/>
                <w:sz w:val="20"/>
                <w:lang w:val="en-NZ"/>
              </w:rPr>
            </w:pP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42A3">
            <w:pPr>
              <w:pStyle w:val="BodyText"/>
              <w:rPr>
                <w:lang w:val="en-NZ"/>
              </w:rPr>
            </w:pPr>
            <w:r w:rsidRPr="009342A3">
              <w:t>Systems thinking refers to the conduct of engineering work in a manner that demonstrates knowledge of how the interaction of different technical</w:t>
            </w:r>
            <w:r w:rsidRPr="009342A3">
              <w:t xml:space="preserve"> systems on equipment, machinery or structures, as well as the skills and techniques of personnel, combine to perform or support engineering-related operations, processes or projects. It embraces determining or establishing how the function of each technic</w:t>
            </w:r>
            <w:r w:rsidRPr="009342A3">
              <w:t>al system or component, as well as the skills and techniques of personnel, effects or potentially may effect, outcomes. Systems should be interpreted broadly within the context of the organisation and depending on the project or operation can include equip</w:t>
            </w:r>
            <w:r w:rsidRPr="009342A3">
              <w:t>ment, related facilities, material, software, internal services and personnel, and other organisations in the value chain</w:t>
            </w:r>
          </w:p>
        </w:tc>
      </w:tr>
      <w:tr w:rsidTr="009342A3">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42A3">
            <w:pPr>
              <w:pStyle w:val="BodyText"/>
              <w:rPr>
                <w:lang w:val="en-NZ"/>
              </w:rPr>
            </w:pPr>
            <w:r w:rsidRPr="009342A3">
              <w:rPr>
                <w:rStyle w:val="SpecialBold"/>
              </w:rPr>
              <w:t xml:space="preserve">Continuous improvement implementation </w:t>
            </w: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42A3" w:rsidP="009342A3">
            <w:pPr>
              <w:pStyle w:val="BodyText"/>
            </w:pPr>
            <w:r w:rsidRPr="009342A3">
              <w:t>Continuous improvement implementation may relate to plant, products, processes, systems or services, including design, development, implementation or manufacture, commissioning, operation or delivery and maintenance.</w:t>
            </w:r>
          </w:p>
          <w:p w:rsidR="00000000" w:rsidRPr="009342A3" w:rsidP="009342A3">
            <w:pPr>
              <w:pStyle w:val="BodyText"/>
            </w:pPr>
            <w:r w:rsidRPr="009342A3">
              <w:t>Improvement processes may include techn</w:t>
            </w:r>
            <w:r w:rsidRPr="009342A3">
              <w:t>iques, such as:</w:t>
            </w:r>
          </w:p>
          <w:p w:rsidR="00000000" w:rsidRPr="009342A3" w:rsidP="009342A3">
            <w:pPr>
              <w:pStyle w:val="ListBullet"/>
            </w:pPr>
            <w:r w:rsidRPr="009342A3">
              <w:t xml:space="preserve">balanced scorecard </w:t>
            </w:r>
          </w:p>
          <w:p w:rsidR="00000000" w:rsidRPr="009342A3" w:rsidP="009342A3">
            <w:pPr>
              <w:pStyle w:val="ListBullet"/>
            </w:pPr>
            <w:r w:rsidRPr="009342A3">
              <w:t>current and future state mapping</w:t>
            </w:r>
          </w:p>
          <w:p w:rsidR="00000000" w:rsidRPr="009342A3" w:rsidP="009342A3">
            <w:pPr>
              <w:pStyle w:val="ListBullet"/>
            </w:pPr>
            <w:r w:rsidRPr="009342A3">
              <w:t xml:space="preserve">measuring performance against benchmarks </w:t>
            </w:r>
          </w:p>
          <w:p w:rsidR="00000000" w:rsidRPr="009342A3" w:rsidP="009342A3">
            <w:pPr>
              <w:pStyle w:val="ListBullet"/>
            </w:pPr>
            <w:r w:rsidRPr="009342A3">
              <w:t>process improvement, problem solving and decision making</w:t>
            </w:r>
          </w:p>
          <w:p w:rsidR="00000000" w:rsidRPr="009342A3" w:rsidP="009342A3">
            <w:pPr>
              <w:pStyle w:val="ListBullet"/>
            </w:pPr>
            <w:r w:rsidRPr="009342A3">
              <w:t>data management, generation, recording, analysing, storing and use of software</w:t>
            </w:r>
          </w:p>
          <w:p w:rsidR="00000000" w:rsidRPr="009342A3" w:rsidP="009342A3">
            <w:pPr>
              <w:pStyle w:val="ListBullet"/>
            </w:pPr>
            <w:r w:rsidRPr="009342A3">
              <w:t>training</w:t>
            </w:r>
            <w:r w:rsidRPr="009342A3">
              <w:t xml:space="preserve"> for improvement systems participation</w:t>
            </w:r>
          </w:p>
          <w:p w:rsidR="00000000" w:rsidP="009342A3">
            <w:pPr>
              <w:pStyle w:val="ListBullet"/>
              <w:rPr>
                <w:lang w:val="en-NZ"/>
              </w:rPr>
            </w:pPr>
            <w:r w:rsidRPr="009342A3">
              <w:t>technical training</w:t>
            </w:r>
          </w:p>
        </w:tc>
      </w:tr>
      <w:tr w:rsidTr="009342A3">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42A3">
            <w:pPr>
              <w:pStyle w:val="BodyText"/>
              <w:rPr>
                <w:lang w:val="en-NZ"/>
              </w:rPr>
            </w:pPr>
            <w:r w:rsidRPr="009342A3">
              <w:rPr>
                <w:rStyle w:val="SpecialBold"/>
              </w:rPr>
              <w:t>Constraints and contingencies</w:t>
            </w: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42A3" w:rsidP="009342A3">
            <w:pPr>
              <w:pStyle w:val="BodyText"/>
            </w:pPr>
            <w:r w:rsidRPr="009342A3">
              <w:t>Constraints and contingencies may include:</w:t>
            </w:r>
          </w:p>
          <w:p w:rsidR="00000000" w:rsidRPr="009342A3" w:rsidP="009342A3">
            <w:pPr>
              <w:pStyle w:val="ListBullet"/>
            </w:pPr>
            <w:r w:rsidRPr="009342A3">
              <w:t>financial</w:t>
            </w:r>
          </w:p>
          <w:p w:rsidR="00000000" w:rsidRPr="009342A3" w:rsidP="009342A3">
            <w:pPr>
              <w:pStyle w:val="ListBullet"/>
            </w:pPr>
            <w:r w:rsidRPr="009342A3">
              <w:t>organisation procedural or culture</w:t>
            </w:r>
          </w:p>
          <w:p w:rsidR="00000000" w:rsidP="009342A3">
            <w:pPr>
              <w:pStyle w:val="ListBullet"/>
              <w:rPr>
                <w:lang w:val="en-NZ"/>
              </w:rPr>
            </w:pPr>
            <w:r w:rsidRPr="009342A3">
              <w:t>physical constraints, such as limits to resources, limits to site access or logistical limitations</w:t>
            </w:r>
          </w:p>
        </w:tc>
      </w:tr>
      <w:tr w:rsidTr="009342A3">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42A3">
            <w:pPr>
              <w:pStyle w:val="BodyText"/>
              <w:rPr>
                <w:lang w:val="en-NZ"/>
              </w:rPr>
            </w:pPr>
            <w:r w:rsidRPr="009342A3">
              <w:rPr>
                <w:rStyle w:val="SpecialBold"/>
              </w:rPr>
              <w:t>Standards and codes</w:t>
            </w: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42A3">
            <w:pPr>
              <w:pStyle w:val="BodyText"/>
              <w:rPr>
                <w:lang w:val="en-NZ"/>
              </w:rPr>
            </w:pPr>
            <w:r w:rsidRPr="009342A3">
              <w:t>Standards and codes refer to all relevant Australian and international standards and codes applicable to a particular engineering integr</w:t>
            </w:r>
            <w:r w:rsidRPr="009342A3">
              <w:t>ation task</w:t>
            </w:r>
          </w:p>
        </w:tc>
      </w:tr>
      <w:tr w:rsidTr="009342A3">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42A3">
            <w:pPr>
              <w:pStyle w:val="BodyText"/>
              <w:rPr>
                <w:lang w:val="en-NZ"/>
              </w:rPr>
            </w:pPr>
            <w:r w:rsidRPr="009342A3">
              <w:rPr>
                <w:rStyle w:val="SpecialBold"/>
              </w:rPr>
              <w:t>Sustainability</w:t>
            </w: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42A3" w:rsidP="009342A3">
            <w:pPr>
              <w:pStyle w:val="BodyText"/>
            </w:pPr>
            <w:r w:rsidRPr="009342A3">
              <w:t>Sustainability is used to mean the entire sustainable performance of the organisation/plant, including:</w:t>
            </w:r>
          </w:p>
          <w:p w:rsidR="00000000" w:rsidRPr="009342A3" w:rsidP="009342A3">
            <w:pPr>
              <w:pStyle w:val="ListBullet"/>
            </w:pPr>
            <w:r w:rsidRPr="009342A3">
              <w:t>meeting all regulatory requirements</w:t>
            </w:r>
          </w:p>
          <w:p w:rsidR="00000000" w:rsidRPr="009342A3" w:rsidP="009342A3">
            <w:pPr>
              <w:pStyle w:val="ListBullet"/>
            </w:pPr>
            <w:r w:rsidRPr="009342A3">
              <w:t>conforming to all industry covenants, protocols and best practice guides</w:t>
            </w:r>
          </w:p>
          <w:p w:rsidR="00000000" w:rsidRPr="009342A3" w:rsidP="009342A3">
            <w:pPr>
              <w:pStyle w:val="ListBullet"/>
            </w:pPr>
            <w:r w:rsidRPr="009342A3">
              <w:t>minimising ecol</w:t>
            </w:r>
            <w:r w:rsidRPr="009342A3">
              <w:t>ogical and environmental footprint of process, plant and product</w:t>
            </w:r>
          </w:p>
          <w:p w:rsidR="00000000" w:rsidRPr="009342A3" w:rsidP="009342A3">
            <w:pPr>
              <w:pStyle w:val="ListBullet"/>
            </w:pPr>
            <w:r w:rsidRPr="009342A3">
              <w:t xml:space="preserve">maximising economic benefit of process plant and product to the organisation and the community </w:t>
            </w:r>
          </w:p>
          <w:p w:rsidR="00000000" w:rsidRPr="009342A3" w:rsidP="009342A3">
            <w:pPr>
              <w:pStyle w:val="ListBullet"/>
            </w:pPr>
            <w:r w:rsidRPr="009342A3">
              <w:t>minimising the negative WHS impact on employees, community and customer</w:t>
            </w:r>
          </w:p>
        </w:tc>
      </w:tr>
    </w:tbl>
    <w:p w:rsidR="0095185A" w:rsidP="009342A3">
      <w:pPr>
        <w:pStyle w:val="BodyText"/>
      </w:pPr>
    </w:p>
    <w:p w:rsidR="0095185A" w:rsidP="009342A3">
      <w:pPr>
        <w:pStyle w:val="BodyText"/>
      </w:pPr>
    </w:p>
    <w:p w:rsidR="00000000" w:rsidRPr="009342A3" w:rsidP="009342A3">
      <w:pPr>
        <w:pStyle w:val="Heading1"/>
      </w:pPr>
      <w:bookmarkStart w:id="12" w:name="O_518945"/>
      <w:bookmarkEnd w:id="12"/>
      <w:r w:rsidRPr="009342A3">
        <w:t>Unit Sector(s)</w:t>
      </w:r>
    </w:p>
    <w:tbl>
      <w:tblPr>
        <w:tblW w:w="0" w:type="auto"/>
        <w:tblCellMar>
          <w:left w:w="62" w:type="dxa"/>
          <w:right w:w="62" w:type="dxa"/>
        </w:tblCellMar>
        <w:tblLook w:val="0000"/>
      </w:tblPr>
      <w:tblGrid>
        <w:gridCol w:w="2576"/>
        <w:gridCol w:w="6620"/>
      </w:tblGrid>
      <w:tr w:rsidTr="009518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342A3">
            <w:pPr>
              <w:pStyle w:val="BodyText"/>
              <w:rPr>
                <w:lang w:val="en-NZ"/>
              </w:rPr>
            </w:pPr>
            <w:r w:rsidRPr="009342A3">
              <w:rPr>
                <w:rStyle w:val="SpecialBold"/>
              </w:rPr>
              <w:t>Competency field</w:t>
            </w:r>
          </w:p>
        </w:tc>
        <w:tc>
          <w:tcPr>
            <w:tcW w:w="0" w:type="auto"/>
            <w:tcBorders>
              <w:top w:val="nil"/>
              <w:left w:val="nil"/>
              <w:bottom w:val="nil"/>
              <w:right w:val="nil"/>
            </w:tcBorders>
            <w:tcMar>
              <w:top w:w="0" w:type="dxa"/>
              <w:left w:w="62" w:type="dxa"/>
              <w:bottom w:w="0" w:type="dxa"/>
              <w:right w:w="62" w:type="dxa"/>
            </w:tcMar>
          </w:tcPr>
          <w:p w:rsidR="00000000" w:rsidP="009342A3">
            <w:pPr>
              <w:pStyle w:val="BodyText"/>
              <w:rPr>
                <w:lang w:val="en-NZ"/>
              </w:rPr>
            </w:pPr>
          </w:p>
        </w:tc>
      </w:tr>
      <w:tr w:rsidTr="009518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342A3">
            <w:pPr>
              <w:pStyle w:val="BodyText"/>
              <w:rPr>
                <w:lang w:val="en-NZ"/>
              </w:rPr>
            </w:pPr>
            <w:r w:rsidRPr="009342A3">
              <w:rPr>
                <w:rStyle w:val="SpecialBold"/>
              </w:rPr>
              <w:t>Unit sector</w:t>
            </w:r>
          </w:p>
        </w:tc>
        <w:tc>
          <w:tcPr>
            <w:tcW w:w="0" w:type="auto"/>
            <w:tcBorders>
              <w:top w:val="nil"/>
              <w:left w:val="nil"/>
              <w:bottom w:val="nil"/>
              <w:right w:val="nil"/>
            </w:tcBorders>
            <w:tcMar>
              <w:top w:w="0" w:type="dxa"/>
              <w:left w:w="62" w:type="dxa"/>
              <w:bottom w:w="0" w:type="dxa"/>
              <w:right w:w="62" w:type="dxa"/>
            </w:tcMar>
          </w:tcPr>
          <w:p w:rsidR="00000000" w:rsidRPr="009342A3" w:rsidP="009342A3">
            <w:pPr>
              <w:pStyle w:val="BodyText"/>
            </w:pPr>
            <w:r w:rsidRPr="009342A3">
              <w:t>Planning</w:t>
            </w:r>
          </w:p>
        </w:tc>
      </w:tr>
    </w:tbl>
    <w:p w:rsidR="00000000" w:rsidRPr="009342A3" w:rsidP="009342A3">
      <w:pPr>
        <w:pStyle w:val="BodyText"/>
      </w:pPr>
    </w:p>
    <w:p w:rsidR="00000000" w:rsidRPr="009342A3" w:rsidP="009342A3">
      <w:pPr>
        <w:pStyle w:val="AllowPageBreak"/>
      </w:pPr>
    </w:p>
    <w:p w:rsidR="00000000" w:rsidRPr="009342A3" w:rsidP="009342A3">
      <w:pPr>
        <w:pStyle w:val="Heading1"/>
      </w:pPr>
      <w:bookmarkStart w:id="13" w:name="O_518944"/>
      <w:bookmarkEnd w:id="13"/>
      <w:r w:rsidRPr="009342A3">
        <w:t>Custom Content Section</w:t>
      </w:r>
    </w:p>
    <w:p w:rsidR="00000000" w:rsidRPr="009342A3" w:rsidP="009342A3">
      <w:pPr>
        <w:pStyle w:val="BodyText"/>
      </w:pPr>
      <w:r w:rsidRPr="009342A3">
        <w:t>Not applicable.</w:t>
      </w:r>
    </w:p>
    <w:p w:rsidR="00000000" w:rsidRPr="009342A3" w:rsidP="009342A3"/>
    <w:sectPr w:rsidSect="009342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2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2A3" w:rsidRPr="0095185A" w:rsidP="009518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2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85A" w:rsidP="009342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5185A" w:rsidP="009342A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5185A" w:rsidP="009342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2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2A3" w:rsidRPr="0095185A" w:rsidP="0095185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2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85A" w:rsidRPr="002D2AF8" w:rsidP="009342A3">
    <w:pPr>
      <w:pStyle w:val="Header"/>
      <w:framePr w:wrap="around"/>
    </w:pPr>
    <w:r>
      <w:fldChar w:fldCharType="begin"/>
    </w:r>
    <w:r>
      <w:instrText xml:space="preserve"> TITLE   \* MERGEFORMAT </w:instrText>
    </w:r>
    <w:r>
      <w:fldChar w:fldCharType="separate"/>
    </w:r>
    <w:r>
      <w:t>MEM14090A Integrate mechatronic fundamentals into an engineering task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20/12/2012</w:t>
    </w:r>
    <w:r>
      <w:fldChar w:fldCharType="end"/>
    </w:r>
  </w:p>
  <w:p w:rsidR="0095185A" w:rsidP="009342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2C05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E004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6A24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42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42A3"/>
    <w:pPr>
      <w:spacing w:before="360" w:after="60"/>
      <w:outlineLvl w:val="0"/>
    </w:pPr>
    <w:rPr>
      <w:sz w:val="32"/>
    </w:rPr>
  </w:style>
  <w:style w:type="paragraph" w:styleId="Heading2">
    <w:name w:val="heading 2"/>
    <w:basedOn w:val="HeadingBase"/>
    <w:next w:val="BodyText"/>
    <w:link w:val="Heading2Char"/>
    <w:qFormat/>
    <w:rsid w:val="009342A3"/>
    <w:pPr>
      <w:keepLines/>
      <w:spacing w:before="240" w:after="120"/>
      <w:outlineLvl w:val="1"/>
    </w:pPr>
    <w:rPr>
      <w:sz w:val="28"/>
      <w:szCs w:val="40"/>
    </w:rPr>
  </w:style>
  <w:style w:type="paragraph" w:styleId="Heading3">
    <w:name w:val="heading 3"/>
    <w:basedOn w:val="HeadingBase"/>
    <w:next w:val="BodyText"/>
    <w:link w:val="Heading3Char"/>
    <w:qFormat/>
    <w:rsid w:val="009342A3"/>
    <w:pPr>
      <w:spacing w:before="180" w:after="120"/>
      <w:outlineLvl w:val="2"/>
    </w:pPr>
    <w:rPr>
      <w:spacing w:val="-10"/>
      <w:kern w:val="32"/>
    </w:rPr>
  </w:style>
  <w:style w:type="paragraph" w:styleId="Heading4">
    <w:name w:val="heading 4"/>
    <w:basedOn w:val="HeadingBase"/>
    <w:next w:val="BodyText"/>
    <w:link w:val="Heading4Char"/>
    <w:qFormat/>
    <w:rsid w:val="009342A3"/>
    <w:pPr>
      <w:spacing w:before="160" w:after="120"/>
      <w:outlineLvl w:val="3"/>
    </w:pPr>
    <w:rPr>
      <w:sz w:val="22"/>
    </w:rPr>
  </w:style>
  <w:style w:type="paragraph" w:styleId="Heading5">
    <w:name w:val="heading 5"/>
    <w:basedOn w:val="HeadingBase"/>
    <w:next w:val="Normal"/>
    <w:link w:val="Heading5Char"/>
    <w:qFormat/>
    <w:rsid w:val="009342A3"/>
    <w:pPr>
      <w:spacing w:before="80"/>
      <w:outlineLvl w:val="4"/>
    </w:pPr>
    <w:rPr>
      <w:color w:val="918585"/>
      <w:sz w:val="20"/>
    </w:rPr>
  </w:style>
  <w:style w:type="paragraph" w:styleId="Heading6">
    <w:name w:val="heading 6"/>
    <w:basedOn w:val="HeadingBase"/>
    <w:next w:val="Normal"/>
    <w:link w:val="Heading6Char"/>
    <w:qFormat/>
    <w:rsid w:val="009342A3"/>
    <w:pPr>
      <w:spacing w:before="60"/>
      <w:outlineLvl w:val="5"/>
    </w:pPr>
    <w:rPr>
      <w:color w:val="918585"/>
      <w:sz w:val="20"/>
    </w:rPr>
  </w:style>
  <w:style w:type="paragraph" w:styleId="Heading7">
    <w:name w:val="heading 7"/>
    <w:basedOn w:val="Normal"/>
    <w:next w:val="Normal"/>
    <w:link w:val="Heading7Char"/>
    <w:qFormat/>
    <w:rsid w:val="009342A3"/>
    <w:pPr>
      <w:ind w:left="720"/>
      <w:outlineLvl w:val="6"/>
    </w:pPr>
    <w:rPr>
      <w:i/>
    </w:rPr>
  </w:style>
  <w:style w:type="paragraph" w:styleId="Heading8">
    <w:name w:val="heading 8"/>
    <w:basedOn w:val="Normal"/>
    <w:next w:val="Normal"/>
    <w:link w:val="Heading8Char"/>
    <w:qFormat/>
    <w:rsid w:val="009342A3"/>
    <w:pPr>
      <w:ind w:left="720"/>
      <w:outlineLvl w:val="7"/>
    </w:pPr>
    <w:rPr>
      <w:i/>
    </w:rPr>
  </w:style>
  <w:style w:type="paragraph" w:styleId="Heading9">
    <w:name w:val="heading 9"/>
    <w:basedOn w:val="Normal"/>
    <w:next w:val="Normal"/>
    <w:link w:val="Heading9Char"/>
    <w:qFormat/>
    <w:rsid w:val="009342A3"/>
    <w:pPr>
      <w:ind w:left="720"/>
      <w:outlineLvl w:val="8"/>
    </w:pPr>
    <w:rPr>
      <w:i/>
    </w:rPr>
  </w:style>
  <w:style w:type="character" w:default="1" w:styleId="DefaultParagraphFont">
    <w:name w:val="Default Paragraph Font"/>
    <w:uiPriority w:val="1"/>
    <w:unhideWhenUsed/>
    <w:rsid w:val="009342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42A3"/>
  </w:style>
  <w:style w:type="character" w:customStyle="1" w:styleId="Heading1Char">
    <w:name w:val="Heading 1 Char"/>
    <w:basedOn w:val="DefaultParagraphFont"/>
    <w:link w:val="Heading1"/>
    <w:rsid w:val="009342A3"/>
    <w:rPr>
      <w:rFonts w:ascii="Times New Roman" w:eastAsia="Times New Roman" w:hAnsi="Times New Roman" w:cs="Times New Roman"/>
      <w:b/>
      <w:sz w:val="32"/>
      <w:szCs w:val="20"/>
      <w:lang w:eastAsia="en-US"/>
    </w:rPr>
  </w:style>
  <w:style w:type="paragraph" w:styleId="BodyText">
    <w:name w:val="Body Text"/>
    <w:basedOn w:val="Normal"/>
    <w:link w:val="BodyTextChar"/>
    <w:rsid w:val="009342A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342A3"/>
    <w:rPr>
      <w:rFonts w:ascii="Times New Roman" w:eastAsia="Times New Roman" w:hAnsi="Times New Roman" w:cs="Times New Roman"/>
      <w:sz w:val="24"/>
      <w:lang w:eastAsia="en-US"/>
    </w:rPr>
  </w:style>
  <w:style w:type="paragraph" w:styleId="ListBullet">
    <w:name w:val="List Bullet"/>
    <w:basedOn w:val="List"/>
    <w:rsid w:val="009342A3"/>
    <w:pPr>
      <w:numPr>
        <w:numId w:val="13"/>
      </w:numPr>
      <w:tabs>
        <w:tab w:val="clear" w:pos="340"/>
      </w:tabs>
      <w:spacing w:before="40" w:after="40"/>
    </w:pPr>
  </w:style>
  <w:style w:type="character" w:customStyle="1" w:styleId="SpecialBold">
    <w:name w:val="Special Bold"/>
    <w:basedOn w:val="DefaultParagraphFont"/>
    <w:rsid w:val="009342A3"/>
    <w:rPr>
      <w:b/>
      <w:spacing w:val="0"/>
    </w:rPr>
  </w:style>
  <w:style w:type="paragraph" w:styleId="ListBullet2">
    <w:name w:val="List Bullet 2"/>
    <w:basedOn w:val="List2"/>
    <w:rsid w:val="009342A3"/>
    <w:pPr>
      <w:numPr>
        <w:numId w:val="14"/>
      </w:numPr>
      <w:tabs>
        <w:tab w:val="clear" w:pos="680"/>
      </w:tabs>
    </w:pPr>
  </w:style>
  <w:style w:type="paragraph" w:customStyle="1" w:styleId="SuperHeading">
    <w:name w:val="SuperHeading"/>
    <w:basedOn w:val="Normal"/>
    <w:rsid w:val="009342A3"/>
    <w:pPr>
      <w:spacing w:before="240" w:after="120"/>
      <w:outlineLvl w:val="0"/>
    </w:pPr>
    <w:rPr>
      <w:rFonts w:ascii="Times New Roman" w:hAnsi="Times New Roman"/>
      <w:b/>
      <w:sz w:val="32"/>
    </w:rPr>
  </w:style>
  <w:style w:type="paragraph" w:customStyle="1" w:styleId="AllowPageBreak">
    <w:name w:val="AllowPageBreak"/>
    <w:rsid w:val="009342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342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42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42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42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42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42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42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42A3"/>
    <w:rPr>
      <w:rFonts w:ascii="Courier New" w:eastAsia="Times New Roman" w:hAnsi="Courier New" w:cs="Times New Roman"/>
      <w:i/>
      <w:szCs w:val="20"/>
      <w:lang w:eastAsia="en-US"/>
    </w:rPr>
  </w:style>
  <w:style w:type="paragraph" w:customStyle="1" w:styleId="HeadingBase">
    <w:name w:val="Heading Base"/>
    <w:rsid w:val="009342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42A3"/>
    <w:pPr>
      <w:tabs>
        <w:tab w:val="right" w:leader="dot" w:pos="9072"/>
      </w:tabs>
      <w:ind w:left="567"/>
    </w:pPr>
    <w:rPr>
      <w:szCs w:val="22"/>
    </w:rPr>
  </w:style>
  <w:style w:type="paragraph" w:customStyle="1" w:styleId="TOCBase">
    <w:name w:val="TOC Base"/>
    <w:rsid w:val="009342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42A3"/>
    <w:pPr>
      <w:tabs>
        <w:tab w:val="right" w:leader="dot" w:pos="9072"/>
      </w:tabs>
      <w:spacing w:before="40" w:after="40"/>
      <w:ind w:left="284"/>
    </w:pPr>
    <w:rPr>
      <w:rFonts w:ascii="Times New Roman" w:hAnsi="Times New Roman"/>
    </w:rPr>
  </w:style>
  <w:style w:type="paragraph" w:styleId="TOC1">
    <w:name w:val="toc 1"/>
    <w:basedOn w:val="TOCBase"/>
    <w:next w:val="Normal"/>
    <w:rsid w:val="009342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42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42A3"/>
    <w:rPr>
      <w:rFonts w:ascii="Times New Roman" w:eastAsia="Times New Roman" w:hAnsi="Times New Roman" w:cs="Times New Roman"/>
      <w:sz w:val="16"/>
      <w:lang w:eastAsia="en-US"/>
    </w:rPr>
  </w:style>
  <w:style w:type="paragraph" w:styleId="Title">
    <w:name w:val="Title"/>
    <w:basedOn w:val="HeadingBase"/>
    <w:link w:val="TitleChar"/>
    <w:qFormat/>
    <w:rsid w:val="009342A3"/>
    <w:pPr>
      <w:spacing w:before="5040"/>
      <w:jc w:val="center"/>
    </w:pPr>
    <w:rPr>
      <w:sz w:val="48"/>
      <w:szCs w:val="72"/>
      <w:lang w:val="en-US"/>
    </w:rPr>
  </w:style>
  <w:style w:type="character" w:customStyle="1" w:styleId="TitleChar">
    <w:name w:val="Title Char"/>
    <w:basedOn w:val="DefaultParagraphFont"/>
    <w:link w:val="Title"/>
    <w:rsid w:val="009342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42A3"/>
    <w:pPr>
      <w:tabs>
        <w:tab w:val="left" w:pos="3600"/>
        <w:tab w:val="left" w:pos="3958"/>
      </w:tabs>
    </w:pPr>
  </w:style>
  <w:style w:type="paragraph" w:styleId="List">
    <w:name w:val="List"/>
    <w:basedOn w:val="BodyText"/>
    <w:next w:val="BodyText"/>
    <w:rsid w:val="009342A3"/>
    <w:pPr>
      <w:tabs>
        <w:tab w:val="left" w:pos="340"/>
      </w:tabs>
      <w:spacing w:before="60" w:after="60"/>
      <w:ind w:left="340" w:hanging="340"/>
    </w:pPr>
  </w:style>
  <w:style w:type="paragraph" w:customStyle="1" w:styleId="Note">
    <w:name w:val="Note"/>
    <w:basedOn w:val="BodyText"/>
    <w:rsid w:val="009342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42A3"/>
    <w:pPr>
      <w:framePr w:wrap="auto" w:hAnchor="text" w:y="6049"/>
    </w:pPr>
    <w:rPr>
      <w:color w:val="000000"/>
      <w:sz w:val="40"/>
    </w:rPr>
  </w:style>
  <w:style w:type="paragraph" w:customStyle="1" w:styleId="TOCTitle">
    <w:name w:val="TOCTitle"/>
    <w:basedOn w:val="Heading1"/>
    <w:rsid w:val="009342A3"/>
    <w:pPr>
      <w:spacing w:after="240"/>
      <w:jc w:val="center"/>
      <w:outlineLvl w:val="9"/>
    </w:pPr>
    <w:rPr>
      <w:caps/>
    </w:rPr>
  </w:style>
  <w:style w:type="paragraph" w:customStyle="1" w:styleId="Version">
    <w:name w:val="Version"/>
    <w:rsid w:val="009342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42A3"/>
    <w:pPr>
      <w:keepNext w:val="0"/>
      <w:tabs>
        <w:tab w:val="right" w:pos="4176"/>
      </w:tabs>
      <w:ind w:left="198" w:hanging="198"/>
    </w:pPr>
    <w:rPr>
      <w:rFonts w:ascii="Garamond" w:hAnsi="Garamond"/>
    </w:rPr>
  </w:style>
  <w:style w:type="paragraph" w:styleId="IndexHeading">
    <w:name w:val="index heading"/>
    <w:basedOn w:val="Normal"/>
    <w:next w:val="Index1"/>
    <w:semiHidden/>
    <w:rsid w:val="009342A3"/>
    <w:pPr>
      <w:spacing w:before="120" w:after="120"/>
    </w:pPr>
    <w:rPr>
      <w:rFonts w:ascii="Arial" w:hAnsi="Arial"/>
      <w:b/>
      <w:color w:val="918585"/>
      <w:sz w:val="24"/>
    </w:rPr>
  </w:style>
  <w:style w:type="paragraph" w:styleId="Header">
    <w:name w:val="header"/>
    <w:basedOn w:val="Normal"/>
    <w:link w:val="HeaderChar"/>
    <w:rsid w:val="009342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42A3"/>
    <w:rPr>
      <w:rFonts w:ascii="Times New Roman" w:eastAsia="Times New Roman" w:hAnsi="Times New Roman" w:cs="Times New Roman"/>
      <w:sz w:val="16"/>
      <w:szCs w:val="20"/>
      <w:lang w:val="en-GB" w:eastAsia="en-US"/>
    </w:rPr>
  </w:style>
  <w:style w:type="paragraph" w:customStyle="1" w:styleId="Chapter">
    <w:name w:val="Chapter"/>
    <w:basedOn w:val="Normal"/>
    <w:rsid w:val="009342A3"/>
    <w:pPr>
      <w:spacing w:before="240"/>
    </w:pPr>
    <w:rPr>
      <w:rFonts w:ascii="Times New Roman" w:hAnsi="Times New Roman"/>
      <w:smallCaps/>
      <w:spacing w:val="80"/>
      <w:sz w:val="28"/>
    </w:rPr>
  </w:style>
  <w:style w:type="paragraph" w:customStyle="1" w:styleId="InChapter">
    <w:name w:val="InChapter"/>
    <w:basedOn w:val="Heading3"/>
    <w:rsid w:val="009342A3"/>
    <w:pPr>
      <w:spacing w:after="240"/>
      <w:outlineLvl w:val="9"/>
    </w:pPr>
    <w:rPr>
      <w:noProof/>
    </w:rPr>
  </w:style>
  <w:style w:type="paragraph" w:styleId="Index2">
    <w:name w:val="index 2"/>
    <w:basedOn w:val="Normal"/>
    <w:next w:val="Normal"/>
    <w:semiHidden/>
    <w:rsid w:val="009342A3"/>
    <w:pPr>
      <w:tabs>
        <w:tab w:val="right" w:pos="4176"/>
      </w:tabs>
      <w:ind w:left="568" w:hanging="284"/>
    </w:pPr>
    <w:rPr>
      <w:rFonts w:ascii="Garamond" w:hAnsi="Garamond"/>
    </w:rPr>
  </w:style>
  <w:style w:type="paragraph" w:customStyle="1" w:styleId="Byline">
    <w:name w:val="Byline"/>
    <w:rsid w:val="009342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42A3"/>
    <w:pPr>
      <w:tabs>
        <w:tab w:val="clear" w:pos="3600"/>
        <w:tab w:val="clear" w:pos="3958"/>
      </w:tabs>
      <w:jc w:val="right"/>
    </w:pPr>
  </w:style>
  <w:style w:type="character" w:styleId="Emphasis">
    <w:name w:val="Emphasis"/>
    <w:basedOn w:val="DefaultParagraphFont"/>
    <w:qFormat/>
    <w:rsid w:val="009342A3"/>
    <w:rPr>
      <w:i/>
    </w:rPr>
  </w:style>
  <w:style w:type="paragraph" w:styleId="Caption">
    <w:name w:val="caption"/>
    <w:basedOn w:val="BodyText"/>
    <w:next w:val="Normal"/>
    <w:qFormat/>
    <w:rsid w:val="009342A3"/>
    <w:pPr>
      <w:framePr w:w="2268" w:hSpace="181" w:vSpace="181" w:wrap="around" w:vAnchor="text" w:hAnchor="page" w:x="1135" w:y="285" w:anchorLock="1"/>
    </w:pPr>
    <w:rPr>
      <w:i/>
    </w:rPr>
  </w:style>
  <w:style w:type="paragraph" w:customStyle="1" w:styleId="MiniTOCTitle">
    <w:name w:val="MiniTOCTitle"/>
    <w:basedOn w:val="Heading4"/>
    <w:rsid w:val="009342A3"/>
    <w:pPr>
      <w:spacing w:before="240"/>
      <w:outlineLvl w:val="9"/>
    </w:pPr>
    <w:rPr>
      <w:noProof/>
      <w:sz w:val="24"/>
    </w:rPr>
  </w:style>
  <w:style w:type="paragraph" w:customStyle="1" w:styleId="MiniTOCItem">
    <w:name w:val="MiniTOCItem"/>
    <w:basedOn w:val="ListBullet"/>
    <w:rsid w:val="009342A3"/>
    <w:pPr>
      <w:numPr>
        <w:numId w:val="0"/>
      </w:numPr>
      <w:tabs>
        <w:tab w:val="right" w:leader="dot" w:pos="6521"/>
      </w:tabs>
      <w:spacing w:before="0" w:after="0"/>
    </w:pPr>
  </w:style>
  <w:style w:type="paragraph" w:customStyle="1" w:styleId="TOFTitle">
    <w:name w:val="TOFTitle"/>
    <w:basedOn w:val="TOCTitle"/>
    <w:rsid w:val="009342A3"/>
  </w:style>
  <w:style w:type="paragraph" w:styleId="TableofFigures">
    <w:name w:val="table of figures"/>
    <w:basedOn w:val="Normal"/>
    <w:next w:val="Normal"/>
    <w:semiHidden/>
    <w:rsid w:val="009342A3"/>
    <w:pPr>
      <w:tabs>
        <w:tab w:val="right" w:leader="dot" w:pos="9072"/>
      </w:tabs>
      <w:ind w:left="970" w:hanging="403"/>
    </w:pPr>
    <w:rPr>
      <w:rFonts w:ascii="Times New Roman" w:hAnsi="Times New Roman"/>
      <w:b/>
    </w:rPr>
  </w:style>
  <w:style w:type="paragraph" w:styleId="ListNumber">
    <w:name w:val="List Number"/>
    <w:basedOn w:val="List"/>
    <w:rsid w:val="009342A3"/>
    <w:pPr>
      <w:numPr>
        <w:numId w:val="11"/>
      </w:numPr>
    </w:pPr>
  </w:style>
  <w:style w:type="character" w:customStyle="1" w:styleId="WingdingSymbols">
    <w:name w:val="Wingding Symbols"/>
    <w:rsid w:val="009342A3"/>
    <w:rPr>
      <w:rFonts w:ascii="Wingdings" w:hAnsi="Wingdings"/>
    </w:rPr>
  </w:style>
  <w:style w:type="paragraph" w:customStyle="1" w:styleId="TableHeading">
    <w:name w:val="Table Heading"/>
    <w:basedOn w:val="HeadingBase"/>
    <w:rsid w:val="009342A3"/>
    <w:pPr>
      <w:keepLines/>
      <w:pBdr>
        <w:bottom w:val="single" w:sz="6" w:space="1" w:color="918585"/>
      </w:pBdr>
      <w:spacing w:before="240"/>
    </w:pPr>
  </w:style>
  <w:style w:type="character" w:customStyle="1" w:styleId="HotSpot">
    <w:name w:val="HotSpot"/>
    <w:rsid w:val="009342A3"/>
    <w:rPr>
      <w:color w:val="0033CC"/>
      <w:u w:val="none"/>
    </w:rPr>
  </w:style>
  <w:style w:type="paragraph" w:customStyle="1" w:styleId="BodyTextRight">
    <w:name w:val="Body Text Right"/>
    <w:basedOn w:val="BodyText"/>
    <w:rsid w:val="009342A3"/>
    <w:pPr>
      <w:spacing w:before="0" w:after="0"/>
      <w:jc w:val="right"/>
    </w:pPr>
  </w:style>
  <w:style w:type="paragraph" w:styleId="Index3">
    <w:name w:val="index 3"/>
    <w:basedOn w:val="ListNumber2"/>
    <w:next w:val="Normal"/>
    <w:semiHidden/>
    <w:rsid w:val="009342A3"/>
    <w:pPr>
      <w:numPr>
        <w:numId w:val="0"/>
      </w:numPr>
      <w:tabs>
        <w:tab w:val="right" w:leader="dot" w:pos="4176"/>
      </w:tabs>
    </w:pPr>
  </w:style>
  <w:style w:type="paragraph" w:styleId="ListNumber2">
    <w:name w:val="List Number 2"/>
    <w:basedOn w:val="List2"/>
    <w:rsid w:val="009342A3"/>
    <w:pPr>
      <w:numPr>
        <w:numId w:val="10"/>
      </w:numPr>
      <w:tabs>
        <w:tab w:val="clear" w:pos="1060"/>
      </w:tabs>
    </w:pPr>
  </w:style>
  <w:style w:type="paragraph" w:customStyle="1" w:styleId="MarginNote">
    <w:name w:val="Margin Note"/>
    <w:basedOn w:val="BodyText"/>
    <w:rsid w:val="009342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42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42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42A3"/>
    <w:rPr>
      <w:sz w:val="32"/>
    </w:rPr>
  </w:style>
  <w:style w:type="paragraph" w:customStyle="1" w:styleId="HeadingProcedure">
    <w:name w:val="Heading Procedure"/>
    <w:basedOn w:val="HeadingBase"/>
    <w:next w:val="Normal"/>
    <w:rsid w:val="009342A3"/>
    <w:pPr>
      <w:tabs>
        <w:tab w:val="left" w:pos="0"/>
      </w:tabs>
      <w:spacing w:before="120" w:after="60"/>
    </w:pPr>
    <w:rPr>
      <w:i/>
      <w:color w:val="918585"/>
      <w:sz w:val="22"/>
    </w:rPr>
  </w:style>
  <w:style w:type="paragraph" w:customStyle="1" w:styleId="TableBodyText">
    <w:name w:val="Table Body Text"/>
    <w:basedOn w:val="BodyText"/>
    <w:rsid w:val="009342A3"/>
    <w:pPr>
      <w:spacing w:before="60" w:after="60"/>
    </w:pPr>
  </w:style>
  <w:style w:type="paragraph" w:styleId="ListContinue">
    <w:name w:val="List Continue"/>
    <w:basedOn w:val="List"/>
    <w:rsid w:val="009342A3"/>
    <w:pPr>
      <w:ind w:firstLine="0"/>
    </w:pPr>
  </w:style>
  <w:style w:type="paragraph" w:customStyle="1" w:styleId="ListNote">
    <w:name w:val="List Note"/>
    <w:basedOn w:val="List"/>
    <w:rsid w:val="009342A3"/>
    <w:pPr>
      <w:pBdr>
        <w:top w:val="single" w:sz="6" w:space="2" w:color="918585"/>
        <w:bottom w:val="single" w:sz="6" w:space="2" w:color="918585"/>
      </w:pBdr>
      <w:tabs>
        <w:tab w:val="left" w:pos="1021"/>
      </w:tabs>
      <w:ind w:firstLine="0"/>
    </w:pPr>
  </w:style>
  <w:style w:type="paragraph" w:customStyle="1" w:styleId="Warning">
    <w:name w:val="Warning"/>
    <w:basedOn w:val="BodyText"/>
    <w:rsid w:val="009342A3"/>
    <w:pPr>
      <w:shd w:val="clear" w:color="auto" w:fill="D9D9D9"/>
      <w:tabs>
        <w:tab w:val="left" w:pos="992"/>
      </w:tabs>
      <w:ind w:left="119" w:right="119"/>
    </w:pPr>
    <w:rPr>
      <w:sz w:val="20"/>
    </w:rPr>
  </w:style>
  <w:style w:type="paragraph" w:customStyle="1" w:styleId="MarginIcons">
    <w:name w:val="Margin Icons"/>
    <w:basedOn w:val="BodyText"/>
    <w:rsid w:val="009342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42A3"/>
    <w:rPr>
      <w:rFonts w:ascii="Courier New" w:hAnsi="Courier New"/>
    </w:rPr>
  </w:style>
  <w:style w:type="paragraph" w:customStyle="1" w:styleId="NoteBullet">
    <w:name w:val="Note Bullet"/>
    <w:basedOn w:val="Note"/>
    <w:rsid w:val="009342A3"/>
    <w:pPr>
      <w:tabs>
        <w:tab w:val="clear" w:pos="680"/>
      </w:tabs>
      <w:spacing w:before="60" w:after="60"/>
    </w:pPr>
  </w:style>
  <w:style w:type="paragraph" w:customStyle="1" w:styleId="SubHeading2">
    <w:name w:val="SubHeading2"/>
    <w:basedOn w:val="HeadingBase"/>
    <w:rsid w:val="009342A3"/>
    <w:pPr>
      <w:spacing w:before="240" w:after="60"/>
    </w:pPr>
    <w:rPr>
      <w:sz w:val="20"/>
    </w:rPr>
  </w:style>
  <w:style w:type="paragraph" w:customStyle="1" w:styleId="SubHeading1">
    <w:name w:val="SubHeading1"/>
    <w:basedOn w:val="HeadingBase"/>
    <w:rsid w:val="009342A3"/>
    <w:pPr>
      <w:spacing w:before="240" w:after="60"/>
    </w:pPr>
    <w:rPr>
      <w:color w:val="918585"/>
      <w:sz w:val="22"/>
    </w:rPr>
  </w:style>
  <w:style w:type="paragraph" w:customStyle="1" w:styleId="SideHeading">
    <w:name w:val="Side Heading"/>
    <w:basedOn w:val="HeadingBase"/>
    <w:rsid w:val="009342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42A3"/>
    <w:pPr>
      <w:numPr>
        <w:numId w:val="12"/>
      </w:numPr>
    </w:pPr>
  </w:style>
  <w:style w:type="paragraph" w:styleId="PlainText">
    <w:name w:val="Plain Text"/>
    <w:basedOn w:val="Normal"/>
    <w:link w:val="PlainTextChar"/>
    <w:rsid w:val="009342A3"/>
    <w:rPr>
      <w:sz w:val="20"/>
    </w:rPr>
  </w:style>
  <w:style w:type="character" w:customStyle="1" w:styleId="PlainTextChar">
    <w:name w:val="Plain Text Char"/>
    <w:basedOn w:val="DefaultParagraphFont"/>
    <w:link w:val="PlainText"/>
    <w:rsid w:val="009342A3"/>
    <w:rPr>
      <w:rFonts w:ascii="Courier New" w:eastAsia="Times New Roman" w:hAnsi="Courier New" w:cs="Times New Roman"/>
      <w:sz w:val="20"/>
      <w:szCs w:val="20"/>
      <w:lang w:eastAsia="en-US"/>
    </w:rPr>
  </w:style>
  <w:style w:type="character" w:customStyle="1" w:styleId="MenuOption">
    <w:name w:val="Menu Option"/>
    <w:basedOn w:val="DefaultParagraphFont"/>
    <w:rsid w:val="009342A3"/>
    <w:rPr>
      <w:b/>
      <w:smallCaps/>
    </w:rPr>
  </w:style>
  <w:style w:type="paragraph" w:customStyle="1" w:styleId="TableListNumber">
    <w:name w:val="Table List Number"/>
    <w:basedOn w:val="ListNumber"/>
    <w:rsid w:val="009342A3"/>
    <w:pPr>
      <w:numPr>
        <w:numId w:val="0"/>
      </w:numPr>
    </w:pPr>
  </w:style>
  <w:style w:type="paragraph" w:styleId="TOC4">
    <w:name w:val="toc 4"/>
    <w:basedOn w:val="TOCBase"/>
    <w:next w:val="Normal"/>
    <w:semiHidden/>
    <w:rsid w:val="009342A3"/>
    <w:pPr>
      <w:tabs>
        <w:tab w:val="right" w:leader="dot" w:pos="9071"/>
      </w:tabs>
      <w:ind w:left="1701"/>
    </w:pPr>
  </w:style>
  <w:style w:type="paragraph" w:customStyle="1" w:styleId="ListAlpha">
    <w:name w:val="List Alpha"/>
    <w:basedOn w:val="List"/>
    <w:rsid w:val="009342A3"/>
    <w:pPr>
      <w:numPr>
        <w:numId w:val="9"/>
      </w:numPr>
    </w:pPr>
  </w:style>
  <w:style w:type="paragraph" w:customStyle="1" w:styleId="ListAlpha2">
    <w:name w:val="List Alpha 2"/>
    <w:basedOn w:val="List2"/>
    <w:rsid w:val="009342A3"/>
    <w:pPr>
      <w:numPr>
        <w:numId w:val="8"/>
      </w:numPr>
    </w:pPr>
  </w:style>
  <w:style w:type="paragraph" w:styleId="List2">
    <w:name w:val="List 2"/>
    <w:basedOn w:val="BodyText"/>
    <w:rsid w:val="009342A3"/>
    <w:pPr>
      <w:tabs>
        <w:tab w:val="left" w:pos="680"/>
      </w:tabs>
      <w:spacing w:before="60" w:after="60"/>
      <w:ind w:left="680" w:hanging="340"/>
    </w:pPr>
  </w:style>
  <w:style w:type="paragraph" w:styleId="List3">
    <w:name w:val="List 3"/>
    <w:basedOn w:val="BodyText"/>
    <w:rsid w:val="009342A3"/>
    <w:pPr>
      <w:tabs>
        <w:tab w:val="left" w:pos="1021"/>
      </w:tabs>
      <w:spacing w:before="60" w:after="60"/>
      <w:ind w:left="1020" w:hanging="340"/>
    </w:pPr>
  </w:style>
  <w:style w:type="paragraph" w:styleId="List4">
    <w:name w:val="List 4"/>
    <w:basedOn w:val="BodyText"/>
    <w:rsid w:val="009342A3"/>
    <w:pPr>
      <w:tabs>
        <w:tab w:val="left" w:pos="1361"/>
      </w:tabs>
      <w:spacing w:before="60" w:after="60"/>
      <w:ind w:left="1361" w:hanging="340"/>
    </w:pPr>
  </w:style>
  <w:style w:type="paragraph" w:styleId="List5">
    <w:name w:val="List 5"/>
    <w:basedOn w:val="BodyText"/>
    <w:rsid w:val="009342A3"/>
    <w:pPr>
      <w:tabs>
        <w:tab w:val="left" w:pos="1701"/>
      </w:tabs>
      <w:spacing w:before="60" w:after="60"/>
      <w:ind w:left="1701" w:hanging="340"/>
    </w:pPr>
  </w:style>
  <w:style w:type="paragraph" w:styleId="ListBullet3">
    <w:name w:val="List Bullet 3"/>
    <w:basedOn w:val="List3"/>
    <w:rsid w:val="009342A3"/>
    <w:pPr>
      <w:numPr>
        <w:numId w:val="15"/>
      </w:numPr>
      <w:tabs>
        <w:tab w:val="clear" w:pos="1021"/>
      </w:tabs>
      <w:ind w:left="1037" w:hanging="357"/>
    </w:pPr>
  </w:style>
  <w:style w:type="paragraph" w:styleId="ListBullet4">
    <w:name w:val="List Bullet 4"/>
    <w:basedOn w:val="List4"/>
    <w:rsid w:val="009342A3"/>
    <w:pPr>
      <w:numPr>
        <w:numId w:val="3"/>
      </w:numPr>
    </w:pPr>
  </w:style>
  <w:style w:type="paragraph" w:styleId="ListBullet5">
    <w:name w:val="List Bullet 5"/>
    <w:basedOn w:val="List5"/>
    <w:rsid w:val="009342A3"/>
    <w:pPr>
      <w:numPr>
        <w:numId w:val="4"/>
      </w:numPr>
    </w:pPr>
  </w:style>
  <w:style w:type="paragraph" w:styleId="ListContinue2">
    <w:name w:val="List Continue 2"/>
    <w:basedOn w:val="List2"/>
    <w:rsid w:val="009342A3"/>
    <w:pPr>
      <w:ind w:firstLine="0"/>
    </w:pPr>
  </w:style>
  <w:style w:type="paragraph" w:styleId="ListContinue3">
    <w:name w:val="List Continue 3"/>
    <w:basedOn w:val="List3"/>
    <w:rsid w:val="009342A3"/>
    <w:pPr>
      <w:ind w:left="1021" w:firstLine="0"/>
    </w:pPr>
  </w:style>
  <w:style w:type="paragraph" w:styleId="ListContinue4">
    <w:name w:val="List Continue 4"/>
    <w:basedOn w:val="List4"/>
    <w:rsid w:val="009342A3"/>
    <w:pPr>
      <w:ind w:firstLine="0"/>
    </w:pPr>
  </w:style>
  <w:style w:type="paragraph" w:styleId="ListContinue5">
    <w:name w:val="List Continue 5"/>
    <w:basedOn w:val="List5"/>
    <w:rsid w:val="009342A3"/>
    <w:pPr>
      <w:ind w:firstLine="0"/>
    </w:pPr>
  </w:style>
  <w:style w:type="paragraph" w:styleId="ListNumber3">
    <w:name w:val="List Number 3"/>
    <w:basedOn w:val="List3"/>
    <w:rsid w:val="009342A3"/>
    <w:pPr>
      <w:numPr>
        <w:numId w:val="5"/>
      </w:numPr>
    </w:pPr>
  </w:style>
  <w:style w:type="paragraph" w:styleId="ListNumber4">
    <w:name w:val="List Number 4"/>
    <w:basedOn w:val="List4"/>
    <w:rsid w:val="009342A3"/>
    <w:pPr>
      <w:numPr>
        <w:numId w:val="6"/>
      </w:numPr>
    </w:pPr>
  </w:style>
  <w:style w:type="paragraph" w:styleId="ListNumber5">
    <w:name w:val="List Number 5"/>
    <w:basedOn w:val="List5"/>
    <w:rsid w:val="009342A3"/>
    <w:pPr>
      <w:numPr>
        <w:numId w:val="7"/>
      </w:numPr>
    </w:pPr>
  </w:style>
  <w:style w:type="paragraph" w:styleId="BlockText">
    <w:name w:val="Block Text"/>
    <w:basedOn w:val="Normal"/>
    <w:rsid w:val="009342A3"/>
    <w:pPr>
      <w:spacing w:after="120"/>
      <w:ind w:left="1440" w:right="1440"/>
    </w:pPr>
  </w:style>
  <w:style w:type="character" w:customStyle="1" w:styleId="Subscript">
    <w:name w:val="Subscript"/>
    <w:basedOn w:val="DefaultParagraphFont"/>
    <w:rsid w:val="009342A3"/>
    <w:rPr>
      <w:sz w:val="16"/>
      <w:vertAlign w:val="subscript"/>
    </w:rPr>
  </w:style>
  <w:style w:type="character" w:customStyle="1" w:styleId="Superscript">
    <w:name w:val="Superscript"/>
    <w:basedOn w:val="DefaultParagraphFont"/>
    <w:rsid w:val="009342A3"/>
    <w:rPr>
      <w:sz w:val="16"/>
      <w:vertAlign w:val="superscript"/>
    </w:rPr>
  </w:style>
  <w:style w:type="character" w:customStyle="1" w:styleId="Symbols">
    <w:name w:val="Symbols"/>
    <w:basedOn w:val="DefaultParagraphFont"/>
    <w:rsid w:val="009342A3"/>
    <w:rPr>
      <w:rFonts w:ascii="Symbol" w:hAnsi="Symbol"/>
    </w:rPr>
  </w:style>
  <w:style w:type="character" w:customStyle="1" w:styleId="MenuOptions">
    <w:name w:val="Menu Options"/>
    <w:basedOn w:val="DefaultParagraphFont"/>
    <w:rsid w:val="009342A3"/>
    <w:rPr>
      <w:rFonts w:ascii="Arial Narrow" w:hAnsi="Arial Narrow"/>
      <w:smallCaps/>
    </w:rPr>
  </w:style>
  <w:style w:type="character" w:customStyle="1" w:styleId="Buttons">
    <w:name w:val="Buttons"/>
    <w:basedOn w:val="DefaultParagraphFont"/>
    <w:rsid w:val="009342A3"/>
    <w:rPr>
      <w:b/>
    </w:rPr>
  </w:style>
  <w:style w:type="character" w:customStyle="1" w:styleId="Underlined">
    <w:name w:val="Underlined"/>
    <w:basedOn w:val="DefaultParagraphFont"/>
    <w:rsid w:val="009342A3"/>
    <w:rPr>
      <w:u w:val="single"/>
    </w:rPr>
  </w:style>
  <w:style w:type="paragraph" w:customStyle="1" w:styleId="TableBodyTextRight">
    <w:name w:val="Table Body Text Right"/>
    <w:basedOn w:val="TableBodyText"/>
    <w:rsid w:val="009342A3"/>
    <w:pPr>
      <w:widowControl w:val="0"/>
      <w:autoSpaceDE w:val="0"/>
      <w:autoSpaceDN w:val="0"/>
      <w:adjustRightInd w:val="0"/>
      <w:jc w:val="right"/>
    </w:pPr>
    <w:rPr>
      <w:rFonts w:cs="Arial"/>
      <w:szCs w:val="18"/>
    </w:rPr>
  </w:style>
  <w:style w:type="paragraph" w:customStyle="1" w:styleId="CopyrightText">
    <w:name w:val="Copyright Text"/>
    <w:basedOn w:val="BodyText"/>
    <w:rsid w:val="009342A3"/>
    <w:rPr>
      <w:sz w:val="18"/>
    </w:rPr>
  </w:style>
  <w:style w:type="paragraph" w:customStyle="1" w:styleId="BodySmallRight">
    <w:name w:val="Body Small Right"/>
    <w:basedOn w:val="BodyTextRight"/>
    <w:rsid w:val="009342A3"/>
    <w:rPr>
      <w:sz w:val="18"/>
      <w:szCs w:val="18"/>
    </w:rPr>
  </w:style>
  <w:style w:type="paragraph" w:customStyle="1" w:styleId="MarginEdition">
    <w:name w:val="Margin Edition"/>
    <w:basedOn w:val="MarginNote"/>
    <w:rsid w:val="009342A3"/>
    <w:pPr>
      <w:spacing w:before="0" w:after="0"/>
    </w:pPr>
    <w:rPr>
      <w:rFonts w:ascii="Times New Roman" w:hAnsi="Times New Roman"/>
      <w:color w:val="999999"/>
    </w:rPr>
  </w:style>
  <w:style w:type="paragraph" w:customStyle="1" w:styleId="Spacer">
    <w:name w:val="Spacer"/>
    <w:basedOn w:val="Normal"/>
    <w:rsid w:val="009342A3"/>
    <w:rPr>
      <w:sz w:val="2"/>
      <w:szCs w:val="2"/>
    </w:rPr>
  </w:style>
  <w:style w:type="character" w:customStyle="1" w:styleId="Small">
    <w:name w:val="Small"/>
    <w:basedOn w:val="DefaultParagraphFont"/>
    <w:rsid w:val="009342A3"/>
    <w:rPr>
      <w:sz w:val="16"/>
    </w:rPr>
  </w:style>
  <w:style w:type="paragraph" w:customStyle="1" w:styleId="WideTable">
    <w:name w:val="Wide Table"/>
    <w:basedOn w:val="Normal"/>
    <w:rsid w:val="009342A3"/>
    <w:pPr>
      <w:ind w:left="-1418"/>
    </w:pPr>
    <w:rPr>
      <w:sz w:val="2"/>
      <w:szCs w:val="2"/>
    </w:rPr>
  </w:style>
  <w:style w:type="character" w:styleId="PageNumber">
    <w:name w:val="page number"/>
    <w:basedOn w:val="DefaultParagraphFont"/>
    <w:rsid w:val="009342A3"/>
  </w:style>
  <w:style w:type="paragraph" w:styleId="Quote">
    <w:name w:val="Quote"/>
    <w:basedOn w:val="Heading1"/>
    <w:link w:val="QuoteChar"/>
    <w:qFormat/>
    <w:rsid w:val="009342A3"/>
    <w:rPr>
      <w:b w:val="0"/>
      <w:sz w:val="72"/>
      <w:szCs w:val="72"/>
      <w:lang w:val="en-NZ"/>
    </w:rPr>
  </w:style>
  <w:style w:type="character" w:customStyle="1" w:styleId="QuoteChar">
    <w:name w:val="Quote Char"/>
    <w:basedOn w:val="DefaultParagraphFont"/>
    <w:link w:val="Quote"/>
    <w:rsid w:val="009342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42A3"/>
    <w:pPr>
      <w:pageBreakBefore/>
    </w:pPr>
  </w:style>
  <w:style w:type="paragraph" w:customStyle="1" w:styleId="Border">
    <w:name w:val="Border"/>
    <w:basedOn w:val="Normal"/>
    <w:qFormat/>
    <w:rsid w:val="009342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42A3"/>
    <w:rPr>
      <w:b/>
      <w:bCs/>
      <w:i/>
      <w:iCs/>
      <w:color w:val="auto"/>
    </w:rPr>
  </w:style>
  <w:style w:type="paragraph" w:styleId="IntenseQuote">
    <w:name w:val="Intense Quote"/>
    <w:basedOn w:val="Normal"/>
    <w:next w:val="Normal"/>
    <w:link w:val="IntenseQuoteChar"/>
    <w:uiPriority w:val="30"/>
    <w:qFormat/>
    <w:rsid w:val="009342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42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42A3"/>
    <w:rPr>
      <w:smallCaps/>
      <w:color w:val="auto"/>
      <w:u w:val="single"/>
    </w:rPr>
  </w:style>
  <w:style w:type="character" w:styleId="IntenseReference">
    <w:name w:val="Intense Reference"/>
    <w:basedOn w:val="DefaultParagraphFont"/>
    <w:uiPriority w:val="32"/>
    <w:qFormat/>
    <w:rsid w:val="009342A3"/>
    <w:rPr>
      <w:b/>
      <w:bCs/>
      <w:smallCaps/>
      <w:color w:val="auto"/>
      <w:spacing w:val="5"/>
      <w:u w:val="single"/>
    </w:rPr>
  </w:style>
  <w:style w:type="paragraph" w:customStyle="1" w:styleId="2ColumnHeading">
    <w:name w:val="2Column Heading"/>
    <w:basedOn w:val="BodyText"/>
    <w:qFormat/>
    <w:rsid w:val="009342A3"/>
    <w:pPr>
      <w:spacing w:after="60"/>
      <w:ind w:left="-2268"/>
    </w:pPr>
    <w:rPr>
      <w:b/>
    </w:rPr>
  </w:style>
  <w:style w:type="paragraph" w:customStyle="1" w:styleId="Heading1TOC">
    <w:name w:val="Heading1 TOC"/>
    <w:basedOn w:val="Normal"/>
    <w:qFormat/>
    <w:rsid w:val="009342A3"/>
    <w:pPr>
      <w:spacing w:before="240" w:after="120"/>
    </w:pPr>
    <w:rPr>
      <w:rFonts w:ascii="Times New Roman" w:hAnsi="Times New Roman"/>
      <w:b/>
      <w:sz w:val="32"/>
    </w:rPr>
  </w:style>
  <w:style w:type="paragraph" w:customStyle="1" w:styleId="Heading2TOC">
    <w:name w:val="Heading2 TOC"/>
    <w:basedOn w:val="Normal"/>
    <w:qFormat/>
    <w:rsid w:val="009342A3"/>
    <w:pPr>
      <w:spacing w:before="240" w:after="60"/>
    </w:pPr>
    <w:rPr>
      <w:rFonts w:ascii="Times New Roman" w:hAnsi="Times New Roman"/>
      <w:b/>
      <w:sz w:val="28"/>
    </w:rPr>
  </w:style>
  <w:style w:type="character" w:customStyle="1" w:styleId="Underline">
    <w:name w:val="Underline"/>
    <w:basedOn w:val="DefaultParagraphFont"/>
    <w:qFormat/>
    <w:rsid w:val="009342A3"/>
    <w:rPr>
      <w:u w:val="single"/>
    </w:rPr>
  </w:style>
  <w:style w:type="character" w:customStyle="1" w:styleId="BoldandItalics">
    <w:name w:val="Bold and Italics"/>
    <w:qFormat/>
    <w:rsid w:val="009342A3"/>
    <w:rPr>
      <w:b/>
      <w:i/>
      <w:u w:val="none"/>
    </w:rPr>
  </w:style>
  <w:style w:type="paragraph" w:styleId="BalloonText">
    <w:name w:val="Balloon Text"/>
    <w:basedOn w:val="Normal"/>
    <w:link w:val="BalloonTextChar"/>
    <w:rsid w:val="009342A3"/>
    <w:rPr>
      <w:rFonts w:ascii="Tahoma" w:hAnsi="Tahoma" w:cs="Tahoma"/>
      <w:sz w:val="16"/>
      <w:szCs w:val="16"/>
    </w:rPr>
  </w:style>
  <w:style w:type="character" w:customStyle="1" w:styleId="BalloonTextChar">
    <w:name w:val="Balloon Text Char"/>
    <w:basedOn w:val="DefaultParagraphFont"/>
    <w:link w:val="BalloonText"/>
    <w:rsid w:val="009342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42A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342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42A3"/>
    <w:rPr>
      <w:b/>
      <w:color w:val="660033"/>
      <w:spacing w:val="0"/>
    </w:rPr>
  </w:style>
  <w:style w:type="paragraph" w:customStyle="1" w:styleId="Nameditemlist">
    <w:name w:val="Named item list"/>
    <w:basedOn w:val="BodyText"/>
    <w:qFormat/>
    <w:rsid w:val="009342A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1517</Words>
  <Characters>10092</Characters>
  <Application>Microsoft Office Word</Application>
  <DocSecurity>0</DocSecurity>
  <Lines>329</Lines>
  <Paragraphs>162</Paragraphs>
  <ScaleCrop>false</ScaleCrop>
  <Company>Author-it Software Corporation Ltd.</Company>
  <LinksUpToDate>false</LinksUpToDate>
  <CharactersWithSpaces>11533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MEM14090A Integrate mechatronic fundamentals into an engineering task</dc:title>
  <dc:subject>Approved</dc:subject>
  <dc:creator>Manufacturing Skills Australia</dc:creator>
  <cp:keywords>Release:</cp:keywords>
  <dc:description>Copyright © 1996-2007 Author-it Software Corporation Ltd., all rights reserved.</dc:description>
  <cp:lastModifiedBy>TPCMS</cp:lastModifiedBy>
  <cp:revision>3</cp:revision>
  <dcterms:created xsi:type="dcterms:W3CDTF">2012-12-20T04:13:00Z</dcterms:created>
  <dcterms:modified xsi:type="dcterms:W3CDTF">2012-12-20T04:13:00Z</dcterms:modified>
</cp:coreProperties>
</file>