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4266" w:rsidP="00C04266">
      <w:pPr>
        <w:pStyle w:val="Title"/>
      </w:pPr>
      <w:r>
        <w:fldChar w:fldCharType="begin"/>
      </w:r>
      <w:r>
        <w:instrText xml:space="preserve"> TITLE   \* MERGEFORMAT </w:instrText>
      </w:r>
      <w:r>
        <w:fldChar w:fldCharType="separate"/>
      </w:r>
      <w:r>
        <w:t>MEM14086A Apply mechatronic engineering analysis techniques</w:t>
      </w:r>
      <w:r>
        <w:fldChar w:fldCharType="end"/>
      </w:r>
    </w:p>
    <w:p w:rsidR="00C04266" w:rsidP="00C04266">
      <w:pPr>
        <w:pStyle w:val="Version"/>
        <w:sectPr w:rsidSect="00EC2B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2B22" w:rsidP="00EC2B22">
      <w:pPr>
        <w:pStyle w:val="SuperHeading"/>
      </w:pPr>
      <w:r w:rsidRPr="00EC2B22">
        <w:t>MEM14086A Apply mechatronic engineering analysis techniques</w:t>
      </w:r>
    </w:p>
    <w:p w:rsidR="00000000" w:rsidRPr="00EC2B22" w:rsidP="00EC2B22">
      <w:pPr>
        <w:pStyle w:val="Heading1"/>
      </w:pPr>
      <w:bookmarkStart w:id="1" w:name="O_518610"/>
      <w:bookmarkEnd w:id="1"/>
      <w:r w:rsidRPr="00EC2B22">
        <w:t>Modification History</w:t>
      </w:r>
    </w:p>
    <w:p w:rsidR="00C04266" w:rsidP="00EC2B22">
      <w:pPr>
        <w:pStyle w:val="BodyText"/>
      </w:pPr>
      <w:r w:rsidRPr="00EC2B22">
        <w:t>Release 1 - New unit.  Replaces MEM14062A, but not equivalent.</w:t>
      </w:r>
    </w:p>
    <w:p w:rsidR="00C04266" w:rsidP="00EC2B22">
      <w:pPr>
        <w:pStyle w:val="BodyText"/>
      </w:pPr>
    </w:p>
    <w:p w:rsidR="00000000" w:rsidRPr="00EC2B22" w:rsidP="00EC2B22">
      <w:pPr>
        <w:pStyle w:val="Heading1"/>
      </w:pPr>
      <w:bookmarkStart w:id="2" w:name="O_518622"/>
      <w:bookmarkEnd w:id="2"/>
      <w:r w:rsidRPr="00EC2B22">
        <w:t>Unit Descriptor</w:t>
      </w:r>
    </w:p>
    <w:p w:rsidR="00C04266" w:rsidP="00EC2B22">
      <w:pPr>
        <w:pStyle w:val="BodyText"/>
      </w:pPr>
      <w:r w:rsidRPr="00EC2B22">
        <w:t xml:space="preserve">This unit of competency covers the skills needed to undertake a range of mechatronic analyses. The analyses may relate to </w:t>
      </w:r>
      <w:r w:rsidRPr="00EC2B22">
        <w:t>design or contribution to the design of mechatronic devices or automated plant or be for other purposes, including fitness for purpose evaluations, installation and commissioning, system changes or improvements or other mechatronic engineering-related task</w:t>
      </w:r>
      <w:r w:rsidRPr="00EC2B22">
        <w:t xml:space="preserve">s. It includes application of mechanical, fluid, electrical and controller design and analytical techniques. </w:t>
      </w:r>
    </w:p>
    <w:p w:rsidR="00C04266" w:rsidP="00EC2B22">
      <w:pPr>
        <w:pStyle w:val="BodyText"/>
      </w:pPr>
    </w:p>
    <w:p w:rsidR="00000000" w:rsidRPr="00EC2B22" w:rsidP="00EC2B22">
      <w:pPr>
        <w:pStyle w:val="Heading1"/>
      </w:pPr>
      <w:bookmarkStart w:id="3" w:name="O_518621"/>
      <w:bookmarkEnd w:id="3"/>
      <w:r w:rsidRPr="00EC2B22">
        <w:t>Application of the Unit</w:t>
      </w:r>
    </w:p>
    <w:p w:rsidR="00000000" w:rsidRPr="00EC2B22" w:rsidP="00EC2B22">
      <w:pPr>
        <w:pStyle w:val="BodyText"/>
      </w:pPr>
      <w:r w:rsidRPr="00EC2B22">
        <w:t>This unit applies to mechatronic analyses undertaken as part of a mechatronic engineering design or asse</w:t>
      </w:r>
      <w:r w:rsidRPr="00EC2B22">
        <w:t xml:space="preserve">ssment of automated plant or devices for projects, system changes or improvements.  </w:t>
      </w:r>
    </w:p>
    <w:p w:rsidR="00000000" w:rsidRPr="00EC2B22" w:rsidP="00EC2B22">
      <w:pPr>
        <w:pStyle w:val="BodyText"/>
      </w:pPr>
      <w:r w:rsidRPr="00EC2B22">
        <w:t xml:space="preserve">It is suitable for people working as mechatronic or automated system designers and draftspersons and those pursuing careers and qualifications in mechatronic, automation, </w:t>
      </w:r>
      <w:r w:rsidRPr="00EC2B22">
        <w:t xml:space="preserve">maintenance or manufacturing engineering. The work may be undertaken individually or as part of a team.  </w:t>
      </w:r>
    </w:p>
    <w:p w:rsidR="00000000" w:rsidRPr="00EC2B22" w:rsidP="00EC2B22">
      <w:pPr>
        <w:pStyle w:val="AllowPageBreak"/>
      </w:pPr>
    </w:p>
    <w:p w:rsidR="00000000" w:rsidRPr="00EC2B22" w:rsidP="00EC2B22">
      <w:pPr>
        <w:pStyle w:val="Heading1"/>
      </w:pPr>
      <w:bookmarkStart w:id="4" w:name="O_518620"/>
      <w:bookmarkEnd w:id="4"/>
      <w:r w:rsidRPr="00EC2B22">
        <w:t>Licensing/Regulatory Information</w:t>
      </w:r>
    </w:p>
    <w:p w:rsidR="00000000" w:rsidRPr="00EC2B22" w:rsidP="00EC2B22">
      <w:pPr>
        <w:pStyle w:val="BodyText"/>
      </w:pPr>
      <w:r w:rsidRPr="00EC2B22">
        <w:t>Not applicable.</w:t>
      </w:r>
    </w:p>
    <w:p w:rsidR="00000000" w:rsidRPr="00EC2B22" w:rsidP="00EC2B22">
      <w:pPr>
        <w:pStyle w:val="AllowPageBreak"/>
      </w:pPr>
    </w:p>
    <w:p w:rsidR="00000000" w:rsidRPr="00EC2B22" w:rsidP="00EC2B22">
      <w:pPr>
        <w:pStyle w:val="Heading1"/>
      </w:pPr>
      <w:bookmarkStart w:id="5" w:name="O_518619"/>
      <w:bookmarkEnd w:id="5"/>
      <w:r w:rsidRPr="00EC2B22">
        <w:t>Pre-Requisites</w:t>
      </w:r>
    </w:p>
    <w:tbl>
      <w:tblPr>
        <w:tblW w:w="0" w:type="auto"/>
        <w:tblLayout w:type="fixed"/>
        <w:tblCellMar>
          <w:left w:w="62" w:type="dxa"/>
          <w:right w:w="62" w:type="dxa"/>
        </w:tblCellMar>
        <w:tblLook w:val="0000"/>
      </w:tblPr>
      <w:tblGrid>
        <w:gridCol w:w="2726"/>
        <w:gridCol w:w="6382"/>
      </w:tblGrid>
      <w:tr w:rsidTr="00EC2B22">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P="00EC2B22">
            <w:pPr>
              <w:pStyle w:val="BodyText"/>
              <w:rPr>
                <w:lang w:val="en-NZ"/>
              </w:rPr>
            </w:pPr>
            <w:r w:rsidRPr="00EC2B22">
              <w:t>MEM23004A</w:t>
            </w:r>
          </w:p>
        </w:tc>
        <w:tc>
          <w:tcPr>
            <w:tcW w:w="6382" w:type="dxa"/>
            <w:tcBorders>
              <w:top w:val="nil"/>
              <w:left w:val="nil"/>
              <w:bottom w:val="nil"/>
              <w:right w:val="nil"/>
            </w:tcBorders>
            <w:tcMar>
              <w:top w:w="0" w:type="dxa"/>
              <w:left w:w="62" w:type="dxa"/>
              <w:bottom w:w="0" w:type="dxa"/>
              <w:right w:w="62" w:type="dxa"/>
            </w:tcMar>
          </w:tcPr>
          <w:p w:rsidR="00000000" w:rsidP="00EC2B22">
            <w:pPr>
              <w:pStyle w:val="BodyText"/>
              <w:rPr>
                <w:lang w:val="en-NZ"/>
              </w:rPr>
            </w:pPr>
            <w:r w:rsidRPr="00EC2B22">
              <w:t>Apply technical mathematics</w:t>
            </w:r>
          </w:p>
        </w:tc>
      </w:tr>
      <w:tr w:rsidTr="00EC2B22">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P="00EC2B22">
            <w:pPr>
              <w:pStyle w:val="BodyText"/>
              <w:rPr>
                <w:lang w:val="en-NZ"/>
              </w:rPr>
            </w:pPr>
            <w:r w:rsidRPr="00EC2B22">
              <w:t>MEM23111A</w:t>
            </w:r>
          </w:p>
        </w:tc>
        <w:tc>
          <w:tcPr>
            <w:tcW w:w="6382" w:type="dxa"/>
            <w:tcBorders>
              <w:top w:val="nil"/>
              <w:left w:val="nil"/>
              <w:bottom w:val="nil"/>
              <w:right w:val="nil"/>
            </w:tcBorders>
            <w:tcMar>
              <w:top w:w="0" w:type="dxa"/>
              <w:left w:w="62" w:type="dxa"/>
              <w:bottom w:w="0" w:type="dxa"/>
              <w:right w:w="62" w:type="dxa"/>
            </w:tcMar>
          </w:tcPr>
          <w:p w:rsidR="00000000" w:rsidP="00EC2B22">
            <w:pPr>
              <w:pStyle w:val="BodyText"/>
              <w:rPr>
                <w:lang w:val="en-NZ"/>
              </w:rPr>
            </w:pPr>
            <w:r w:rsidRPr="00EC2B22">
              <w:t>Sel</w:t>
            </w:r>
            <w:r w:rsidRPr="00EC2B22">
              <w:t>ect electrical equipment and components for engineering applications</w:t>
            </w:r>
          </w:p>
        </w:tc>
      </w:tr>
      <w:tr w:rsidTr="00EC2B22">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P="00EC2B22">
            <w:pPr>
              <w:pStyle w:val="BodyText"/>
              <w:rPr>
                <w:lang w:val="en-NZ"/>
              </w:rPr>
            </w:pPr>
            <w:r w:rsidRPr="00EC2B22">
              <w:t>MEM23112A</w:t>
            </w:r>
          </w:p>
        </w:tc>
        <w:tc>
          <w:tcPr>
            <w:tcW w:w="6382" w:type="dxa"/>
            <w:tcBorders>
              <w:top w:val="nil"/>
              <w:left w:val="nil"/>
              <w:bottom w:val="nil"/>
              <w:right w:val="nil"/>
            </w:tcBorders>
            <w:tcMar>
              <w:top w:w="0" w:type="dxa"/>
              <w:left w:w="62" w:type="dxa"/>
              <w:bottom w:w="0" w:type="dxa"/>
              <w:right w:w="62" w:type="dxa"/>
            </w:tcMar>
          </w:tcPr>
          <w:p w:rsidR="00000000" w:rsidP="00EC2B22">
            <w:pPr>
              <w:pStyle w:val="BodyText"/>
              <w:rPr>
                <w:lang w:val="en-NZ"/>
              </w:rPr>
            </w:pPr>
            <w:r w:rsidRPr="00EC2B22">
              <w:t>Investigate electrical and electronic controllers in engineering applications</w:t>
            </w:r>
          </w:p>
        </w:tc>
      </w:tr>
      <w:tr w:rsidTr="00EC2B22">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P="00EC2B22">
            <w:pPr>
              <w:pStyle w:val="BodyText"/>
              <w:rPr>
                <w:lang w:val="en-NZ"/>
              </w:rPr>
            </w:pPr>
            <w:r w:rsidRPr="00EC2B22">
              <w:t>MEM14090A</w:t>
            </w:r>
          </w:p>
        </w:tc>
        <w:tc>
          <w:tcPr>
            <w:tcW w:w="6382" w:type="dxa"/>
            <w:tcBorders>
              <w:top w:val="nil"/>
              <w:left w:val="nil"/>
              <w:bottom w:val="nil"/>
              <w:right w:val="nil"/>
            </w:tcBorders>
            <w:tcMar>
              <w:top w:w="0" w:type="dxa"/>
              <w:left w:w="62" w:type="dxa"/>
              <w:bottom w:w="0" w:type="dxa"/>
              <w:right w:w="62" w:type="dxa"/>
            </w:tcMar>
          </w:tcPr>
          <w:p w:rsidR="00000000" w:rsidRPr="00EC2B22" w:rsidP="00EC2B22">
            <w:pPr>
              <w:pStyle w:val="BodyText"/>
            </w:pPr>
            <w:r w:rsidRPr="00EC2B22">
              <w:t xml:space="preserve">Integrate mechatronic fundamentals into an engineering task </w:t>
            </w:r>
          </w:p>
        </w:tc>
      </w:tr>
    </w:tbl>
    <w:p w:rsidR="00000000" w:rsidRPr="00EC2B22" w:rsidP="00EC2B22">
      <w:pPr>
        <w:pStyle w:val="BodyText"/>
      </w:pPr>
    </w:p>
    <w:p w:rsidR="00000000" w:rsidRPr="00EC2B22" w:rsidP="00EC2B22">
      <w:pPr>
        <w:pStyle w:val="AllowPageBreak"/>
      </w:pPr>
    </w:p>
    <w:p w:rsidR="00000000" w:rsidRPr="00EC2B22" w:rsidP="00EC2B22">
      <w:pPr>
        <w:pStyle w:val="Heading1"/>
      </w:pPr>
      <w:bookmarkStart w:id="6" w:name="O_518618"/>
      <w:bookmarkEnd w:id="6"/>
      <w:r w:rsidRPr="00EC2B22">
        <w:t>Employability Skills Information</w:t>
      </w:r>
    </w:p>
    <w:p w:rsidR="00C04266" w:rsidP="00EC2B22">
      <w:pPr>
        <w:pStyle w:val="BodyText"/>
      </w:pPr>
      <w:r w:rsidRPr="00EC2B22">
        <w:t>This unit contains employability skills.</w:t>
      </w:r>
    </w:p>
    <w:p w:rsidR="00C04266" w:rsidP="00EC2B22">
      <w:pPr>
        <w:pStyle w:val="BodyText"/>
      </w:pPr>
    </w:p>
    <w:p w:rsidR="00000000" w:rsidRPr="00EC2B22" w:rsidP="00EC2B22">
      <w:pPr>
        <w:pStyle w:val="Heading1"/>
      </w:pPr>
      <w:bookmarkStart w:id="7" w:name="O_518617"/>
      <w:bookmarkEnd w:id="7"/>
      <w:r w:rsidRPr="00EC2B22">
        <w:t>Elements and Performance Criteria Pre-Content</w:t>
      </w:r>
    </w:p>
    <w:tbl>
      <w:tblPr>
        <w:tblW w:w="0" w:type="auto"/>
        <w:tblCellMar>
          <w:left w:w="62" w:type="dxa"/>
          <w:right w:w="62" w:type="dxa"/>
        </w:tblCellMar>
        <w:tblLook w:val="0000"/>
      </w:tblPr>
      <w:tblGrid>
        <w:gridCol w:w="2576"/>
        <w:gridCol w:w="6620"/>
      </w:tblGrid>
      <w:tr w:rsidTr="00C042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2B22">
            <w:pPr>
              <w:pStyle w:val="BodyText"/>
              <w:rPr>
                <w:lang w:val="en-NZ"/>
              </w:rPr>
            </w:pPr>
            <w:r w:rsidRPr="00EC2B2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EC2B22" w:rsidP="00EC2B22">
            <w:pPr>
              <w:pStyle w:val="BodyText"/>
            </w:pPr>
            <w:r w:rsidRPr="00EC2B22">
              <w:t>Performance criteria describe the performance needed</w:t>
            </w:r>
            <w:r w:rsidRPr="00EC2B22">
              <w:t xml:space="preserve"> to demonstrate achievement of the element. </w:t>
            </w:r>
          </w:p>
        </w:tc>
      </w:tr>
    </w:tbl>
    <w:p w:rsidR="00C04266" w:rsidP="00EC2B22">
      <w:pPr>
        <w:pStyle w:val="BodyText"/>
      </w:pPr>
    </w:p>
    <w:p w:rsidR="00C04266" w:rsidP="00EC2B22">
      <w:pPr>
        <w:pStyle w:val="BodyText"/>
      </w:pPr>
    </w:p>
    <w:p w:rsidR="00000000" w:rsidRPr="00EC2B22" w:rsidP="00EC2B22">
      <w:pPr>
        <w:pStyle w:val="Heading1"/>
      </w:pPr>
      <w:bookmarkStart w:id="8" w:name="O_518616"/>
      <w:bookmarkEnd w:id="8"/>
      <w:r w:rsidRPr="00EC2B2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C2B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C2B22">
            <w:pPr>
              <w:pStyle w:val="BodyText"/>
              <w:rPr>
                <w:lang w:val="en-NZ"/>
              </w:rPr>
            </w:pPr>
            <w:r w:rsidRPr="00EC2B22">
              <w:t>1</w:t>
            </w:r>
          </w:p>
        </w:tc>
        <w:tc>
          <w:tcPr>
            <w:tcW w:w="1962" w:type="dxa"/>
            <w:vMerge w:val="restart"/>
            <w:tcBorders>
              <w:top w:val="nil"/>
              <w:left w:val="nil"/>
              <w:bottom w:val="nil"/>
              <w:right w:val="nil"/>
            </w:tcBorders>
            <w:tcMar>
              <w:top w:w="0" w:type="dxa"/>
              <w:left w:w="62" w:type="dxa"/>
              <w:bottom w:w="0" w:type="dxa"/>
              <w:right w:w="62" w:type="dxa"/>
            </w:tcMar>
          </w:tcPr>
          <w:p w:rsidR="00000000" w:rsidP="00EC2B22">
            <w:pPr>
              <w:pStyle w:val="BodyText"/>
              <w:rPr>
                <w:lang w:val="en-NZ"/>
              </w:rPr>
            </w:pPr>
            <w:r w:rsidRPr="00EC2B22">
              <w:t>Investigate mechatronic analysis context and need</w:t>
            </w:r>
          </w:p>
        </w:tc>
        <w:tc>
          <w:tcPr>
            <w:tcW w:w="770" w:type="dxa"/>
            <w:tcBorders>
              <w:top w:val="nil"/>
              <w:left w:val="nil"/>
              <w:bottom w:val="nil"/>
              <w:right w:val="nil"/>
            </w:tcBorders>
            <w:tcMar>
              <w:top w:w="0" w:type="dxa"/>
              <w:left w:w="62" w:type="dxa"/>
              <w:bottom w:w="0" w:type="dxa"/>
              <w:right w:w="62" w:type="dxa"/>
            </w:tcMar>
          </w:tcPr>
          <w:p w:rsidR="00000000" w:rsidP="00EC2B22">
            <w:pPr>
              <w:pStyle w:val="BodyText"/>
              <w:rPr>
                <w:lang w:val="en-NZ"/>
              </w:rPr>
            </w:pPr>
            <w:r w:rsidRPr="00EC2B22">
              <w:t>1.1</w:t>
            </w:r>
          </w:p>
        </w:tc>
        <w:tc>
          <w:tcPr>
            <w:tcW w:w="5610" w:type="dxa"/>
            <w:tcBorders>
              <w:top w:val="nil"/>
              <w:left w:val="nil"/>
              <w:bottom w:val="nil"/>
              <w:right w:val="nil"/>
            </w:tcBorders>
            <w:tcMar>
              <w:top w:w="0" w:type="dxa"/>
              <w:left w:w="62" w:type="dxa"/>
              <w:bottom w:w="0" w:type="dxa"/>
              <w:right w:w="62" w:type="dxa"/>
            </w:tcMar>
          </w:tcPr>
          <w:p w:rsidR="00000000" w:rsidP="00EC2B22">
            <w:pPr>
              <w:pStyle w:val="BodyText"/>
              <w:rPr>
                <w:lang w:val="en-NZ"/>
              </w:rPr>
            </w:pPr>
            <w:r w:rsidRPr="00EC2B22">
              <w:t>Review the context and negotiate parameters of the engineering design brief in consultation with stakeholders</w:t>
            </w:r>
          </w:p>
        </w:tc>
      </w:tr>
      <w:tr w:rsidTr="00EC2B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2B22">
            <w:pPr>
              <w:pStyle w:val="BodyText"/>
              <w:rPr>
                <w:lang w:val="en-NZ"/>
              </w:rPr>
            </w:pPr>
            <w:r w:rsidRPr="00EC2B22">
              <w:t>1.2</w:t>
            </w:r>
          </w:p>
        </w:tc>
        <w:tc>
          <w:tcPr>
            <w:tcW w:w="5610" w:type="dxa"/>
            <w:tcBorders>
              <w:top w:val="nil"/>
              <w:left w:val="nil"/>
              <w:bottom w:val="nil"/>
              <w:right w:val="nil"/>
            </w:tcBorders>
            <w:tcMar>
              <w:top w:w="0" w:type="dxa"/>
              <w:left w:w="62" w:type="dxa"/>
              <w:bottom w:w="0" w:type="dxa"/>
              <w:right w:w="62" w:type="dxa"/>
            </w:tcMar>
          </w:tcPr>
          <w:p w:rsidR="00000000" w:rsidP="00EC2B22">
            <w:pPr>
              <w:pStyle w:val="BodyText"/>
              <w:rPr>
                <w:lang w:val="en-NZ"/>
              </w:rPr>
            </w:pPr>
            <w:r w:rsidRPr="00EC2B22">
              <w:t xml:space="preserve">Identify relevant engineering scientific principles and required analysis techniques </w:t>
            </w:r>
          </w:p>
        </w:tc>
      </w:tr>
      <w:tr w:rsidTr="00EC2B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2B22">
            <w:pPr>
              <w:pStyle w:val="BodyText"/>
              <w:rPr>
                <w:lang w:val="en-NZ"/>
              </w:rPr>
            </w:pPr>
            <w:r w:rsidRPr="00EC2B22">
              <w:t>1.3</w:t>
            </w:r>
          </w:p>
        </w:tc>
        <w:tc>
          <w:tcPr>
            <w:tcW w:w="5610" w:type="dxa"/>
            <w:tcBorders>
              <w:top w:val="nil"/>
              <w:left w:val="nil"/>
              <w:bottom w:val="nil"/>
              <w:right w:val="nil"/>
            </w:tcBorders>
            <w:tcMar>
              <w:top w:w="0" w:type="dxa"/>
              <w:left w:w="62" w:type="dxa"/>
              <w:bottom w:w="0" w:type="dxa"/>
              <w:right w:w="62" w:type="dxa"/>
            </w:tcMar>
          </w:tcPr>
          <w:p w:rsidR="00000000" w:rsidP="00EC2B22">
            <w:pPr>
              <w:pStyle w:val="BodyText"/>
              <w:rPr>
                <w:lang w:val="en-NZ"/>
              </w:rPr>
            </w:pPr>
            <w:r w:rsidRPr="00EC2B22">
              <w:t>Investigate life cycle design and sustainability implications of mechatronic design or existing mechatronic systems, devices or equipment</w:t>
            </w:r>
          </w:p>
        </w:tc>
      </w:tr>
      <w:tr w:rsidTr="00EC2B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2B22">
            <w:pPr>
              <w:pStyle w:val="BodyText"/>
              <w:rPr>
                <w:lang w:val="en-NZ"/>
              </w:rPr>
            </w:pPr>
            <w:r w:rsidRPr="00EC2B22">
              <w:t>1.4</w:t>
            </w:r>
          </w:p>
        </w:tc>
        <w:tc>
          <w:tcPr>
            <w:tcW w:w="5610" w:type="dxa"/>
            <w:tcBorders>
              <w:top w:val="nil"/>
              <w:left w:val="nil"/>
              <w:bottom w:val="nil"/>
              <w:right w:val="nil"/>
            </w:tcBorders>
            <w:tcMar>
              <w:top w:w="0" w:type="dxa"/>
              <w:left w:w="62" w:type="dxa"/>
              <w:bottom w:w="0" w:type="dxa"/>
              <w:right w:w="62" w:type="dxa"/>
            </w:tcMar>
          </w:tcPr>
          <w:p w:rsidR="00000000" w:rsidP="00EC2B22">
            <w:pPr>
              <w:pStyle w:val="BodyText"/>
              <w:rPr>
                <w:lang w:val="en-NZ"/>
              </w:rPr>
            </w:pPr>
            <w:r w:rsidRPr="00EC2B22">
              <w:t>Determine specification, documentation and graphical techniques required for analysis</w:t>
            </w:r>
          </w:p>
        </w:tc>
      </w:tr>
      <w:tr w:rsidTr="00EC2B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2B22">
            <w:pPr>
              <w:pStyle w:val="BodyText"/>
              <w:rPr>
                <w:lang w:val="en-NZ"/>
              </w:rPr>
            </w:pPr>
            <w:r w:rsidRPr="00EC2B22">
              <w:t>1.5</w:t>
            </w:r>
          </w:p>
        </w:tc>
        <w:tc>
          <w:tcPr>
            <w:tcW w:w="5610" w:type="dxa"/>
            <w:tcBorders>
              <w:top w:val="nil"/>
              <w:left w:val="nil"/>
              <w:bottom w:val="nil"/>
              <w:right w:val="nil"/>
            </w:tcBorders>
            <w:tcMar>
              <w:top w:w="0" w:type="dxa"/>
              <w:left w:w="62" w:type="dxa"/>
              <w:bottom w:w="0" w:type="dxa"/>
              <w:right w:w="62" w:type="dxa"/>
            </w:tcMar>
          </w:tcPr>
          <w:p w:rsidR="00000000" w:rsidP="00EC2B22">
            <w:pPr>
              <w:pStyle w:val="BodyText"/>
              <w:rPr>
                <w:lang w:val="en-NZ"/>
              </w:rPr>
            </w:pPr>
            <w:r w:rsidRPr="00EC2B22">
              <w:t>Confirm work healt</w:t>
            </w:r>
            <w:r w:rsidRPr="00EC2B22">
              <w:t>h and safety (WHS), regulatory requirements, codes of practice, standards, and risk management relevant to mechatronic analysis task</w:t>
            </w:r>
          </w:p>
        </w:tc>
      </w:tr>
      <w:tr w:rsidTr="00EC2B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2B22">
            <w:pPr>
              <w:pStyle w:val="BodyText"/>
              <w:rPr>
                <w:lang w:val="en-NZ"/>
              </w:rPr>
            </w:pPr>
            <w:r w:rsidRPr="00EC2B22">
              <w:t>1.6</w:t>
            </w:r>
          </w:p>
        </w:tc>
        <w:tc>
          <w:tcPr>
            <w:tcW w:w="5610" w:type="dxa"/>
            <w:tcBorders>
              <w:top w:val="nil"/>
              <w:left w:val="nil"/>
              <w:bottom w:val="nil"/>
              <w:right w:val="nil"/>
            </w:tcBorders>
            <w:tcMar>
              <w:top w:w="0" w:type="dxa"/>
              <w:left w:w="62" w:type="dxa"/>
              <w:bottom w:w="0" w:type="dxa"/>
              <w:right w:w="62" w:type="dxa"/>
            </w:tcMar>
          </w:tcPr>
          <w:p w:rsidR="00000000" w:rsidRPr="00EC2B22" w:rsidP="00EC2B22">
            <w:pPr>
              <w:pStyle w:val="BodyText"/>
            </w:pPr>
            <w:r w:rsidRPr="00EC2B22">
              <w:t>Determine available sources for any required technical and professional assistance</w:t>
            </w:r>
          </w:p>
        </w:tc>
      </w:tr>
    </w:tbl>
    <w:p w:rsidR="00000000" w:rsidRPr="00EC2B22" w:rsidP="00EC2B22">
      <w:pPr>
        <w:pStyle w:val="BodyText"/>
      </w:pPr>
    </w:p>
    <w:tbl>
      <w:tblPr>
        <w:tblW w:w="0" w:type="auto"/>
        <w:tblLayout w:type="fixed"/>
        <w:tblCellMar>
          <w:left w:w="62" w:type="dxa"/>
          <w:right w:w="62" w:type="dxa"/>
        </w:tblCellMar>
        <w:tblLook w:val="0000"/>
      </w:tblPr>
      <w:tblGrid>
        <w:gridCol w:w="678"/>
        <w:gridCol w:w="1962"/>
        <w:gridCol w:w="770"/>
        <w:gridCol w:w="5610"/>
      </w:tblGrid>
      <w:tr w:rsidTr="00EC2B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C2B22">
            <w:pPr>
              <w:pStyle w:val="BodyText"/>
              <w:rPr>
                <w:lang w:val="en-NZ"/>
              </w:rPr>
            </w:pPr>
            <w:r w:rsidRPr="00EC2B22">
              <w:t>2</w:t>
            </w:r>
          </w:p>
        </w:tc>
        <w:tc>
          <w:tcPr>
            <w:tcW w:w="1962" w:type="dxa"/>
            <w:vMerge w:val="restart"/>
            <w:tcBorders>
              <w:top w:val="nil"/>
              <w:left w:val="nil"/>
              <w:bottom w:val="nil"/>
              <w:right w:val="nil"/>
            </w:tcBorders>
            <w:tcMar>
              <w:top w:w="0" w:type="dxa"/>
              <w:left w:w="62" w:type="dxa"/>
              <w:bottom w:w="0" w:type="dxa"/>
              <w:right w:w="62" w:type="dxa"/>
            </w:tcMar>
          </w:tcPr>
          <w:p w:rsidR="00000000" w:rsidP="00EC2B22">
            <w:pPr>
              <w:pStyle w:val="BodyText"/>
              <w:rPr>
                <w:lang w:val="en-NZ"/>
              </w:rPr>
            </w:pPr>
            <w:r w:rsidRPr="00EC2B22">
              <w:t>Apply mechatronic analysis techniques</w:t>
            </w:r>
          </w:p>
        </w:tc>
        <w:tc>
          <w:tcPr>
            <w:tcW w:w="770" w:type="dxa"/>
            <w:tcBorders>
              <w:top w:val="nil"/>
              <w:left w:val="nil"/>
              <w:bottom w:val="nil"/>
              <w:right w:val="nil"/>
            </w:tcBorders>
            <w:tcMar>
              <w:top w:w="0" w:type="dxa"/>
              <w:left w:w="62" w:type="dxa"/>
              <w:bottom w:w="0" w:type="dxa"/>
              <w:right w:w="62" w:type="dxa"/>
            </w:tcMar>
          </w:tcPr>
          <w:p w:rsidR="00000000" w:rsidP="00EC2B22">
            <w:pPr>
              <w:pStyle w:val="BodyText"/>
              <w:rPr>
                <w:lang w:val="en-NZ"/>
              </w:rPr>
            </w:pPr>
            <w:r w:rsidRPr="00EC2B22">
              <w:t>2.1</w:t>
            </w:r>
          </w:p>
        </w:tc>
        <w:tc>
          <w:tcPr>
            <w:tcW w:w="5610" w:type="dxa"/>
            <w:tcBorders>
              <w:top w:val="nil"/>
              <w:left w:val="nil"/>
              <w:bottom w:val="nil"/>
              <w:right w:val="nil"/>
            </w:tcBorders>
            <w:tcMar>
              <w:top w:w="0" w:type="dxa"/>
              <w:left w:w="62" w:type="dxa"/>
              <w:bottom w:w="0" w:type="dxa"/>
              <w:right w:w="62" w:type="dxa"/>
            </w:tcMar>
          </w:tcPr>
          <w:p w:rsidR="00000000" w:rsidP="00EC2B22">
            <w:pPr>
              <w:pStyle w:val="BodyText"/>
              <w:rPr>
                <w:lang w:val="en-NZ"/>
              </w:rPr>
            </w:pPr>
            <w:r w:rsidRPr="00EC2B22">
              <w:t>Plan, schedule and coordinate the analysis task</w:t>
            </w:r>
          </w:p>
        </w:tc>
      </w:tr>
      <w:tr w:rsidTr="00EC2B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2B22">
            <w:pPr>
              <w:pStyle w:val="BodyText"/>
              <w:rPr>
                <w:lang w:val="en-NZ"/>
              </w:rPr>
            </w:pPr>
            <w:r w:rsidRPr="00EC2B22">
              <w:t>2.2</w:t>
            </w:r>
          </w:p>
        </w:tc>
        <w:tc>
          <w:tcPr>
            <w:tcW w:w="5610" w:type="dxa"/>
            <w:tcBorders>
              <w:top w:val="nil"/>
              <w:left w:val="nil"/>
              <w:bottom w:val="nil"/>
              <w:right w:val="nil"/>
            </w:tcBorders>
            <w:tcMar>
              <w:top w:w="0" w:type="dxa"/>
              <w:left w:w="62" w:type="dxa"/>
              <w:bottom w:w="0" w:type="dxa"/>
              <w:right w:w="62" w:type="dxa"/>
            </w:tcMar>
          </w:tcPr>
          <w:p w:rsidR="00000000" w:rsidP="00EC2B22">
            <w:pPr>
              <w:pStyle w:val="BodyText"/>
              <w:rPr>
                <w:lang w:val="en-NZ"/>
              </w:rPr>
            </w:pPr>
            <w:r w:rsidRPr="00EC2B22">
              <w:t>Create adequate and accurate calculations, preliminary graphics and maintain design process records</w:t>
            </w:r>
          </w:p>
        </w:tc>
      </w:tr>
      <w:tr w:rsidTr="00EC2B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2B22">
            <w:pPr>
              <w:pStyle w:val="BodyText"/>
              <w:rPr>
                <w:lang w:val="en-NZ"/>
              </w:rPr>
            </w:pPr>
            <w:r w:rsidRPr="00EC2B22">
              <w:t>2.3</w:t>
            </w:r>
          </w:p>
        </w:tc>
        <w:tc>
          <w:tcPr>
            <w:tcW w:w="5610" w:type="dxa"/>
            <w:tcBorders>
              <w:top w:val="nil"/>
              <w:left w:val="nil"/>
              <w:bottom w:val="nil"/>
              <w:right w:val="nil"/>
            </w:tcBorders>
            <w:tcMar>
              <w:top w:w="0" w:type="dxa"/>
              <w:left w:w="62" w:type="dxa"/>
              <w:bottom w:w="0" w:type="dxa"/>
              <w:right w:w="62" w:type="dxa"/>
            </w:tcMar>
          </w:tcPr>
          <w:p w:rsidR="00000000" w:rsidP="00EC2B22">
            <w:pPr>
              <w:pStyle w:val="BodyText"/>
              <w:rPr>
                <w:lang w:val="en-NZ"/>
              </w:rPr>
            </w:pPr>
            <w:r w:rsidRPr="00EC2B22">
              <w:t>Evaluate multiple solutions against analysis criteri</w:t>
            </w:r>
            <w:r w:rsidRPr="00EC2B22">
              <w:t>a</w:t>
            </w:r>
          </w:p>
        </w:tc>
      </w:tr>
      <w:tr w:rsidTr="00EC2B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2B22">
            <w:pPr>
              <w:pStyle w:val="BodyText"/>
              <w:rPr>
                <w:lang w:val="en-NZ"/>
              </w:rPr>
            </w:pPr>
            <w:r w:rsidRPr="00EC2B22">
              <w:t>2.4</w:t>
            </w:r>
          </w:p>
        </w:tc>
        <w:tc>
          <w:tcPr>
            <w:tcW w:w="5610" w:type="dxa"/>
            <w:tcBorders>
              <w:top w:val="nil"/>
              <w:left w:val="nil"/>
              <w:bottom w:val="nil"/>
              <w:right w:val="nil"/>
            </w:tcBorders>
            <w:tcMar>
              <w:top w:w="0" w:type="dxa"/>
              <w:left w:w="62" w:type="dxa"/>
              <w:bottom w:w="0" w:type="dxa"/>
              <w:right w:w="62" w:type="dxa"/>
            </w:tcMar>
          </w:tcPr>
          <w:p w:rsidR="00000000" w:rsidP="00EC2B22">
            <w:pPr>
              <w:pStyle w:val="BodyText"/>
              <w:rPr>
                <w:lang w:val="en-NZ"/>
              </w:rPr>
            </w:pPr>
            <w:r w:rsidRPr="00EC2B22">
              <w:t>Integrate mechatronic techniques, hardware and software, including mechanical, fluid, electrical, electronic, controller and networking</w:t>
            </w:r>
          </w:p>
        </w:tc>
      </w:tr>
      <w:tr w:rsidTr="00EC2B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2B22">
            <w:pPr>
              <w:pStyle w:val="BodyText"/>
              <w:rPr>
                <w:lang w:val="en-NZ"/>
              </w:rPr>
            </w:pPr>
            <w:r w:rsidRPr="00EC2B22">
              <w:t>2.5</w:t>
            </w:r>
          </w:p>
        </w:tc>
        <w:tc>
          <w:tcPr>
            <w:tcW w:w="5610" w:type="dxa"/>
            <w:tcBorders>
              <w:top w:val="nil"/>
              <w:left w:val="nil"/>
              <w:bottom w:val="nil"/>
              <w:right w:val="nil"/>
            </w:tcBorders>
            <w:tcMar>
              <w:top w:w="0" w:type="dxa"/>
              <w:left w:w="62" w:type="dxa"/>
              <w:bottom w:w="0" w:type="dxa"/>
              <w:right w:w="62" w:type="dxa"/>
            </w:tcMar>
          </w:tcPr>
          <w:p w:rsidR="00000000" w:rsidP="00EC2B22">
            <w:pPr>
              <w:pStyle w:val="BodyText"/>
              <w:rPr>
                <w:lang w:val="en-NZ"/>
              </w:rPr>
            </w:pPr>
            <w:r w:rsidRPr="00EC2B22">
              <w:t xml:space="preserve">Apply systems thinking, problem solving and decision making </w:t>
            </w:r>
          </w:p>
        </w:tc>
      </w:tr>
      <w:tr w:rsidTr="00EC2B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2B22">
            <w:pPr>
              <w:pStyle w:val="BodyText"/>
              <w:rPr>
                <w:lang w:val="en-NZ"/>
              </w:rPr>
            </w:pPr>
            <w:r w:rsidRPr="00EC2B22">
              <w:t>2.6</w:t>
            </w:r>
          </w:p>
        </w:tc>
        <w:tc>
          <w:tcPr>
            <w:tcW w:w="5610" w:type="dxa"/>
            <w:tcBorders>
              <w:top w:val="nil"/>
              <w:left w:val="nil"/>
              <w:bottom w:val="nil"/>
              <w:right w:val="nil"/>
            </w:tcBorders>
            <w:tcMar>
              <w:top w:w="0" w:type="dxa"/>
              <w:left w:w="62" w:type="dxa"/>
              <w:bottom w:w="0" w:type="dxa"/>
              <w:right w:w="62" w:type="dxa"/>
            </w:tcMar>
          </w:tcPr>
          <w:p w:rsidR="00000000" w:rsidP="00EC2B22">
            <w:pPr>
              <w:pStyle w:val="BodyText"/>
              <w:rPr>
                <w:lang w:val="en-NZ"/>
              </w:rPr>
            </w:pPr>
            <w:r w:rsidRPr="00EC2B22">
              <w:t>Incorporate professional and techn</w:t>
            </w:r>
            <w:r w:rsidRPr="00EC2B22">
              <w:t>ical assistance, as required</w:t>
            </w:r>
          </w:p>
        </w:tc>
      </w:tr>
      <w:tr w:rsidTr="00EC2B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2B22">
            <w:pPr>
              <w:pStyle w:val="BodyText"/>
              <w:rPr>
                <w:lang w:val="en-NZ"/>
              </w:rPr>
            </w:pPr>
            <w:r w:rsidRPr="00EC2B22">
              <w:t>2.7</w:t>
            </w:r>
          </w:p>
        </w:tc>
        <w:tc>
          <w:tcPr>
            <w:tcW w:w="5610" w:type="dxa"/>
            <w:tcBorders>
              <w:top w:val="nil"/>
              <w:left w:val="nil"/>
              <w:bottom w:val="nil"/>
              <w:right w:val="nil"/>
            </w:tcBorders>
            <w:tcMar>
              <w:top w:w="0" w:type="dxa"/>
              <w:left w:w="62" w:type="dxa"/>
              <w:bottom w:w="0" w:type="dxa"/>
              <w:right w:w="62" w:type="dxa"/>
            </w:tcMar>
          </w:tcPr>
          <w:p w:rsidR="00000000" w:rsidRPr="00EC2B22" w:rsidP="00EC2B22">
            <w:pPr>
              <w:pStyle w:val="BodyText"/>
            </w:pPr>
            <w:r w:rsidRPr="00EC2B22">
              <w:t xml:space="preserve">Apply specification, documentation and graphical techniques modelling, mock-up or prototyping techniques, where required, to achieve or test solution </w:t>
            </w:r>
          </w:p>
        </w:tc>
      </w:tr>
    </w:tbl>
    <w:p w:rsidR="00000000" w:rsidRPr="00EC2B22" w:rsidP="00EC2B22">
      <w:pPr>
        <w:pStyle w:val="BodyText"/>
      </w:pPr>
    </w:p>
    <w:tbl>
      <w:tblPr>
        <w:tblW w:w="0" w:type="auto"/>
        <w:tblLayout w:type="fixed"/>
        <w:tblCellMar>
          <w:left w:w="62" w:type="dxa"/>
          <w:right w:w="62" w:type="dxa"/>
        </w:tblCellMar>
        <w:tblLook w:val="0000"/>
      </w:tblPr>
      <w:tblGrid>
        <w:gridCol w:w="678"/>
        <w:gridCol w:w="1962"/>
        <w:gridCol w:w="770"/>
        <w:gridCol w:w="5610"/>
      </w:tblGrid>
      <w:tr w:rsidTr="00EC2B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C2B22">
            <w:pPr>
              <w:pStyle w:val="BodyText"/>
              <w:rPr>
                <w:lang w:val="en-NZ"/>
              </w:rPr>
            </w:pPr>
            <w:r w:rsidRPr="00EC2B22">
              <w:t>3</w:t>
            </w:r>
          </w:p>
        </w:tc>
        <w:tc>
          <w:tcPr>
            <w:tcW w:w="1962" w:type="dxa"/>
            <w:vMerge w:val="restart"/>
            <w:tcBorders>
              <w:top w:val="nil"/>
              <w:left w:val="nil"/>
              <w:bottom w:val="nil"/>
              <w:right w:val="nil"/>
            </w:tcBorders>
            <w:tcMar>
              <w:top w:w="0" w:type="dxa"/>
              <w:left w:w="62" w:type="dxa"/>
              <w:bottom w:w="0" w:type="dxa"/>
              <w:right w:w="62" w:type="dxa"/>
            </w:tcMar>
          </w:tcPr>
          <w:p w:rsidR="00000000" w:rsidP="00EC2B22">
            <w:pPr>
              <w:pStyle w:val="BodyText"/>
              <w:rPr>
                <w:lang w:val="en-NZ"/>
              </w:rPr>
            </w:pPr>
            <w:r w:rsidRPr="00EC2B22">
              <w:t>Report results</w:t>
            </w:r>
          </w:p>
        </w:tc>
        <w:tc>
          <w:tcPr>
            <w:tcW w:w="770" w:type="dxa"/>
            <w:tcBorders>
              <w:top w:val="nil"/>
              <w:left w:val="nil"/>
              <w:bottom w:val="nil"/>
              <w:right w:val="nil"/>
            </w:tcBorders>
            <w:tcMar>
              <w:top w:w="0" w:type="dxa"/>
              <w:left w:w="62" w:type="dxa"/>
              <w:bottom w:w="0" w:type="dxa"/>
              <w:right w:w="62" w:type="dxa"/>
            </w:tcMar>
          </w:tcPr>
          <w:p w:rsidR="00000000" w:rsidP="00EC2B22">
            <w:pPr>
              <w:pStyle w:val="BodyText"/>
              <w:rPr>
                <w:lang w:val="en-NZ"/>
              </w:rPr>
            </w:pPr>
            <w:r w:rsidRPr="00EC2B22">
              <w:t>3.1</w:t>
            </w:r>
          </w:p>
        </w:tc>
        <w:tc>
          <w:tcPr>
            <w:tcW w:w="5610" w:type="dxa"/>
            <w:tcBorders>
              <w:top w:val="nil"/>
              <w:left w:val="nil"/>
              <w:bottom w:val="nil"/>
              <w:right w:val="nil"/>
            </w:tcBorders>
            <w:tcMar>
              <w:top w:w="0" w:type="dxa"/>
              <w:left w:w="62" w:type="dxa"/>
              <w:bottom w:w="0" w:type="dxa"/>
              <w:right w:w="62" w:type="dxa"/>
            </w:tcMar>
          </w:tcPr>
          <w:p w:rsidR="00000000" w:rsidP="00EC2B22">
            <w:pPr>
              <w:pStyle w:val="BodyText"/>
              <w:rPr>
                <w:lang w:val="en-NZ"/>
              </w:rPr>
            </w:pPr>
            <w:r w:rsidRPr="00EC2B22">
              <w:t>Record results of analysis</w:t>
            </w:r>
          </w:p>
        </w:tc>
      </w:tr>
      <w:tr w:rsidTr="00EC2B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2B22">
            <w:pPr>
              <w:pStyle w:val="BodyText"/>
              <w:rPr>
                <w:lang w:val="en-NZ"/>
              </w:rPr>
            </w:pPr>
            <w:r w:rsidRPr="00EC2B22">
              <w:t>3.2</w:t>
            </w:r>
          </w:p>
        </w:tc>
        <w:tc>
          <w:tcPr>
            <w:tcW w:w="5610" w:type="dxa"/>
            <w:tcBorders>
              <w:top w:val="nil"/>
              <w:left w:val="nil"/>
              <w:bottom w:val="nil"/>
              <w:right w:val="nil"/>
            </w:tcBorders>
            <w:tcMar>
              <w:top w:w="0" w:type="dxa"/>
              <w:left w:w="62" w:type="dxa"/>
              <w:bottom w:w="0" w:type="dxa"/>
              <w:right w:w="62" w:type="dxa"/>
            </w:tcMar>
          </w:tcPr>
          <w:p w:rsidR="00000000" w:rsidRPr="00EC2B22" w:rsidP="00EC2B22">
            <w:pPr>
              <w:pStyle w:val="BodyText"/>
            </w:pPr>
            <w:r w:rsidRPr="00EC2B22">
              <w:t>Provide documentation such as calculations, specifications, diagrams, computer-aided design (CAD) files, control circuits and controller programs, mock-ups or prototypes</w:t>
            </w:r>
          </w:p>
        </w:tc>
      </w:tr>
    </w:tbl>
    <w:p w:rsidR="00C04266" w:rsidP="00EC2B22">
      <w:pPr>
        <w:pStyle w:val="BodyText"/>
      </w:pPr>
    </w:p>
    <w:p w:rsidR="00C04266" w:rsidP="00EC2B22">
      <w:pPr>
        <w:pStyle w:val="BodyText"/>
      </w:pPr>
    </w:p>
    <w:p w:rsidR="00000000" w:rsidRPr="00EC2B22" w:rsidP="00EC2B22">
      <w:pPr>
        <w:pStyle w:val="Heading1"/>
      </w:pPr>
      <w:bookmarkStart w:id="9" w:name="O_518615"/>
      <w:bookmarkEnd w:id="9"/>
      <w:r w:rsidRPr="00EC2B22">
        <w:t>Required Skills and Knowledge</w:t>
      </w:r>
    </w:p>
    <w:tbl>
      <w:tblPr>
        <w:tblW w:w="0" w:type="auto"/>
        <w:tblCellMar>
          <w:left w:w="62" w:type="dxa"/>
          <w:right w:w="62" w:type="dxa"/>
        </w:tblCellMar>
        <w:tblLook w:val="0000"/>
      </w:tblPr>
      <w:tblGrid>
        <w:gridCol w:w="9196"/>
      </w:tblGrid>
      <w:tr w:rsidTr="00C042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2B22">
            <w:pPr>
              <w:pStyle w:val="BodyText"/>
              <w:rPr>
                <w:lang w:val="en-NZ"/>
              </w:rPr>
            </w:pPr>
            <w:r w:rsidRPr="00EC2B22">
              <w:t>This section describes the skills and knowledge required for this unit.</w:t>
            </w:r>
          </w:p>
        </w:tc>
      </w:tr>
      <w:tr w:rsidTr="00C042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2B22">
            <w:pPr>
              <w:pStyle w:val="BodyText"/>
              <w:rPr>
                <w:lang w:val="en-NZ"/>
              </w:rPr>
            </w:pPr>
            <w:r w:rsidRPr="00EC2B22">
              <w:rPr>
                <w:rStyle w:val="SpecialBold"/>
              </w:rPr>
              <w:t>Required skills</w:t>
            </w:r>
          </w:p>
        </w:tc>
      </w:tr>
      <w:tr w:rsidTr="00C04266">
        <w:tblPrEx>
          <w:tblW w:w="0" w:type="auto"/>
          <w:tblCellMar>
            <w:left w:w="62" w:type="dxa"/>
            <w:right w:w="62" w:type="dxa"/>
          </w:tblCellMar>
          <w:tblLook w:val="0000"/>
        </w:tblPrEx>
        <w:trPr>
          <w:trHeight w:val="1050"/>
        </w:trPr>
        <w:tc>
          <w:tcPr>
            <w:tcW w:w="0" w:type="auto"/>
            <w:tcBorders>
              <w:top w:val="nil"/>
              <w:left w:val="nil"/>
              <w:bottom w:val="nil"/>
              <w:right w:val="nil"/>
            </w:tcBorders>
            <w:tcMar>
              <w:top w:w="0" w:type="dxa"/>
              <w:left w:w="62" w:type="dxa"/>
              <w:bottom w:w="0" w:type="dxa"/>
              <w:right w:w="62" w:type="dxa"/>
            </w:tcMar>
          </w:tcPr>
          <w:p w:rsidR="00000000" w:rsidRPr="00EC2B22" w:rsidP="00EC2B22">
            <w:pPr>
              <w:pStyle w:val="BodyText"/>
            </w:pPr>
            <w:r w:rsidRPr="00EC2B22">
              <w:t>Required skills include:</w:t>
            </w:r>
          </w:p>
          <w:p w:rsidR="00000000" w:rsidRPr="00EC2B22" w:rsidP="00EC2B22">
            <w:pPr>
              <w:pStyle w:val="ListBullet"/>
            </w:pPr>
            <w:r w:rsidRPr="00EC2B22">
              <w:t>communicating and negotiating with stakeholders and team</w:t>
            </w:r>
          </w:p>
          <w:p w:rsidR="00000000" w:rsidRPr="00EC2B22" w:rsidP="00EC2B22">
            <w:pPr>
              <w:pStyle w:val="ListBullet"/>
            </w:pPr>
            <w:r w:rsidRPr="00EC2B22">
              <w:t>determining or confirming relevance of mechatronic scientific principles and analys</w:t>
            </w:r>
            <w:r w:rsidRPr="00EC2B22">
              <w:t>is techniques, including principles of:</w:t>
            </w:r>
          </w:p>
          <w:p w:rsidR="00000000" w:rsidRPr="00EC2B22" w:rsidP="00EC2B22">
            <w:pPr>
              <w:pStyle w:val="ListBullet2"/>
            </w:pPr>
            <w:r w:rsidRPr="00EC2B22">
              <w:t>mechanical</w:t>
            </w:r>
          </w:p>
          <w:p w:rsidR="00000000" w:rsidRPr="00EC2B22" w:rsidP="00EC2B22">
            <w:pPr>
              <w:pStyle w:val="ListBullet2"/>
            </w:pPr>
            <w:r w:rsidRPr="00EC2B22">
              <w:t>fluid power</w:t>
            </w:r>
          </w:p>
          <w:p w:rsidR="00000000" w:rsidRPr="00EC2B22" w:rsidP="00EC2B22">
            <w:pPr>
              <w:pStyle w:val="ListBullet2"/>
            </w:pPr>
            <w:r w:rsidRPr="00EC2B22">
              <w:t>fluid dynamics</w:t>
            </w:r>
          </w:p>
          <w:p w:rsidR="00000000" w:rsidRPr="00EC2B22" w:rsidP="00EC2B22">
            <w:pPr>
              <w:pStyle w:val="ListBullet2"/>
            </w:pPr>
            <w:r w:rsidRPr="00EC2B22">
              <w:t>thermodynamics</w:t>
            </w:r>
          </w:p>
          <w:p w:rsidR="00000000" w:rsidRPr="00EC2B22" w:rsidP="00EC2B22">
            <w:pPr>
              <w:pStyle w:val="ListBullet2"/>
            </w:pPr>
            <w:r w:rsidRPr="00EC2B22">
              <w:t>electrical and electronic fundamentals</w:t>
            </w:r>
          </w:p>
          <w:p w:rsidR="00000000" w:rsidRPr="00EC2B22" w:rsidP="00EC2B22">
            <w:pPr>
              <w:pStyle w:val="ListBullet2"/>
            </w:pPr>
            <w:r w:rsidRPr="00EC2B22">
              <w:t>controller and system control and data acquisition (SCADA) or distributed control systems (DCS) programming</w:t>
            </w:r>
          </w:p>
          <w:p w:rsidR="00000000" w:rsidRPr="00EC2B22" w:rsidP="00EC2B22">
            <w:pPr>
              <w:pStyle w:val="ListBullet2"/>
            </w:pPr>
            <w:r w:rsidRPr="00EC2B22">
              <w:t>engineering materials, properties and processes</w:t>
            </w:r>
          </w:p>
          <w:p w:rsidR="00000000" w:rsidRPr="00EC2B22" w:rsidP="00EC2B22">
            <w:pPr>
              <w:pStyle w:val="ListBullet2"/>
            </w:pPr>
            <w:r w:rsidRPr="00EC2B22">
              <w:t>techniques for integration of mechanical, fluid, electrical, electronic, controller and networking elements</w:t>
            </w:r>
          </w:p>
          <w:p w:rsidR="00000000" w:rsidRPr="00EC2B22" w:rsidP="00EC2B22">
            <w:pPr>
              <w:pStyle w:val="ListBullet"/>
            </w:pPr>
            <w:r w:rsidRPr="00EC2B22">
              <w:t>evaluating relevance of WHS, and regulatory requirements, standards and codes of practice</w:t>
            </w:r>
          </w:p>
          <w:p w:rsidR="00000000" w:rsidRPr="00EC2B22" w:rsidP="00EC2B22">
            <w:pPr>
              <w:pStyle w:val="ListBullet"/>
            </w:pPr>
            <w:r w:rsidRPr="00EC2B22">
              <w:t>evaluatin</w:t>
            </w:r>
            <w:r w:rsidRPr="00EC2B22">
              <w:t>g multiple solutions against design criteria, risk, sustainability and cost factors</w:t>
            </w:r>
          </w:p>
          <w:p w:rsidR="00000000" w:rsidRPr="00EC2B22" w:rsidP="00EC2B22">
            <w:pPr>
              <w:pStyle w:val="ListBullet"/>
            </w:pPr>
            <w:r w:rsidRPr="00EC2B22">
              <w:t>applying life cycle design and sustainability parameters to analysis task</w:t>
            </w:r>
          </w:p>
          <w:p w:rsidR="00000000" w:rsidRPr="00EC2B22" w:rsidP="00EC2B22">
            <w:pPr>
              <w:pStyle w:val="ListBullet"/>
            </w:pPr>
            <w:r w:rsidRPr="00EC2B22">
              <w:t>planning, scheduling and coordinating the mechatronic analysis task</w:t>
            </w:r>
          </w:p>
          <w:p w:rsidR="00000000" w:rsidRPr="00EC2B22" w:rsidP="00EC2B22">
            <w:pPr>
              <w:pStyle w:val="ListBullet"/>
            </w:pPr>
            <w:r w:rsidRPr="00EC2B22">
              <w:t>solving problems and making de</w:t>
            </w:r>
            <w:r w:rsidRPr="00EC2B22">
              <w:t xml:space="preserve">cisions with systems thinking approach for contingencies and constraints, and continuous improvement </w:t>
            </w:r>
          </w:p>
          <w:p w:rsidR="00000000" w:rsidRPr="00EC2B22" w:rsidP="00EC2B22">
            <w:pPr>
              <w:pStyle w:val="ListBullet"/>
            </w:pPr>
            <w:r w:rsidRPr="00EC2B22">
              <w:t>integration of hardware and software and mechatronic techniques, such as mechanical, fluid, electrical, electronic, controller and networking</w:t>
            </w:r>
          </w:p>
          <w:p w:rsidR="00000000" w:rsidRPr="00EC2B22" w:rsidP="00EC2B22">
            <w:pPr>
              <w:pStyle w:val="ListBullet"/>
            </w:pPr>
            <w:r w:rsidRPr="00EC2B22">
              <w:t>specifying, documenting and applying graphical techniques, including modelling</w:t>
            </w:r>
          </w:p>
          <w:p w:rsidR="00000000" w:rsidRPr="00EC2B22" w:rsidP="00EC2B22">
            <w:pPr>
              <w:pStyle w:val="ListBullet"/>
            </w:pPr>
            <w:r w:rsidRPr="00EC2B22">
              <w:t>undertaking or supervising mock-up or prototyping techniques, where required, to achieve solution</w:t>
            </w:r>
          </w:p>
          <w:p w:rsidR="00000000" w:rsidRPr="00EC2B22" w:rsidP="00EC2B22">
            <w:pPr>
              <w:pStyle w:val="ListBullet"/>
            </w:pPr>
            <w:r w:rsidRPr="00EC2B22">
              <w:t>creating and maintaining adequate and accurate calculations and analysis proces</w:t>
            </w:r>
            <w:r w:rsidRPr="00EC2B22">
              <w:t>s records</w:t>
            </w:r>
          </w:p>
          <w:p w:rsidR="00000000" w:rsidP="00EC2B22">
            <w:pPr>
              <w:pStyle w:val="ListBullet"/>
              <w:rPr>
                <w:lang w:val="en-NZ"/>
              </w:rPr>
            </w:pPr>
            <w:r w:rsidRPr="00EC2B22">
              <w:t>reporting and documenting, results of investigations, application of principles and techniques, calculations, specifications, diagrams, CAD files, mock-ups or prototypes of designs</w:t>
            </w:r>
          </w:p>
        </w:tc>
      </w:tr>
      <w:tr w:rsidTr="00C042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2B22" w:rsidP="00EC2B22">
            <w:pPr>
              <w:pStyle w:val="BodyText"/>
            </w:pPr>
          </w:p>
          <w:p w:rsidR="00000000" w:rsidP="00EC2B22">
            <w:pPr>
              <w:pStyle w:val="BodyText"/>
              <w:rPr>
                <w:lang w:val="en-NZ"/>
              </w:rPr>
            </w:pPr>
            <w:r w:rsidRPr="00EC2B22">
              <w:rPr>
                <w:rStyle w:val="SpecialBold"/>
              </w:rPr>
              <w:t>Required knowledge</w:t>
            </w:r>
          </w:p>
        </w:tc>
      </w:tr>
      <w:tr w:rsidTr="00C04266">
        <w:tblPrEx>
          <w:tblW w:w="0" w:type="auto"/>
          <w:tblCellMar>
            <w:left w:w="62" w:type="dxa"/>
            <w:right w:w="62" w:type="dxa"/>
          </w:tblCellMar>
          <w:tblLook w:val="0000"/>
        </w:tblPrEx>
        <w:trPr>
          <w:trHeight w:val="392"/>
        </w:trPr>
        <w:tc>
          <w:tcPr>
            <w:tcW w:w="0" w:type="auto"/>
            <w:tcBorders>
              <w:top w:val="nil"/>
              <w:left w:val="nil"/>
              <w:bottom w:val="nil"/>
              <w:right w:val="nil"/>
            </w:tcBorders>
            <w:tcMar>
              <w:top w:w="0" w:type="dxa"/>
              <w:left w:w="62" w:type="dxa"/>
              <w:bottom w:w="0" w:type="dxa"/>
              <w:right w:w="62" w:type="dxa"/>
            </w:tcMar>
          </w:tcPr>
          <w:p w:rsidR="00000000" w:rsidRPr="00EC2B22" w:rsidP="00EC2B22">
            <w:pPr>
              <w:pStyle w:val="BodyText"/>
            </w:pPr>
            <w:r w:rsidRPr="00EC2B22">
              <w:t>Required knowledge includes:</w:t>
            </w:r>
          </w:p>
          <w:p w:rsidR="00000000" w:rsidRPr="00EC2B22" w:rsidP="00EC2B22">
            <w:pPr>
              <w:pStyle w:val="ListBullet"/>
            </w:pPr>
            <w:r w:rsidRPr="00EC2B22">
              <w:t xml:space="preserve">implications </w:t>
            </w:r>
            <w:r w:rsidRPr="00EC2B22">
              <w:t>of life cycle design, fitness for purpose evaluation and sustainability for mechatronic analysis process</w:t>
            </w:r>
          </w:p>
          <w:p w:rsidR="00000000" w:rsidRPr="00EC2B22" w:rsidP="00EC2B22">
            <w:pPr>
              <w:pStyle w:val="ListBullet"/>
            </w:pPr>
            <w:r w:rsidRPr="00EC2B22">
              <w:t>mechatronic analysis processes and techniques to investigate, synthesise and develop proposals, evaluate feasibility against design criteria, and review and revise in consultation with stakeholders, team or support functional group</w:t>
            </w:r>
          </w:p>
          <w:p w:rsidR="00000000" w:rsidRPr="00EC2B22" w:rsidP="00EC2B22">
            <w:pPr>
              <w:pStyle w:val="ListBullet"/>
            </w:pPr>
            <w:r w:rsidRPr="00EC2B22">
              <w:t>common model, mock-up an</w:t>
            </w:r>
            <w:r w:rsidRPr="00EC2B22">
              <w:t>d prototyping techniques relevant to mechatronic engineering</w:t>
            </w:r>
          </w:p>
          <w:p w:rsidR="00000000" w:rsidRPr="00EC2B22" w:rsidP="00EC2B22">
            <w:pPr>
              <w:pStyle w:val="ListBullet"/>
            </w:pPr>
            <w:r w:rsidRPr="00EC2B22">
              <w:t>systems thinking, problem solving and decision making, and continuous improvement methods</w:t>
            </w:r>
          </w:p>
          <w:p w:rsidR="00000000" w:rsidRPr="00EC2B22" w:rsidP="00EC2B22">
            <w:pPr>
              <w:pStyle w:val="ListBullet"/>
            </w:pPr>
            <w:r w:rsidRPr="00EC2B22">
              <w:t>WHS and regulatory requirements, codes of practice, standards, risk management and registration requireme</w:t>
            </w:r>
            <w:r w:rsidRPr="00EC2B22">
              <w:t>nts with particular emphasis on automation safety requirements</w:t>
            </w:r>
          </w:p>
          <w:p w:rsidR="00000000" w:rsidRPr="00EC2B22" w:rsidP="00EC2B22">
            <w:pPr>
              <w:pStyle w:val="ListBullet"/>
            </w:pPr>
            <w:r w:rsidRPr="00EC2B22">
              <w:t xml:space="preserve">sources of professional and technical assistance </w:t>
            </w:r>
          </w:p>
          <w:p w:rsidR="00000000" w:rsidRPr="00EC2B22" w:rsidP="00EC2B22">
            <w:pPr>
              <w:pStyle w:val="ListBullet"/>
            </w:pPr>
            <w:r w:rsidRPr="00EC2B22">
              <w:t>procedures for planning, scheduling and coordination of analysis</w:t>
            </w:r>
          </w:p>
          <w:p w:rsidR="00000000" w:rsidRPr="00EC2B22" w:rsidP="00EC2B22">
            <w:pPr>
              <w:pStyle w:val="ListBullet"/>
            </w:pPr>
            <w:r w:rsidRPr="00EC2B22">
              <w:t xml:space="preserve">hardware requirements of typical mechatronic or automation applications </w:t>
            </w:r>
          </w:p>
          <w:p w:rsidR="00000000" w:rsidRPr="00EC2B22" w:rsidP="00EC2B22">
            <w:pPr>
              <w:pStyle w:val="ListBullet"/>
            </w:pPr>
            <w:r w:rsidRPr="00EC2B22">
              <w:t>engin</w:t>
            </w:r>
            <w:r w:rsidRPr="00EC2B22">
              <w:t>eering mechatronic scientific principles and techniques required for analysis tasks:</w:t>
            </w:r>
          </w:p>
          <w:p w:rsidR="00000000" w:rsidRPr="00EC2B22" w:rsidP="00EC2B22">
            <w:pPr>
              <w:pStyle w:val="ListBullet2"/>
            </w:pPr>
            <w:r w:rsidRPr="00EC2B22">
              <w:t>mechanical</w:t>
            </w:r>
          </w:p>
          <w:p w:rsidR="00000000" w:rsidRPr="00EC2B22" w:rsidP="00EC2B22">
            <w:pPr>
              <w:pStyle w:val="ListBullet2"/>
            </w:pPr>
            <w:r w:rsidRPr="00EC2B22">
              <w:t>fluid power</w:t>
            </w:r>
          </w:p>
          <w:p w:rsidR="00000000" w:rsidRPr="00EC2B22" w:rsidP="00EC2B22">
            <w:pPr>
              <w:pStyle w:val="ListBullet2"/>
            </w:pPr>
            <w:r w:rsidRPr="00EC2B22">
              <w:t>fluid dynamics</w:t>
            </w:r>
          </w:p>
          <w:p w:rsidR="00000000" w:rsidRPr="00EC2B22" w:rsidP="00EC2B22">
            <w:pPr>
              <w:pStyle w:val="ListBullet2"/>
            </w:pPr>
            <w:r w:rsidRPr="00EC2B22">
              <w:t>thermodynamics</w:t>
            </w:r>
          </w:p>
          <w:p w:rsidR="00000000" w:rsidRPr="00EC2B22" w:rsidP="00EC2B22">
            <w:pPr>
              <w:pStyle w:val="ListBullet2"/>
            </w:pPr>
            <w:r w:rsidRPr="00EC2B22">
              <w:t>electrical and electronic fundamentals</w:t>
            </w:r>
          </w:p>
          <w:p w:rsidR="00000000" w:rsidRPr="00EC2B22" w:rsidP="00EC2B22">
            <w:pPr>
              <w:pStyle w:val="ListBullet2"/>
            </w:pPr>
            <w:r w:rsidRPr="00EC2B22">
              <w:t>controller and SCADA or DCS programming</w:t>
            </w:r>
          </w:p>
          <w:p w:rsidR="00000000" w:rsidRPr="00EC2B22" w:rsidP="00EC2B22">
            <w:pPr>
              <w:pStyle w:val="ListBullet2"/>
            </w:pPr>
            <w:r w:rsidRPr="00EC2B22">
              <w:t>engineering materials, properties and processes</w:t>
            </w:r>
          </w:p>
          <w:p w:rsidR="00000000" w:rsidRPr="00EC2B22" w:rsidP="00EC2B22">
            <w:pPr>
              <w:pStyle w:val="ListBullet2"/>
            </w:pPr>
            <w:r w:rsidRPr="00EC2B22">
              <w:t>techniques for integration of mechanical, fluid, electrical, electronic, controller and networking elements</w:t>
            </w:r>
          </w:p>
          <w:p w:rsidR="00000000" w:rsidRPr="00EC2B22" w:rsidP="00EC2B22">
            <w:pPr>
              <w:pStyle w:val="ListBullet"/>
            </w:pPr>
            <w:r w:rsidRPr="00EC2B22">
              <w:t>mechatronic analysis calculations techniques</w:t>
            </w:r>
          </w:p>
          <w:p w:rsidR="00000000" w:rsidRPr="00EC2B22" w:rsidP="00EC2B22">
            <w:pPr>
              <w:pStyle w:val="ListBullet"/>
            </w:pPr>
            <w:r w:rsidRPr="00EC2B22">
              <w:t>software for product planning and design, such as CAD,</w:t>
            </w:r>
            <w:r w:rsidRPr="00EC2B22">
              <w:t xml:space="preserve"> circuit design, controller programming and project management </w:t>
            </w:r>
          </w:p>
          <w:p w:rsidR="00000000" w:rsidRPr="00EC2B22" w:rsidP="00EC2B22">
            <w:pPr>
              <w:pStyle w:val="ListBullet"/>
            </w:pPr>
            <w:r w:rsidRPr="00EC2B22">
              <w:t>required documentation prototyping options, including mock-ups, physical and virtual modelling and rapid prototyping</w:t>
            </w:r>
          </w:p>
        </w:tc>
      </w:tr>
    </w:tbl>
    <w:p w:rsidR="00000000" w:rsidRPr="00EC2B22" w:rsidP="00EC2B22">
      <w:pPr>
        <w:pStyle w:val="BodyText"/>
      </w:pPr>
    </w:p>
    <w:p w:rsidR="00000000" w:rsidRPr="00EC2B22" w:rsidP="00EC2B22">
      <w:pPr>
        <w:pStyle w:val="AllowPageBreak"/>
      </w:pPr>
    </w:p>
    <w:p w:rsidR="00000000" w:rsidRPr="00EC2B22" w:rsidP="00EC2B22">
      <w:pPr>
        <w:pStyle w:val="Heading1"/>
      </w:pPr>
      <w:bookmarkStart w:id="10" w:name="O_518614"/>
      <w:bookmarkEnd w:id="10"/>
      <w:r w:rsidRPr="00EC2B22">
        <w:t>Evidence Guide</w:t>
      </w:r>
    </w:p>
    <w:tbl>
      <w:tblPr>
        <w:tblW w:w="0" w:type="auto"/>
        <w:tblCellMar>
          <w:left w:w="62" w:type="dxa"/>
          <w:right w:w="62" w:type="dxa"/>
        </w:tblCellMar>
        <w:tblLook w:val="0000"/>
      </w:tblPr>
      <w:tblGrid>
        <w:gridCol w:w="3580"/>
        <w:gridCol w:w="5616"/>
      </w:tblGrid>
      <w:tr w:rsidTr="00C04266">
        <w:tblPrEx>
          <w:tblW w:w="0" w:type="auto"/>
          <w:tblCellMar>
            <w:left w:w="62" w:type="dxa"/>
            <w:right w:w="62" w:type="dxa"/>
          </w:tblCellMar>
          <w:tblLook w:val="0000"/>
        </w:tblPrEx>
        <w:tc>
          <w:tcPr>
            <w:tcW w:w="0" w:type="auto"/>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C2B22">
            <w:pPr>
              <w:pStyle w:val="BodyText"/>
              <w:rPr>
                <w:lang w:val="en-NZ"/>
              </w:rPr>
            </w:pPr>
            <w:r w:rsidRPr="00EC2B22">
              <w:t>The evidence guide provides advice on assessment and must be read in conjunction with the performance criteria, required skills and knowledge, range statement and the Assessment Guidelines for the Training Package.</w:t>
            </w:r>
          </w:p>
        </w:tc>
      </w:tr>
      <w:tr w:rsidTr="00C042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B22">
            <w:pPr>
              <w:pStyle w:val="BodyText"/>
              <w:rPr>
                <w:lang w:val="en-NZ"/>
              </w:rPr>
            </w:pPr>
            <w:r w:rsidRPr="00EC2B22">
              <w:rPr>
                <w:rStyle w:val="SpecialBold"/>
              </w:rPr>
              <w:t>Overview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B22">
            <w:pPr>
              <w:pStyle w:val="BodyText"/>
              <w:rPr>
                <w:lang w:val="en-NZ"/>
              </w:rPr>
            </w:pPr>
            <w:r w:rsidRPr="00EC2B22">
              <w:t>A person who dem</w:t>
            </w:r>
            <w:r w:rsidRPr="00EC2B22">
              <w:t xml:space="preserve">onstrates competency in this unit must be able to apply mechatronic design techniques consistent with a design brief information, relevant standards and conventions. </w:t>
            </w:r>
          </w:p>
        </w:tc>
      </w:tr>
      <w:tr w:rsidTr="00C042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B22">
            <w:pPr>
              <w:pStyle w:val="BodyText"/>
              <w:rPr>
                <w:lang w:val="en-NZ"/>
              </w:rPr>
            </w:pPr>
            <w:r w:rsidRPr="00EC2B22">
              <w:rPr>
                <w:rStyle w:val="SpecialBold"/>
              </w:rPr>
              <w:t xml:space="preserve">Critical aspects for assessment and evidence required to demonstrate competency in this </w:t>
            </w:r>
            <w:r w:rsidRPr="00EC2B22">
              <w:rPr>
                <w:rStyle w:val="SpecialBold"/>
              </w:rPr>
              <w:t>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B22" w:rsidP="00EC2B22">
            <w:pPr>
              <w:pStyle w:val="BodyText"/>
            </w:pPr>
            <w:r w:rsidRPr="00EC2B22">
              <w:t>Assessors must be satisfied that the candidate can competently and consistently:</w:t>
            </w:r>
          </w:p>
          <w:p w:rsidR="00000000" w:rsidRPr="00EC2B22" w:rsidP="00EC2B22">
            <w:pPr>
              <w:pStyle w:val="ListBullet"/>
            </w:pPr>
            <w:r w:rsidRPr="00EC2B22">
              <w:t>communicate, negotiate and review design brief with stakeholders and team or support functional group</w:t>
            </w:r>
          </w:p>
          <w:p w:rsidR="00000000" w:rsidRPr="00EC2B22" w:rsidP="00EC2B22">
            <w:pPr>
              <w:pStyle w:val="ListBullet"/>
            </w:pPr>
            <w:r w:rsidRPr="00EC2B22">
              <w:t>determine or confirm relevant scientific principles and analysis techniques, WHS and regulatory requirements</w:t>
            </w:r>
          </w:p>
          <w:p w:rsidR="00000000" w:rsidRPr="00EC2B22" w:rsidP="00EC2B22">
            <w:pPr>
              <w:pStyle w:val="ListBullet"/>
            </w:pPr>
            <w:r w:rsidRPr="00EC2B22">
              <w:t>evaluate multiple solutions</w:t>
            </w:r>
          </w:p>
          <w:p w:rsidR="00000000" w:rsidRPr="00EC2B22" w:rsidP="00EC2B22">
            <w:pPr>
              <w:pStyle w:val="ListBullet"/>
            </w:pPr>
            <w:r w:rsidRPr="00EC2B22">
              <w:t xml:space="preserve">investigate life cycle design and sustainability </w:t>
            </w:r>
          </w:p>
          <w:p w:rsidR="00000000" w:rsidRPr="00EC2B22" w:rsidP="00EC2B22">
            <w:pPr>
              <w:pStyle w:val="ListBullet"/>
            </w:pPr>
            <w:r w:rsidRPr="00EC2B22">
              <w:t>plan, schedule and coordinate the design task</w:t>
            </w:r>
          </w:p>
          <w:p w:rsidR="00000000" w:rsidRPr="00EC2B22" w:rsidP="00EC2B22">
            <w:pPr>
              <w:pStyle w:val="ListBullet"/>
            </w:pPr>
            <w:r w:rsidRPr="00EC2B22">
              <w:t>integrate mechatronic t</w:t>
            </w:r>
            <w:r w:rsidRPr="00EC2B22">
              <w:t xml:space="preserve">echniques, hardware and software </w:t>
            </w:r>
          </w:p>
          <w:p w:rsidR="00000000" w:rsidRPr="00EC2B22" w:rsidP="00EC2B22">
            <w:pPr>
              <w:pStyle w:val="ListBullet"/>
            </w:pPr>
            <w:r w:rsidRPr="00EC2B22">
              <w:t>solve problems and make decisions with systems thinking for contingencies and constraints, and continuous improvement</w:t>
            </w:r>
          </w:p>
          <w:p w:rsidR="00000000" w:rsidRPr="00EC2B22" w:rsidP="00EC2B22">
            <w:pPr>
              <w:pStyle w:val="ListBullet"/>
            </w:pPr>
            <w:r w:rsidRPr="00EC2B22">
              <w:t xml:space="preserve">define analysis, specify and document and apply graphical techniques, modelling, mock-up or prototyping </w:t>
            </w:r>
            <w:r w:rsidRPr="00EC2B22">
              <w:t>techniques</w:t>
            </w:r>
          </w:p>
          <w:p w:rsidR="00000000" w:rsidRPr="00EC2B22" w:rsidP="00EC2B22">
            <w:pPr>
              <w:pStyle w:val="ListBullet"/>
            </w:pPr>
            <w:r w:rsidRPr="00EC2B22">
              <w:t>create and maintain adequate and accurate calculations and design process records</w:t>
            </w:r>
          </w:p>
          <w:p w:rsidR="00000000" w:rsidP="00EC2B22">
            <w:pPr>
              <w:pStyle w:val="ListBullet"/>
              <w:rPr>
                <w:lang w:val="en-NZ"/>
              </w:rPr>
            </w:pPr>
            <w:r w:rsidRPr="00EC2B22">
              <w:t>report and document results and processes.</w:t>
            </w:r>
          </w:p>
        </w:tc>
      </w:tr>
      <w:tr w:rsidTr="00C042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B22">
            <w:pPr>
              <w:pStyle w:val="BodyText"/>
              <w:rPr>
                <w:lang w:val="en-NZ"/>
              </w:rPr>
            </w:pPr>
            <w:r w:rsidRPr="00EC2B22">
              <w:rPr>
                <w:rStyle w:val="SpecialBold"/>
              </w:rPr>
              <w:t>Context of and specific resources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B22" w:rsidP="00EC2B22">
            <w:pPr>
              <w:pStyle w:val="ListBullet"/>
            </w:pPr>
            <w:r w:rsidRPr="00EC2B22">
              <w:t>This unit may be assessed on the job, off the job or a combination of</w:t>
            </w:r>
            <w:r w:rsidRPr="00EC2B22">
              <w:t xml:space="preserve"> both on and off the job. Where assessment occurs off the job, then a simulated working environment must be used where the range of conditions reflects realistic workplace situations. The competencies covered by this unit would be demonstrated by an indivi</w:t>
            </w:r>
            <w:r w:rsidRPr="00EC2B22">
              <w:t xml:space="preserve">dual working alone or as part of a team. </w:t>
            </w:r>
          </w:p>
          <w:p w:rsidR="00000000" w:rsidRPr="00EC2B22" w:rsidP="00EC2B22">
            <w:pPr>
              <w:pStyle w:val="ListBullet"/>
            </w:pPr>
            <w:r w:rsidRPr="00EC2B22">
              <w:t>Where applicable, reasonable adjustment must be made to work environments and training situations to accommodate ethnicity, age, gender, demographics and disability.</w:t>
            </w:r>
          </w:p>
          <w:p w:rsidR="00000000" w:rsidP="00EC2B22">
            <w:pPr>
              <w:pStyle w:val="ListBullet"/>
              <w:rPr>
                <w:lang w:val="en-NZ"/>
              </w:rPr>
            </w:pPr>
            <w:r w:rsidRPr="00EC2B22">
              <w:t xml:space="preserve">Access must be provided to appropriate learning </w:t>
            </w:r>
            <w:r w:rsidRPr="00EC2B22">
              <w:t>and/or assessment support when required. Where applicable, physical resources should include equipment modified for people with disabilities.</w:t>
            </w:r>
          </w:p>
        </w:tc>
      </w:tr>
      <w:tr w:rsidTr="00C042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B22">
            <w:pPr>
              <w:pStyle w:val="BodyText"/>
              <w:rPr>
                <w:lang w:val="en-NZ"/>
              </w:rPr>
            </w:pPr>
            <w:r w:rsidRPr="00EC2B22">
              <w:rPr>
                <w:rStyle w:val="SpecialBold"/>
              </w:rPr>
              <w:t>Method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B22" w:rsidP="00EC2B22">
            <w:pPr>
              <w:pStyle w:val="ListBullet"/>
            </w:pPr>
            <w:r w:rsidRPr="00EC2B22">
              <w:t xml:space="preserve">Assessment must satisfy the endorsed Assessment Guidelines of the MEM05 Metal and </w:t>
            </w:r>
            <w:r w:rsidRPr="00EC2B22">
              <w:t>Engineering Training Package.</w:t>
            </w:r>
          </w:p>
          <w:p w:rsidR="00000000" w:rsidRPr="00EC2B22" w:rsidP="00EC2B22">
            <w:pPr>
              <w:pStyle w:val="ListBullet"/>
            </w:pPr>
            <w:r w:rsidRPr="00EC2B22">
              <w:t>Assessment methods must confirm consistency and accuracy of performance (over time and in a range of workplace relevant contexts) together with application of underpinning knowledge.</w:t>
            </w:r>
          </w:p>
          <w:p w:rsidR="00000000" w:rsidRPr="00EC2B22" w:rsidP="00EC2B22">
            <w:pPr>
              <w:pStyle w:val="ListBullet"/>
            </w:pPr>
            <w:r w:rsidRPr="00EC2B22">
              <w:t>Assessment methods must be by direct observ</w:t>
            </w:r>
            <w:r w:rsidRPr="00EC2B22">
              <w:t xml:space="preserve">ation of </w:t>
            </w:r>
            <w:r w:rsidRPr="00EC2B22">
              <w:t>tasks and include questioning on underpinning knowledge to ensure correct interpretation and application.</w:t>
            </w:r>
          </w:p>
          <w:p w:rsidR="00000000" w:rsidRPr="00EC2B22" w:rsidP="00EC2B22">
            <w:pPr>
              <w:pStyle w:val="ListBullet"/>
            </w:pPr>
            <w:r w:rsidRPr="00EC2B22">
              <w:t>Assessment may be applied under project-related conditions (real or simulated) and require evidence of process.</w:t>
            </w:r>
          </w:p>
          <w:p w:rsidR="00000000" w:rsidRPr="00EC2B22" w:rsidP="00EC2B22">
            <w:pPr>
              <w:pStyle w:val="ListBullet"/>
            </w:pPr>
            <w:r w:rsidRPr="00EC2B22">
              <w:t>Assessment must confirm a rea</w:t>
            </w:r>
            <w:r w:rsidRPr="00EC2B22">
              <w:t>sonable inference that competency is not only able to be satisfied under the particular circumstance, but is able to be transferred to other circumstances.</w:t>
            </w:r>
          </w:p>
          <w:p w:rsidR="00000000" w:rsidP="00EC2B22">
            <w:pPr>
              <w:pStyle w:val="ListBullet"/>
              <w:rPr>
                <w:lang w:val="en-NZ"/>
              </w:rPr>
            </w:pPr>
            <w:r w:rsidRPr="00EC2B22">
              <w:t>Assessment may be in conjunction with assessment of other units of competency where required.</w:t>
            </w:r>
          </w:p>
        </w:tc>
      </w:tr>
      <w:tr w:rsidTr="00C042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B22">
            <w:pPr>
              <w:pStyle w:val="BodyText"/>
              <w:rPr>
                <w:lang w:val="en-NZ"/>
              </w:rPr>
            </w:pPr>
            <w:r w:rsidRPr="00EC2B22">
              <w:rPr>
                <w:rStyle w:val="SpecialBold"/>
              </w:rPr>
              <w:t>Guida</w:t>
            </w:r>
            <w:r w:rsidRPr="00EC2B22">
              <w:rPr>
                <w:rStyle w:val="SpecialBold"/>
              </w:rPr>
              <w:t>nce information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B22" w:rsidP="00EC2B22">
            <w:pPr>
              <w:pStyle w:val="BodyText"/>
            </w:pPr>
            <w:r w:rsidRPr="00EC2B22">
              <w:t>Assessment processes and techniques must be culturally appropriate and appropriate to the language and literacy capacity of the candidate and the work being performed.</w:t>
            </w:r>
          </w:p>
        </w:tc>
      </w:tr>
    </w:tbl>
    <w:p w:rsidR="00C04266" w:rsidP="00EC2B22">
      <w:pPr>
        <w:pStyle w:val="BodyText"/>
      </w:pPr>
    </w:p>
    <w:p w:rsidR="00C04266" w:rsidP="00EC2B22">
      <w:pPr>
        <w:pStyle w:val="BodyText"/>
      </w:pPr>
    </w:p>
    <w:p w:rsidR="00000000" w:rsidRPr="00EC2B22" w:rsidP="00EC2B22">
      <w:pPr>
        <w:pStyle w:val="Heading1"/>
      </w:pPr>
      <w:bookmarkStart w:id="11" w:name="O_518613"/>
      <w:bookmarkEnd w:id="11"/>
      <w:r w:rsidRPr="00EC2B22">
        <w:t>Range Statement</w:t>
      </w:r>
    </w:p>
    <w:tbl>
      <w:tblPr>
        <w:tblW w:w="0" w:type="auto"/>
        <w:tblCellMar>
          <w:left w:w="62" w:type="dxa"/>
          <w:right w:w="62" w:type="dxa"/>
        </w:tblCellMar>
        <w:tblLook w:val="0000"/>
      </w:tblPr>
      <w:tblGrid>
        <w:gridCol w:w="2716"/>
        <w:gridCol w:w="6480"/>
      </w:tblGrid>
      <w:tr w:rsidTr="00C04266">
        <w:tblPrEx>
          <w:tblW w:w="0" w:type="auto"/>
          <w:tblCellMar>
            <w:left w:w="62" w:type="dxa"/>
            <w:right w:w="62" w:type="dxa"/>
          </w:tblCellMar>
          <w:tblLook w:val="0000"/>
        </w:tblPrEx>
        <w:tc>
          <w:tcPr>
            <w:tcW w:w="0" w:type="auto"/>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C2B22">
            <w:pPr>
              <w:pStyle w:val="BodyText"/>
              <w:rPr>
                <w:lang w:val="en-NZ"/>
              </w:rPr>
            </w:pPr>
            <w:r w:rsidRPr="00EC2B22">
              <w:t>T</w:t>
            </w:r>
            <w:r w:rsidRPr="00EC2B22">
              <w:t>he range statement relates to the unit of competency as a whole. It allows for different work environments and situations that may affect performance. Bold italicised wording, if used in the performance criteria, is detailed below. Essential operating cond</w:t>
            </w:r>
            <w:r w:rsidRPr="00EC2B22">
              <w:t>itions that may be present with training and assessment (depending on the work situation, needs of the candidate, accessibility of the item, and local industry and regional contexts) may also be included.</w:t>
            </w:r>
          </w:p>
        </w:tc>
      </w:tr>
      <w:tr w:rsidTr="00C042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B22" w:rsidP="00EC2B22">
            <w:pPr>
              <w:pStyle w:val="BodyText"/>
            </w:pPr>
            <w:r w:rsidRPr="00EC2B22">
              <w:rPr>
                <w:rStyle w:val="SpecialBold"/>
              </w:rPr>
              <w:t xml:space="preserve">Mechatronic engineering analysis </w:t>
            </w:r>
          </w:p>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B22" w:rsidP="00EC2B22">
            <w:pPr>
              <w:pStyle w:val="BodyText"/>
            </w:pPr>
            <w:r w:rsidRPr="00EC2B22">
              <w:t>Mechatronic en</w:t>
            </w:r>
            <w:r w:rsidRPr="00EC2B22">
              <w:t xml:space="preserve">gineering analysis may be required for a variety of reasons, including: </w:t>
            </w:r>
          </w:p>
          <w:p w:rsidR="00000000" w:rsidRPr="00EC2B22" w:rsidP="00EC2B22">
            <w:pPr>
              <w:pStyle w:val="ListBullet"/>
            </w:pPr>
            <w:r w:rsidRPr="00EC2B22">
              <w:t>design of automated devices and plant</w:t>
            </w:r>
          </w:p>
          <w:p w:rsidR="00000000" w:rsidRPr="00EC2B22" w:rsidP="00EC2B22">
            <w:pPr>
              <w:pStyle w:val="ListBullet"/>
            </w:pPr>
            <w:r w:rsidRPr="00EC2B22">
              <w:t>design or evaluation of significant modifications, process changes or improvements</w:t>
            </w:r>
          </w:p>
          <w:p w:rsidR="00000000" w:rsidRPr="00EC2B22" w:rsidP="00EC2B22">
            <w:pPr>
              <w:pStyle w:val="ListBullet"/>
            </w:pPr>
            <w:r w:rsidRPr="00EC2B22">
              <w:t>sustainability issues relevant to plant, equipment or process</w:t>
            </w:r>
            <w:r w:rsidRPr="00EC2B22">
              <w:t>es</w:t>
            </w:r>
          </w:p>
          <w:p w:rsidR="00000000" w:rsidRPr="00EC2B22" w:rsidP="00EC2B22">
            <w:pPr>
              <w:pStyle w:val="ListBullet"/>
            </w:pPr>
            <w:r w:rsidRPr="00EC2B22">
              <w:t>fitness for purpose evaluation</w:t>
            </w:r>
          </w:p>
          <w:p w:rsidR="00000000" w:rsidP="00EC2B22">
            <w:pPr>
              <w:pStyle w:val="ListBullet"/>
              <w:rPr>
                <w:lang w:val="en-NZ"/>
              </w:rPr>
            </w:pPr>
            <w:r w:rsidRPr="00EC2B22">
              <w:t>installation and commissioning of plant and equipment</w:t>
            </w:r>
          </w:p>
        </w:tc>
      </w:tr>
      <w:tr w:rsidTr="00C042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B22">
            <w:pPr>
              <w:pStyle w:val="BodyText"/>
              <w:rPr>
                <w:lang w:val="en-NZ"/>
              </w:rPr>
            </w:pPr>
            <w:r w:rsidRPr="00EC2B22">
              <w:rPr>
                <w:rStyle w:val="SpecialBold"/>
              </w:rPr>
              <w:t>Planning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B22" w:rsidP="00EC2B22">
            <w:pPr>
              <w:pStyle w:val="BodyText"/>
            </w:pPr>
            <w:r w:rsidRPr="00EC2B22">
              <w:t>Planning processes may include:</w:t>
            </w:r>
          </w:p>
          <w:p w:rsidR="00000000" w:rsidRPr="00EC2B22" w:rsidP="00EC2B22">
            <w:pPr>
              <w:pStyle w:val="ListBullet"/>
            </w:pPr>
            <w:r w:rsidRPr="00EC2B22">
              <w:t>establishing design parameters and design criteria</w:t>
            </w:r>
          </w:p>
          <w:p w:rsidR="00000000" w:rsidRPr="00EC2B22" w:rsidP="00EC2B22">
            <w:pPr>
              <w:pStyle w:val="ListBullet"/>
            </w:pPr>
            <w:r w:rsidRPr="00EC2B22">
              <w:t>contributing to the negotiation and advice process</w:t>
            </w:r>
          </w:p>
          <w:p w:rsidR="00000000" w:rsidRPr="00EC2B22" w:rsidP="00EC2B22">
            <w:pPr>
              <w:pStyle w:val="ListBullet"/>
            </w:pPr>
            <w:r w:rsidRPr="00EC2B22">
              <w:t>preliminary planning, design investigations and costing</w:t>
            </w:r>
          </w:p>
          <w:p w:rsidR="00000000" w:rsidRPr="00EC2B22" w:rsidP="00EC2B22">
            <w:pPr>
              <w:pStyle w:val="ListBullet"/>
            </w:pPr>
            <w:r w:rsidRPr="00EC2B22">
              <w:t>identifying design, development, prototyping activities and skills requirements</w:t>
            </w:r>
          </w:p>
          <w:p w:rsidR="00000000" w:rsidRPr="00EC2B22" w:rsidP="00EC2B22">
            <w:pPr>
              <w:pStyle w:val="ListBullet"/>
            </w:pPr>
            <w:r w:rsidRPr="00EC2B22">
              <w:t>planning and scheduling design activities</w:t>
            </w:r>
          </w:p>
          <w:p w:rsidR="00000000" w:rsidP="00EC2B22">
            <w:pPr>
              <w:pStyle w:val="ListBullet"/>
              <w:rPr>
                <w:lang w:val="en-NZ"/>
              </w:rPr>
            </w:pPr>
            <w:r w:rsidRPr="00EC2B22">
              <w:t>improving, adjusting and rescheduling as required by emergency contingencies a</w:t>
            </w:r>
            <w:r w:rsidRPr="00EC2B22">
              <w:t>nd constraints</w:t>
            </w:r>
          </w:p>
        </w:tc>
      </w:tr>
      <w:tr w:rsidTr="00C042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B22">
            <w:pPr>
              <w:pStyle w:val="BodyText"/>
              <w:rPr>
                <w:lang w:val="en-NZ"/>
              </w:rPr>
            </w:pPr>
            <w:r w:rsidRPr="00EC2B22">
              <w:rPr>
                <w:rStyle w:val="SpecialBold"/>
              </w:rPr>
              <w:t>Analysis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B22" w:rsidP="00EC2B22">
            <w:pPr>
              <w:pStyle w:val="BodyText"/>
            </w:pPr>
            <w:r w:rsidRPr="00EC2B22">
              <w:t>Designing as a systematic process includes:</w:t>
            </w:r>
          </w:p>
          <w:p w:rsidR="00000000" w:rsidRPr="00EC2B22" w:rsidP="00EC2B22">
            <w:pPr>
              <w:pStyle w:val="ListBullet"/>
            </w:pPr>
            <w:r w:rsidRPr="00EC2B22">
              <w:t>establish design parameters and criteria</w:t>
            </w:r>
          </w:p>
          <w:p w:rsidR="00000000" w:rsidRPr="00EC2B22" w:rsidP="00EC2B22">
            <w:pPr>
              <w:pStyle w:val="ListBullet"/>
            </w:pPr>
            <w:r w:rsidRPr="00EC2B22">
              <w:t>research, measurement, experimentation and investigation</w:t>
            </w:r>
          </w:p>
          <w:p w:rsidR="00000000" w:rsidRPr="00EC2B22" w:rsidP="00EC2B22">
            <w:pPr>
              <w:pStyle w:val="ListBullet"/>
            </w:pPr>
            <w:r w:rsidRPr="00EC2B22">
              <w:t>generating ideas</w:t>
            </w:r>
          </w:p>
          <w:p w:rsidR="00000000" w:rsidRPr="00EC2B22" w:rsidP="00EC2B22">
            <w:pPr>
              <w:pStyle w:val="ListBullet"/>
            </w:pPr>
            <w:r w:rsidRPr="00EC2B22">
              <w:t>synthesis, problem solving and decision making, and addressing constraints</w:t>
            </w:r>
          </w:p>
          <w:p w:rsidR="00000000" w:rsidRPr="00EC2B22" w:rsidP="00EC2B22">
            <w:pPr>
              <w:pStyle w:val="ListBullet"/>
            </w:pPr>
            <w:r w:rsidRPr="00EC2B22">
              <w:t>apply scientific principles, calculation and graphics, prototyping and mock-up techniques</w:t>
            </w:r>
          </w:p>
          <w:p w:rsidR="00000000" w:rsidRPr="00EC2B22" w:rsidP="00EC2B22">
            <w:pPr>
              <w:pStyle w:val="ListBullet"/>
            </w:pPr>
            <w:r w:rsidRPr="00EC2B22">
              <w:t>evaluating solutions against design criteria</w:t>
            </w:r>
          </w:p>
          <w:p w:rsidR="00000000" w:rsidRPr="00EC2B22" w:rsidP="00EC2B22">
            <w:pPr>
              <w:pStyle w:val="ListBullet"/>
            </w:pPr>
            <w:r w:rsidRPr="00EC2B22">
              <w:t>consultation, adjustments and agreement</w:t>
            </w:r>
          </w:p>
          <w:p w:rsidR="00000000" w:rsidP="00EC2B22">
            <w:pPr>
              <w:pStyle w:val="ListBullet"/>
              <w:rPr>
                <w:lang w:val="en-NZ"/>
              </w:rPr>
            </w:pPr>
            <w:r w:rsidRPr="00EC2B22">
              <w:t>finali</w:t>
            </w:r>
            <w:r w:rsidRPr="00EC2B22">
              <w:t>se design and sign-off</w:t>
            </w:r>
          </w:p>
        </w:tc>
      </w:tr>
      <w:tr w:rsidTr="00C042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B22">
            <w:pPr>
              <w:pStyle w:val="BodyText"/>
              <w:rPr>
                <w:lang w:val="en-NZ"/>
              </w:rPr>
            </w:pPr>
            <w:r w:rsidRPr="00EC2B22">
              <w:rPr>
                <w:rStyle w:val="SpecialBold"/>
              </w:rPr>
              <w:t>Analysis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B22" w:rsidP="00EC2B22">
            <w:pPr>
              <w:pStyle w:val="BodyText"/>
            </w:pPr>
            <w:r w:rsidRPr="00EC2B22">
              <w:t>Analysis includes relevant technical criteria and may also include criteria relating to:</w:t>
            </w:r>
          </w:p>
          <w:p w:rsidR="00000000" w:rsidRPr="00EC2B22" w:rsidP="00EC2B22">
            <w:pPr>
              <w:pStyle w:val="ListBullet"/>
            </w:pPr>
            <w:r w:rsidRPr="00EC2B22">
              <w:t>function</w:t>
            </w:r>
          </w:p>
          <w:p w:rsidR="00000000" w:rsidRPr="00EC2B22" w:rsidP="00EC2B22">
            <w:pPr>
              <w:pStyle w:val="ListBullet"/>
            </w:pPr>
            <w:r w:rsidRPr="00EC2B22">
              <w:t>aesthetics</w:t>
            </w:r>
          </w:p>
          <w:p w:rsidR="00000000" w:rsidRPr="00EC2B22" w:rsidP="00EC2B22">
            <w:pPr>
              <w:pStyle w:val="ListBullet"/>
            </w:pPr>
            <w:r w:rsidRPr="00EC2B22">
              <w:t>manufacturability and maintainability</w:t>
            </w:r>
          </w:p>
          <w:p w:rsidR="00000000" w:rsidRPr="00EC2B22" w:rsidP="00EC2B22">
            <w:pPr>
              <w:pStyle w:val="ListBullet"/>
            </w:pPr>
            <w:r w:rsidRPr="00EC2B22">
              <w:t>marketability</w:t>
            </w:r>
          </w:p>
          <w:p w:rsidR="00000000" w:rsidRPr="00EC2B22" w:rsidP="00EC2B22">
            <w:pPr>
              <w:pStyle w:val="ListBullet"/>
            </w:pPr>
            <w:r w:rsidRPr="00EC2B22">
              <w:t>sustainability</w:t>
            </w:r>
          </w:p>
          <w:p w:rsidR="00000000" w:rsidRPr="00EC2B22" w:rsidP="00EC2B22">
            <w:pPr>
              <w:pStyle w:val="ListBullet"/>
            </w:pPr>
            <w:r w:rsidRPr="00EC2B22">
              <w:t>cost constraints</w:t>
            </w:r>
          </w:p>
          <w:p w:rsidR="00000000" w:rsidRPr="00EC2B22" w:rsidP="00EC2B22">
            <w:pPr>
              <w:pStyle w:val="ListBullet"/>
            </w:pPr>
            <w:r w:rsidRPr="00EC2B22">
              <w:t>ergonomics and anthr</w:t>
            </w:r>
            <w:r w:rsidRPr="00EC2B22">
              <w:t>opometrics and physiology</w:t>
            </w:r>
          </w:p>
          <w:p w:rsidR="00000000" w:rsidRPr="00EC2B22" w:rsidP="00EC2B22">
            <w:pPr>
              <w:pStyle w:val="ListBullet"/>
            </w:pPr>
            <w:r w:rsidRPr="00EC2B22">
              <w:t>manufacturability, maintainability</w:t>
            </w:r>
          </w:p>
          <w:p w:rsidR="00000000" w:rsidRPr="00EC2B22" w:rsidP="00EC2B22">
            <w:pPr>
              <w:pStyle w:val="ListBullet"/>
            </w:pPr>
            <w:r w:rsidRPr="00EC2B22">
              <w:t>facilities, plant and skills available</w:t>
            </w:r>
          </w:p>
          <w:p w:rsidR="00000000" w:rsidP="00EC2B22">
            <w:pPr>
              <w:pStyle w:val="ListBullet"/>
              <w:rPr>
                <w:lang w:val="en-NZ"/>
              </w:rPr>
            </w:pPr>
            <w:r w:rsidRPr="00EC2B22">
              <w:t>safety and risk</w:t>
            </w:r>
          </w:p>
        </w:tc>
      </w:tr>
      <w:tr w:rsidTr="00C042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B22">
            <w:pPr>
              <w:pStyle w:val="BodyText"/>
              <w:rPr>
                <w:lang w:val="en-NZ"/>
              </w:rPr>
            </w:pPr>
            <w:r w:rsidRPr="00EC2B22">
              <w:rPr>
                <w:rStyle w:val="SpecialBold"/>
              </w:rPr>
              <w:t>Sustainability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B22" w:rsidP="00EC2B22">
            <w:pPr>
              <w:pStyle w:val="BodyText"/>
            </w:pPr>
            <w:r w:rsidRPr="00EC2B22">
              <w:t>Sustainability is used to mean the entire sustainable performance of the organisation/plant, including:</w:t>
            </w:r>
          </w:p>
          <w:p w:rsidR="00000000" w:rsidRPr="00EC2B22" w:rsidP="00EC2B22">
            <w:pPr>
              <w:pStyle w:val="ListBullet"/>
            </w:pPr>
            <w:r w:rsidRPr="00EC2B22">
              <w:t>meeting all</w:t>
            </w:r>
            <w:r w:rsidRPr="00EC2B22">
              <w:t xml:space="preserve"> regulatory requirements</w:t>
            </w:r>
          </w:p>
          <w:p w:rsidR="00000000" w:rsidRPr="00EC2B22" w:rsidP="00EC2B22">
            <w:pPr>
              <w:pStyle w:val="ListBullet"/>
            </w:pPr>
            <w:r w:rsidRPr="00EC2B22">
              <w:t>conforming to all industry covenants, protocols and best practice guides</w:t>
            </w:r>
          </w:p>
          <w:p w:rsidR="00000000" w:rsidRPr="00EC2B22" w:rsidP="00EC2B22">
            <w:pPr>
              <w:pStyle w:val="ListBullet"/>
            </w:pPr>
            <w:r w:rsidRPr="00EC2B22">
              <w:t>minimising ecological and environmental footprint of process, plant and product</w:t>
            </w:r>
          </w:p>
          <w:p w:rsidR="00000000" w:rsidRPr="00EC2B22" w:rsidP="00EC2B22">
            <w:pPr>
              <w:pStyle w:val="ListBullet"/>
            </w:pPr>
            <w:r w:rsidRPr="00EC2B22">
              <w:t>maximising economic benefit of process plant and product to the organisation a</w:t>
            </w:r>
            <w:r w:rsidRPr="00EC2B22">
              <w:t xml:space="preserve">nd the community </w:t>
            </w:r>
          </w:p>
          <w:p w:rsidR="00000000" w:rsidP="00EC2B22">
            <w:pPr>
              <w:pStyle w:val="ListBullet"/>
              <w:rPr>
                <w:lang w:val="en-NZ"/>
              </w:rPr>
            </w:pPr>
            <w:r w:rsidRPr="00EC2B22">
              <w:t>minimising the negative WHS impact on employees, community and customer</w:t>
            </w:r>
          </w:p>
        </w:tc>
      </w:tr>
      <w:tr w:rsidTr="00C042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B22">
            <w:pPr>
              <w:pStyle w:val="BodyText"/>
              <w:rPr>
                <w:lang w:val="en-NZ"/>
              </w:rPr>
            </w:pPr>
            <w:r w:rsidRPr="00EC2B22">
              <w:rPr>
                <w:rStyle w:val="SpecialBold"/>
              </w:rPr>
              <w:t>Life cycle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B22" w:rsidP="00EC2B22">
            <w:pPr>
              <w:pStyle w:val="BodyText"/>
            </w:pPr>
            <w:r w:rsidRPr="00EC2B22">
              <w:t>Life cycle analysis can be used to improve sustainability of products and services. It may be applied to:</w:t>
            </w:r>
          </w:p>
          <w:p w:rsidR="00000000" w:rsidRPr="00EC2B22" w:rsidP="00EC2B22">
            <w:pPr>
              <w:pStyle w:val="ListBullet"/>
            </w:pPr>
            <w:r w:rsidRPr="00EC2B22">
              <w:t>all aspects of manufacture of a sing</w:t>
            </w:r>
            <w:r w:rsidRPr="00EC2B22">
              <w:t>le product</w:t>
            </w:r>
          </w:p>
          <w:p w:rsidR="00000000" w:rsidRPr="00EC2B22" w:rsidP="00EC2B22">
            <w:pPr>
              <w:pStyle w:val="ListBullet"/>
            </w:pPr>
            <w:r w:rsidRPr="00EC2B22">
              <w:t>the entire operations of an organisation</w:t>
            </w:r>
          </w:p>
          <w:p w:rsidR="00000000" w:rsidP="00EC2B22">
            <w:pPr>
              <w:pStyle w:val="ListBullet"/>
              <w:rPr>
                <w:lang w:val="en-NZ"/>
              </w:rPr>
            </w:pPr>
            <w:r w:rsidRPr="00EC2B22">
              <w:t>a particular aspect of operations, such as environmental implications</w:t>
            </w:r>
          </w:p>
        </w:tc>
      </w:tr>
      <w:tr w:rsidTr="00C042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B22">
            <w:pPr>
              <w:pStyle w:val="BodyText"/>
              <w:rPr>
                <w:lang w:val="en-NZ"/>
              </w:rPr>
            </w:pPr>
            <w:r w:rsidRPr="00EC2B22">
              <w:rPr>
                <w:rStyle w:val="SpecialBold"/>
              </w:rPr>
              <w:t>Prototyping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B22" w:rsidP="00EC2B22">
            <w:pPr>
              <w:pStyle w:val="BodyText"/>
            </w:pPr>
            <w:r w:rsidRPr="00EC2B22">
              <w:t>Prototyping may include:</w:t>
            </w:r>
          </w:p>
          <w:p w:rsidR="00000000" w:rsidP="00EC2B22">
            <w:pPr>
              <w:pStyle w:val="ListBullet"/>
              <w:rPr>
                <w:lang w:val="en-NZ"/>
              </w:rPr>
            </w:pPr>
            <w:r w:rsidRPr="00EC2B22">
              <w:t xml:space="preserve">mock-ups, physical and virtual modelling with post-processing for computer numeric </w:t>
            </w:r>
            <w:r w:rsidRPr="00EC2B22">
              <w:t>control (CNC) and rapid prototyping</w:t>
            </w:r>
          </w:p>
        </w:tc>
      </w:tr>
      <w:tr w:rsidTr="00C042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B22">
            <w:pPr>
              <w:pStyle w:val="BodyText"/>
              <w:rPr>
                <w:lang w:val="en-NZ"/>
              </w:rPr>
            </w:pPr>
            <w:r w:rsidRPr="00EC2B22">
              <w:rPr>
                <w:rStyle w:val="SpecialBold"/>
              </w:rPr>
              <w:t>Appropriate licensed technical and professional assistance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B22" w:rsidP="00EC2B22">
            <w:pPr>
              <w:pStyle w:val="BodyText"/>
            </w:pPr>
            <w:r w:rsidRPr="00EC2B22">
              <w:t>Appropriate licensed technical and professional assistance may include:</w:t>
            </w:r>
          </w:p>
          <w:p w:rsidR="00000000" w:rsidRPr="00EC2B22" w:rsidP="00EC2B22">
            <w:pPr>
              <w:pStyle w:val="ListBullet"/>
            </w:pPr>
            <w:r w:rsidRPr="00EC2B22">
              <w:t>technical support and advice relating to elements which have intrinsic dangers, such as</w:t>
            </w:r>
            <w:r w:rsidRPr="00EC2B22">
              <w:t>:</w:t>
            </w:r>
          </w:p>
          <w:p w:rsidR="00000000" w:rsidRPr="00EC2B22" w:rsidP="00EC2B22">
            <w:pPr>
              <w:pStyle w:val="ListBullet2"/>
            </w:pPr>
            <w:r w:rsidRPr="00EC2B22">
              <w:t>high pressure</w:t>
            </w:r>
          </w:p>
          <w:p w:rsidR="00000000" w:rsidRPr="00EC2B22" w:rsidP="00EC2B22">
            <w:pPr>
              <w:pStyle w:val="ListBullet2"/>
            </w:pPr>
            <w:r w:rsidRPr="00EC2B22">
              <w:t>energised fluid vessels</w:t>
            </w:r>
          </w:p>
          <w:p w:rsidR="00000000" w:rsidRPr="00EC2B22" w:rsidP="00EC2B22">
            <w:pPr>
              <w:pStyle w:val="ListBullet2"/>
            </w:pPr>
            <w:r w:rsidRPr="00EC2B22">
              <w:t>high temperatures and heat energy capacity</w:t>
            </w:r>
          </w:p>
          <w:p w:rsidR="00000000" w:rsidRPr="00EC2B22" w:rsidP="00EC2B22">
            <w:pPr>
              <w:pStyle w:val="ListBullet2"/>
            </w:pPr>
            <w:r w:rsidRPr="00EC2B22">
              <w:t>wiring with high current control voltages above extra low voltage</w:t>
            </w:r>
          </w:p>
          <w:p w:rsidR="00000000" w:rsidRPr="00EC2B22" w:rsidP="00EC2B22">
            <w:pPr>
              <w:pStyle w:val="ListBullet"/>
            </w:pPr>
            <w:r w:rsidRPr="00EC2B22">
              <w:t>professional support for technologies, such as:</w:t>
            </w:r>
          </w:p>
          <w:p w:rsidR="00000000" w:rsidRPr="00EC2B22" w:rsidP="00EC2B22">
            <w:pPr>
              <w:pStyle w:val="ListBullet2"/>
            </w:pPr>
            <w:r w:rsidRPr="00EC2B22">
              <w:t>specialist electric motor drives and controllers</w:t>
            </w:r>
          </w:p>
          <w:p w:rsidR="00000000" w:rsidRPr="00EC2B22" w:rsidP="00EC2B22">
            <w:pPr>
              <w:pStyle w:val="ListBullet2"/>
            </w:pPr>
            <w:r w:rsidRPr="00EC2B22">
              <w:t>specialist materials, plastics, metal alloys and nano materials</w:t>
            </w:r>
          </w:p>
          <w:p w:rsidR="00000000" w:rsidP="00EC2B22">
            <w:pPr>
              <w:pStyle w:val="ListBullet2"/>
              <w:rPr>
                <w:lang w:val="en-NZ"/>
              </w:rPr>
            </w:pPr>
            <w:r w:rsidRPr="00EC2B22">
              <w:t>special processes, foundry, alloy welding, heat treatment, sealing and fastening</w:t>
            </w:r>
          </w:p>
        </w:tc>
      </w:tr>
      <w:tr w:rsidTr="00C042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B22" w:rsidP="00EC2B22">
            <w:pPr>
              <w:pStyle w:val="BodyText"/>
            </w:pPr>
            <w:r w:rsidRPr="00EC2B22">
              <w:rPr>
                <w:rStyle w:val="SpecialBold"/>
              </w:rPr>
              <w:t>WHS, regulatory requirements and enterprise procedures</w:t>
            </w:r>
          </w:p>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B22" w:rsidP="00EC2B22">
            <w:pPr>
              <w:pStyle w:val="BodyText"/>
            </w:pPr>
            <w:r w:rsidRPr="00EC2B22">
              <w:t>WHS, regulatory requirements and enterprise procedures may include:</w:t>
            </w:r>
          </w:p>
          <w:p w:rsidR="00000000" w:rsidRPr="00EC2B22" w:rsidP="00EC2B22">
            <w:pPr>
              <w:pStyle w:val="ListBullet"/>
            </w:pPr>
            <w:r w:rsidRPr="00EC2B22">
              <w:t>WHS Acts and regulations</w:t>
            </w:r>
          </w:p>
          <w:p w:rsidR="00000000" w:rsidRPr="00EC2B22" w:rsidP="00EC2B22">
            <w:pPr>
              <w:pStyle w:val="ListBullet"/>
            </w:pPr>
            <w:r w:rsidRPr="00EC2B22">
              <w:t>relevant standards</w:t>
            </w:r>
          </w:p>
          <w:p w:rsidR="00000000" w:rsidRPr="00EC2B22" w:rsidP="00EC2B22">
            <w:pPr>
              <w:pStyle w:val="ListBullet"/>
            </w:pPr>
            <w:r w:rsidRPr="00EC2B22">
              <w:t>codes of practice from Australian and overseas engineering and technical associations and societies</w:t>
            </w:r>
          </w:p>
          <w:p w:rsidR="00000000" w:rsidRPr="00EC2B22" w:rsidP="00EC2B22">
            <w:pPr>
              <w:pStyle w:val="ListBullet"/>
            </w:pPr>
            <w:r w:rsidRPr="00EC2B22">
              <w:t>risk assessments</w:t>
            </w:r>
          </w:p>
          <w:p w:rsidR="00000000" w:rsidRPr="00EC2B22" w:rsidP="00EC2B22">
            <w:pPr>
              <w:pStyle w:val="ListBullet"/>
            </w:pPr>
            <w:r w:rsidRPr="00EC2B22">
              <w:t xml:space="preserve">registration requirements </w:t>
            </w:r>
          </w:p>
          <w:p w:rsidR="00000000" w:rsidRPr="00EC2B22" w:rsidP="00EC2B22">
            <w:pPr>
              <w:pStyle w:val="ListBullet"/>
            </w:pPr>
            <w:r w:rsidRPr="00EC2B22">
              <w:t>safe work practices</w:t>
            </w:r>
          </w:p>
          <w:p w:rsidR="00000000" w:rsidP="00EC2B22">
            <w:pPr>
              <w:pStyle w:val="ListBullet"/>
              <w:rPr>
                <w:lang w:val="en-NZ"/>
              </w:rPr>
            </w:pPr>
            <w:r w:rsidRPr="00EC2B22">
              <w:t xml:space="preserve">state and territory regulatory requirements </w:t>
            </w:r>
          </w:p>
        </w:tc>
      </w:tr>
      <w:tr w:rsidTr="00C042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B22" w:rsidP="00EC2B22">
            <w:pPr>
              <w:pStyle w:val="BodyText"/>
            </w:pPr>
            <w:r w:rsidRPr="00EC2B22">
              <w:rPr>
                <w:rStyle w:val="SpecialBold"/>
              </w:rPr>
              <w:t xml:space="preserve">Standards and codes </w:t>
            </w:r>
          </w:p>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B22">
            <w:pPr>
              <w:pStyle w:val="BodyText"/>
              <w:rPr>
                <w:lang w:val="en-NZ"/>
              </w:rPr>
            </w:pPr>
            <w:r w:rsidRPr="00EC2B22">
              <w:t>Standards and codes refer to all relevant Australian and international standards and codes applicable to a particular mechatronic analysis task</w:t>
            </w:r>
          </w:p>
        </w:tc>
      </w:tr>
      <w:tr w:rsidTr="00C042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B22" w:rsidP="00EC2B22">
            <w:pPr>
              <w:pStyle w:val="BodyText"/>
            </w:pPr>
            <w:r w:rsidRPr="00EC2B22">
              <w:rPr>
                <w:rStyle w:val="SpecialBold"/>
              </w:rPr>
              <w:t>Systems thinking</w:t>
            </w:r>
          </w:p>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B22">
            <w:pPr>
              <w:pStyle w:val="BodyText"/>
              <w:rPr>
                <w:lang w:val="en-NZ"/>
              </w:rPr>
            </w:pPr>
            <w:r w:rsidRPr="00EC2B22">
              <w:t>Systems thinking refers to the conduct of engineering work in a manner that demonstrates knowledge of how the interaction of different technical systems on equipment, machinery or structures, as well as the skills and techniques of personnel, combine to pe</w:t>
            </w:r>
            <w:r w:rsidRPr="00EC2B22">
              <w:t>rform or support engineering-related operations, processes or projects. It embraces determining or establishing how the function of each technical system or component, as well as the skills and techniques of personnel, effects or potentially may effect out</w:t>
            </w:r>
            <w:r w:rsidRPr="00EC2B22">
              <w:t>comes. Systems should be interpreted broadly within the context of the organisation and depending on the project or operation can include equipment, related facilities, material, software, internal services and personnel, and other organisations in the val</w:t>
            </w:r>
            <w:r w:rsidRPr="00EC2B22">
              <w:t>ue chain</w:t>
            </w:r>
          </w:p>
        </w:tc>
      </w:tr>
      <w:tr w:rsidTr="00C042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B22">
            <w:pPr>
              <w:pStyle w:val="BodyText"/>
              <w:rPr>
                <w:lang w:val="en-NZ"/>
              </w:rPr>
            </w:pPr>
            <w:r w:rsidRPr="00EC2B22">
              <w:rPr>
                <w:rStyle w:val="SpecialBold"/>
              </w:rPr>
              <w:t>Automation safety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B22">
            <w:pPr>
              <w:pStyle w:val="BodyText"/>
              <w:rPr>
                <w:lang w:val="en-NZ"/>
              </w:rPr>
            </w:pPr>
            <w:r w:rsidRPr="00EC2B22">
              <w:t>Automation safetyrefers to the reliance on emergency stop, failsafe design, redundancy, interlocks and data integrity. Standards apply to general plant design and use as well as the ‘functional safety of safety-related electrica</w:t>
            </w:r>
            <w:r w:rsidRPr="00EC2B22">
              <w:t>l, electronic and programmable electronic control systems’</w:t>
            </w:r>
          </w:p>
        </w:tc>
      </w:tr>
      <w:tr w:rsidTr="00C042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B22">
            <w:pPr>
              <w:pStyle w:val="BodyText"/>
              <w:rPr>
                <w:lang w:val="en-NZ"/>
              </w:rPr>
            </w:pPr>
            <w:r w:rsidRPr="00EC2B22">
              <w:rPr>
                <w:rStyle w:val="SpecialBold"/>
              </w:rPr>
              <w:t>Mechatronic hardware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B22" w:rsidP="00EC2B22">
            <w:pPr>
              <w:pStyle w:val="BodyText"/>
            </w:pPr>
            <w:r w:rsidRPr="00EC2B22">
              <w:t>Mechatronic hardware may include:</w:t>
            </w:r>
          </w:p>
          <w:p w:rsidR="00000000" w:rsidRPr="00EC2B22" w:rsidP="00EC2B22">
            <w:pPr>
              <w:pStyle w:val="ListBullet"/>
            </w:pPr>
            <w:r w:rsidRPr="00EC2B22">
              <w:t>mechanical, fluid and electric actuators</w:t>
            </w:r>
          </w:p>
          <w:p w:rsidR="00000000" w:rsidRPr="00EC2B22" w:rsidP="00EC2B22">
            <w:pPr>
              <w:pStyle w:val="ListBullet"/>
            </w:pPr>
            <w:r w:rsidRPr="00EC2B22">
              <w:t>power transmission devices</w:t>
            </w:r>
          </w:p>
          <w:p w:rsidR="00000000" w:rsidRPr="00EC2B22" w:rsidP="00EC2B22">
            <w:pPr>
              <w:pStyle w:val="ListBullet"/>
            </w:pPr>
            <w:r w:rsidRPr="00EC2B22">
              <w:t>pipes, conduits wires, fittings and connectors</w:t>
            </w:r>
          </w:p>
          <w:p w:rsidR="00000000" w:rsidRPr="00EC2B22" w:rsidP="00EC2B22">
            <w:pPr>
              <w:pStyle w:val="ListBullet"/>
            </w:pPr>
            <w:r w:rsidRPr="00EC2B22">
              <w:t>controllers</w:t>
            </w:r>
          </w:p>
          <w:p w:rsidR="00000000" w:rsidRPr="00EC2B22" w:rsidP="00EC2B22">
            <w:pPr>
              <w:pStyle w:val="ListBullet"/>
            </w:pPr>
            <w:r w:rsidRPr="00EC2B22">
              <w:t>power interfa</w:t>
            </w:r>
            <w:r w:rsidRPr="00EC2B22">
              <w:t>ces</w:t>
            </w:r>
          </w:p>
          <w:p w:rsidR="00000000" w:rsidP="00EC2B22">
            <w:pPr>
              <w:pStyle w:val="ListBullet"/>
              <w:rPr>
                <w:lang w:val="en-NZ"/>
              </w:rPr>
            </w:pPr>
            <w:r w:rsidRPr="00EC2B22">
              <w:t>signal conditioning interfaces</w:t>
            </w:r>
          </w:p>
        </w:tc>
      </w:tr>
      <w:tr w:rsidTr="00C042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B22">
            <w:pPr>
              <w:pStyle w:val="BodyText"/>
              <w:rPr>
                <w:lang w:val="en-NZ"/>
              </w:rPr>
            </w:pPr>
            <w:r w:rsidRPr="00EC2B22">
              <w:rPr>
                <w:rStyle w:val="SpecialBold"/>
              </w:rPr>
              <w:t>Documentation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B22" w:rsidP="00EC2B22">
            <w:pPr>
              <w:pStyle w:val="BodyText"/>
            </w:pPr>
            <w:r w:rsidRPr="00EC2B22">
              <w:t>Documentation includes:</w:t>
            </w:r>
          </w:p>
          <w:p w:rsidR="00000000" w:rsidRPr="00EC2B22" w:rsidP="00EC2B22">
            <w:pPr>
              <w:pStyle w:val="ListBullet"/>
            </w:pPr>
            <w:r w:rsidRPr="00EC2B22">
              <w:t>documented calculations</w:t>
            </w:r>
          </w:p>
          <w:p w:rsidR="00000000" w:rsidRPr="00EC2B22" w:rsidP="00EC2B22">
            <w:pPr>
              <w:pStyle w:val="ListBullet"/>
            </w:pPr>
            <w:r w:rsidRPr="00EC2B22">
              <w:t>specifications</w:t>
            </w:r>
          </w:p>
          <w:p w:rsidR="00000000" w:rsidRPr="00EC2B22" w:rsidP="00EC2B22">
            <w:pPr>
              <w:pStyle w:val="ListBullet"/>
            </w:pPr>
            <w:r w:rsidRPr="00EC2B22">
              <w:t>CAD files</w:t>
            </w:r>
          </w:p>
          <w:p w:rsidR="00000000" w:rsidRPr="00EC2B22" w:rsidP="00EC2B22">
            <w:pPr>
              <w:pStyle w:val="ListBullet"/>
            </w:pPr>
            <w:r w:rsidRPr="00EC2B22">
              <w:t>risk analysis</w:t>
            </w:r>
          </w:p>
          <w:p w:rsidR="00000000" w:rsidRPr="00EC2B22" w:rsidP="00EC2B22">
            <w:pPr>
              <w:pStyle w:val="ListBullet"/>
            </w:pPr>
            <w:r w:rsidRPr="00EC2B22">
              <w:t>sustainability and life cycle assessments</w:t>
            </w:r>
          </w:p>
        </w:tc>
      </w:tr>
    </w:tbl>
    <w:p w:rsidR="00C04266" w:rsidP="00EC2B22">
      <w:pPr>
        <w:pStyle w:val="BodyText"/>
      </w:pPr>
    </w:p>
    <w:p w:rsidR="00C04266" w:rsidP="00EC2B22">
      <w:pPr>
        <w:pStyle w:val="BodyText"/>
      </w:pPr>
    </w:p>
    <w:p w:rsidR="00000000" w:rsidRPr="00EC2B22" w:rsidP="00EC2B22">
      <w:pPr>
        <w:pStyle w:val="Heading1"/>
      </w:pPr>
      <w:bookmarkStart w:id="12" w:name="O_518612"/>
      <w:bookmarkEnd w:id="12"/>
      <w:r w:rsidRPr="00EC2B22">
        <w:t>Unit Sector(s)</w:t>
      </w:r>
    </w:p>
    <w:tbl>
      <w:tblPr>
        <w:tblW w:w="0" w:type="auto"/>
        <w:tblCellMar>
          <w:left w:w="62" w:type="dxa"/>
          <w:right w:w="62" w:type="dxa"/>
        </w:tblCellMar>
        <w:tblLook w:val="0000"/>
      </w:tblPr>
      <w:tblGrid>
        <w:gridCol w:w="2576"/>
        <w:gridCol w:w="6620"/>
      </w:tblGrid>
      <w:tr w:rsidTr="00C042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2B22">
            <w:pPr>
              <w:pStyle w:val="BodyText"/>
              <w:rPr>
                <w:lang w:val="en-NZ"/>
              </w:rPr>
            </w:pPr>
            <w:r w:rsidRPr="00EC2B22">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EC2B22">
            <w:pPr>
              <w:pStyle w:val="BodyText"/>
              <w:rPr>
                <w:lang w:val="en-NZ"/>
              </w:rPr>
            </w:pPr>
          </w:p>
        </w:tc>
      </w:tr>
      <w:tr w:rsidTr="00C042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2B22">
            <w:pPr>
              <w:pStyle w:val="BodyText"/>
              <w:rPr>
                <w:lang w:val="en-NZ"/>
              </w:rPr>
            </w:pPr>
            <w:r w:rsidRPr="00EC2B22">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EC2B22" w:rsidP="00EC2B22">
            <w:pPr>
              <w:pStyle w:val="BodyText"/>
            </w:pPr>
            <w:r w:rsidRPr="00EC2B22">
              <w:t>Planning</w:t>
            </w:r>
          </w:p>
        </w:tc>
      </w:tr>
    </w:tbl>
    <w:p w:rsidR="00000000" w:rsidRPr="00EC2B22" w:rsidP="00EC2B22">
      <w:pPr>
        <w:pStyle w:val="BodyText"/>
      </w:pPr>
    </w:p>
    <w:p w:rsidR="00000000" w:rsidRPr="00EC2B22" w:rsidP="00EC2B22">
      <w:pPr>
        <w:pStyle w:val="AllowPageBreak"/>
      </w:pPr>
    </w:p>
    <w:p w:rsidR="00000000" w:rsidRPr="00EC2B22" w:rsidP="00EC2B22">
      <w:pPr>
        <w:pStyle w:val="Heading1"/>
      </w:pPr>
      <w:bookmarkStart w:id="13" w:name="O_518611"/>
      <w:bookmarkEnd w:id="13"/>
      <w:r w:rsidRPr="00EC2B22">
        <w:t>Custom Content Section</w:t>
      </w:r>
    </w:p>
    <w:p w:rsidR="00000000" w:rsidRPr="00EC2B22" w:rsidP="00EC2B22">
      <w:pPr>
        <w:pStyle w:val="BodyText"/>
      </w:pPr>
      <w:r w:rsidRPr="00EC2B22">
        <w:t>Not applicable.</w:t>
      </w:r>
    </w:p>
    <w:p w:rsidR="00000000" w:rsidRPr="00EC2B22" w:rsidP="00EC2B22"/>
    <w:sectPr w:rsidSect="00EC2B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B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B22" w:rsidRPr="00C04266" w:rsidP="00C042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B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266" w:rsidP="00EC2B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04266" w:rsidP="00EC2B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04266" w:rsidP="00EC2B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B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B22" w:rsidRPr="00C04266" w:rsidP="00C0426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B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266" w:rsidRPr="002D2AF8" w:rsidP="00EC2B22">
    <w:pPr>
      <w:pStyle w:val="Header"/>
      <w:framePr w:wrap="around"/>
    </w:pPr>
    <w:r>
      <w:fldChar w:fldCharType="begin"/>
    </w:r>
    <w:r>
      <w:instrText xml:space="preserve"> TITLE   \* MERGEFORMAT </w:instrText>
    </w:r>
    <w:r>
      <w:fldChar w:fldCharType="separate"/>
    </w:r>
    <w:r>
      <w:t>MEM14086A Apply mechatronic engineering analysis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20/12/2012</w:t>
    </w:r>
    <w:r>
      <w:fldChar w:fldCharType="end"/>
    </w:r>
  </w:p>
  <w:p w:rsidR="00C04266" w:rsidP="00EC2B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EC44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C67B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4AB1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B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2B22"/>
    <w:pPr>
      <w:spacing w:before="360" w:after="60"/>
      <w:outlineLvl w:val="0"/>
    </w:pPr>
    <w:rPr>
      <w:sz w:val="32"/>
    </w:rPr>
  </w:style>
  <w:style w:type="paragraph" w:styleId="Heading2">
    <w:name w:val="heading 2"/>
    <w:basedOn w:val="HeadingBase"/>
    <w:next w:val="BodyText"/>
    <w:link w:val="Heading2Char"/>
    <w:qFormat/>
    <w:rsid w:val="00EC2B22"/>
    <w:pPr>
      <w:keepLines/>
      <w:spacing w:before="240" w:after="120"/>
      <w:outlineLvl w:val="1"/>
    </w:pPr>
    <w:rPr>
      <w:sz w:val="28"/>
      <w:szCs w:val="40"/>
    </w:rPr>
  </w:style>
  <w:style w:type="paragraph" w:styleId="Heading3">
    <w:name w:val="heading 3"/>
    <w:basedOn w:val="HeadingBase"/>
    <w:next w:val="BodyText"/>
    <w:link w:val="Heading3Char"/>
    <w:qFormat/>
    <w:rsid w:val="00EC2B22"/>
    <w:pPr>
      <w:spacing w:before="180" w:after="120"/>
      <w:outlineLvl w:val="2"/>
    </w:pPr>
    <w:rPr>
      <w:spacing w:val="-10"/>
      <w:kern w:val="32"/>
    </w:rPr>
  </w:style>
  <w:style w:type="paragraph" w:styleId="Heading4">
    <w:name w:val="heading 4"/>
    <w:basedOn w:val="HeadingBase"/>
    <w:next w:val="BodyText"/>
    <w:link w:val="Heading4Char"/>
    <w:qFormat/>
    <w:rsid w:val="00EC2B22"/>
    <w:pPr>
      <w:spacing w:before="160" w:after="120"/>
      <w:outlineLvl w:val="3"/>
    </w:pPr>
    <w:rPr>
      <w:sz w:val="22"/>
    </w:rPr>
  </w:style>
  <w:style w:type="paragraph" w:styleId="Heading5">
    <w:name w:val="heading 5"/>
    <w:basedOn w:val="HeadingBase"/>
    <w:next w:val="Normal"/>
    <w:link w:val="Heading5Char"/>
    <w:qFormat/>
    <w:rsid w:val="00EC2B22"/>
    <w:pPr>
      <w:spacing w:before="80"/>
      <w:outlineLvl w:val="4"/>
    </w:pPr>
    <w:rPr>
      <w:color w:val="918585"/>
      <w:sz w:val="20"/>
    </w:rPr>
  </w:style>
  <w:style w:type="paragraph" w:styleId="Heading6">
    <w:name w:val="heading 6"/>
    <w:basedOn w:val="HeadingBase"/>
    <w:next w:val="Normal"/>
    <w:link w:val="Heading6Char"/>
    <w:qFormat/>
    <w:rsid w:val="00EC2B22"/>
    <w:pPr>
      <w:spacing w:before="60"/>
      <w:outlineLvl w:val="5"/>
    </w:pPr>
    <w:rPr>
      <w:color w:val="918585"/>
      <w:sz w:val="20"/>
    </w:rPr>
  </w:style>
  <w:style w:type="paragraph" w:styleId="Heading7">
    <w:name w:val="heading 7"/>
    <w:basedOn w:val="Normal"/>
    <w:next w:val="Normal"/>
    <w:link w:val="Heading7Char"/>
    <w:qFormat/>
    <w:rsid w:val="00EC2B22"/>
    <w:pPr>
      <w:ind w:left="720"/>
      <w:outlineLvl w:val="6"/>
    </w:pPr>
    <w:rPr>
      <w:i/>
    </w:rPr>
  </w:style>
  <w:style w:type="paragraph" w:styleId="Heading8">
    <w:name w:val="heading 8"/>
    <w:basedOn w:val="Normal"/>
    <w:next w:val="Normal"/>
    <w:link w:val="Heading8Char"/>
    <w:qFormat/>
    <w:rsid w:val="00EC2B22"/>
    <w:pPr>
      <w:ind w:left="720"/>
      <w:outlineLvl w:val="7"/>
    </w:pPr>
    <w:rPr>
      <w:i/>
    </w:rPr>
  </w:style>
  <w:style w:type="paragraph" w:styleId="Heading9">
    <w:name w:val="heading 9"/>
    <w:basedOn w:val="Normal"/>
    <w:next w:val="Normal"/>
    <w:link w:val="Heading9Char"/>
    <w:qFormat/>
    <w:rsid w:val="00EC2B22"/>
    <w:pPr>
      <w:ind w:left="720"/>
      <w:outlineLvl w:val="8"/>
    </w:pPr>
    <w:rPr>
      <w:i/>
    </w:rPr>
  </w:style>
  <w:style w:type="character" w:default="1" w:styleId="DefaultParagraphFont">
    <w:name w:val="Default Paragraph Font"/>
    <w:uiPriority w:val="1"/>
    <w:unhideWhenUsed/>
    <w:rsid w:val="00EC2B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2B22"/>
  </w:style>
  <w:style w:type="character" w:customStyle="1" w:styleId="Heading1Char">
    <w:name w:val="Heading 1 Char"/>
    <w:basedOn w:val="DefaultParagraphFont"/>
    <w:link w:val="Heading1"/>
    <w:rsid w:val="00EC2B22"/>
    <w:rPr>
      <w:rFonts w:ascii="Times New Roman" w:eastAsia="Times New Roman" w:hAnsi="Times New Roman" w:cs="Times New Roman"/>
      <w:b/>
      <w:sz w:val="32"/>
      <w:szCs w:val="20"/>
      <w:lang w:eastAsia="en-US"/>
    </w:rPr>
  </w:style>
  <w:style w:type="paragraph" w:styleId="BodyText">
    <w:name w:val="Body Text"/>
    <w:basedOn w:val="Normal"/>
    <w:link w:val="BodyTextChar"/>
    <w:rsid w:val="00EC2B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2B22"/>
    <w:rPr>
      <w:rFonts w:ascii="Times New Roman" w:eastAsia="Times New Roman" w:hAnsi="Times New Roman" w:cs="Times New Roman"/>
      <w:sz w:val="24"/>
      <w:lang w:eastAsia="en-US"/>
    </w:rPr>
  </w:style>
  <w:style w:type="paragraph" w:styleId="ListBullet">
    <w:name w:val="List Bullet"/>
    <w:basedOn w:val="List"/>
    <w:rsid w:val="00EC2B22"/>
    <w:pPr>
      <w:numPr>
        <w:numId w:val="13"/>
      </w:numPr>
      <w:tabs>
        <w:tab w:val="clear" w:pos="340"/>
      </w:tabs>
      <w:spacing w:before="40" w:after="40"/>
    </w:pPr>
  </w:style>
  <w:style w:type="character" w:customStyle="1" w:styleId="SpecialBold">
    <w:name w:val="Special Bold"/>
    <w:basedOn w:val="DefaultParagraphFont"/>
    <w:rsid w:val="00EC2B22"/>
    <w:rPr>
      <w:b/>
      <w:spacing w:val="0"/>
    </w:rPr>
  </w:style>
  <w:style w:type="paragraph" w:styleId="ListBullet2">
    <w:name w:val="List Bullet 2"/>
    <w:basedOn w:val="List2"/>
    <w:rsid w:val="00EC2B22"/>
    <w:pPr>
      <w:numPr>
        <w:numId w:val="14"/>
      </w:numPr>
      <w:tabs>
        <w:tab w:val="clear" w:pos="680"/>
      </w:tabs>
    </w:pPr>
  </w:style>
  <w:style w:type="paragraph" w:customStyle="1" w:styleId="SuperHeading">
    <w:name w:val="SuperHeading"/>
    <w:basedOn w:val="Normal"/>
    <w:rsid w:val="00EC2B22"/>
    <w:pPr>
      <w:spacing w:before="240" w:after="120"/>
      <w:outlineLvl w:val="0"/>
    </w:pPr>
    <w:rPr>
      <w:rFonts w:ascii="Times New Roman" w:hAnsi="Times New Roman"/>
      <w:b/>
      <w:sz w:val="32"/>
    </w:rPr>
  </w:style>
  <w:style w:type="paragraph" w:customStyle="1" w:styleId="AllowPageBreak">
    <w:name w:val="AllowPageBreak"/>
    <w:rsid w:val="00EC2B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2B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2B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2B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2B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2B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2B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2B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2B22"/>
    <w:rPr>
      <w:rFonts w:ascii="Courier New" w:eastAsia="Times New Roman" w:hAnsi="Courier New" w:cs="Times New Roman"/>
      <w:i/>
      <w:szCs w:val="20"/>
      <w:lang w:eastAsia="en-US"/>
    </w:rPr>
  </w:style>
  <w:style w:type="paragraph" w:customStyle="1" w:styleId="HeadingBase">
    <w:name w:val="Heading Base"/>
    <w:rsid w:val="00EC2B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2B22"/>
    <w:pPr>
      <w:tabs>
        <w:tab w:val="right" w:leader="dot" w:pos="9072"/>
      </w:tabs>
      <w:ind w:left="567"/>
    </w:pPr>
    <w:rPr>
      <w:szCs w:val="22"/>
    </w:rPr>
  </w:style>
  <w:style w:type="paragraph" w:customStyle="1" w:styleId="TOCBase">
    <w:name w:val="TOC Base"/>
    <w:rsid w:val="00EC2B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2B22"/>
    <w:pPr>
      <w:tabs>
        <w:tab w:val="right" w:leader="dot" w:pos="9072"/>
      </w:tabs>
      <w:spacing w:before="40" w:after="40"/>
      <w:ind w:left="284"/>
    </w:pPr>
    <w:rPr>
      <w:rFonts w:ascii="Times New Roman" w:hAnsi="Times New Roman"/>
    </w:rPr>
  </w:style>
  <w:style w:type="paragraph" w:styleId="TOC1">
    <w:name w:val="toc 1"/>
    <w:basedOn w:val="TOCBase"/>
    <w:next w:val="Normal"/>
    <w:rsid w:val="00EC2B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2B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2B22"/>
    <w:rPr>
      <w:rFonts w:ascii="Times New Roman" w:eastAsia="Times New Roman" w:hAnsi="Times New Roman" w:cs="Times New Roman"/>
      <w:sz w:val="16"/>
      <w:lang w:eastAsia="en-US"/>
    </w:rPr>
  </w:style>
  <w:style w:type="paragraph" w:styleId="Title">
    <w:name w:val="Title"/>
    <w:basedOn w:val="HeadingBase"/>
    <w:link w:val="TitleChar"/>
    <w:qFormat/>
    <w:rsid w:val="00EC2B22"/>
    <w:pPr>
      <w:spacing w:before="5040"/>
      <w:jc w:val="center"/>
    </w:pPr>
    <w:rPr>
      <w:sz w:val="48"/>
      <w:szCs w:val="72"/>
      <w:lang w:val="en-US"/>
    </w:rPr>
  </w:style>
  <w:style w:type="character" w:customStyle="1" w:styleId="TitleChar">
    <w:name w:val="Title Char"/>
    <w:basedOn w:val="DefaultParagraphFont"/>
    <w:link w:val="Title"/>
    <w:rsid w:val="00EC2B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2B22"/>
    <w:pPr>
      <w:tabs>
        <w:tab w:val="left" w:pos="3600"/>
        <w:tab w:val="left" w:pos="3958"/>
      </w:tabs>
    </w:pPr>
  </w:style>
  <w:style w:type="paragraph" w:styleId="List">
    <w:name w:val="List"/>
    <w:basedOn w:val="BodyText"/>
    <w:next w:val="BodyText"/>
    <w:rsid w:val="00EC2B22"/>
    <w:pPr>
      <w:tabs>
        <w:tab w:val="left" w:pos="340"/>
      </w:tabs>
      <w:spacing w:before="60" w:after="60"/>
      <w:ind w:left="340" w:hanging="340"/>
    </w:pPr>
  </w:style>
  <w:style w:type="paragraph" w:customStyle="1" w:styleId="Note">
    <w:name w:val="Note"/>
    <w:basedOn w:val="BodyText"/>
    <w:rsid w:val="00EC2B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2B22"/>
    <w:pPr>
      <w:framePr w:wrap="auto" w:hAnchor="text" w:y="6049"/>
    </w:pPr>
    <w:rPr>
      <w:color w:val="000000"/>
      <w:sz w:val="40"/>
    </w:rPr>
  </w:style>
  <w:style w:type="paragraph" w:customStyle="1" w:styleId="TOCTitle">
    <w:name w:val="TOCTitle"/>
    <w:basedOn w:val="Heading1"/>
    <w:rsid w:val="00EC2B22"/>
    <w:pPr>
      <w:spacing w:after="240"/>
      <w:jc w:val="center"/>
      <w:outlineLvl w:val="9"/>
    </w:pPr>
    <w:rPr>
      <w:caps/>
    </w:rPr>
  </w:style>
  <w:style w:type="paragraph" w:customStyle="1" w:styleId="Version">
    <w:name w:val="Version"/>
    <w:rsid w:val="00EC2B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2B22"/>
    <w:pPr>
      <w:keepNext w:val="0"/>
      <w:tabs>
        <w:tab w:val="right" w:pos="4176"/>
      </w:tabs>
      <w:ind w:left="198" w:hanging="198"/>
    </w:pPr>
    <w:rPr>
      <w:rFonts w:ascii="Garamond" w:hAnsi="Garamond"/>
    </w:rPr>
  </w:style>
  <w:style w:type="paragraph" w:styleId="IndexHeading">
    <w:name w:val="index heading"/>
    <w:basedOn w:val="Normal"/>
    <w:next w:val="Index1"/>
    <w:semiHidden/>
    <w:rsid w:val="00EC2B22"/>
    <w:pPr>
      <w:spacing w:before="120" w:after="120"/>
    </w:pPr>
    <w:rPr>
      <w:rFonts w:ascii="Arial" w:hAnsi="Arial"/>
      <w:b/>
      <w:color w:val="918585"/>
      <w:sz w:val="24"/>
    </w:rPr>
  </w:style>
  <w:style w:type="paragraph" w:styleId="Header">
    <w:name w:val="header"/>
    <w:basedOn w:val="Normal"/>
    <w:link w:val="HeaderChar"/>
    <w:rsid w:val="00EC2B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2B22"/>
    <w:rPr>
      <w:rFonts w:ascii="Times New Roman" w:eastAsia="Times New Roman" w:hAnsi="Times New Roman" w:cs="Times New Roman"/>
      <w:sz w:val="16"/>
      <w:szCs w:val="20"/>
      <w:lang w:val="en-GB" w:eastAsia="en-US"/>
    </w:rPr>
  </w:style>
  <w:style w:type="paragraph" w:customStyle="1" w:styleId="Chapter">
    <w:name w:val="Chapter"/>
    <w:basedOn w:val="Normal"/>
    <w:rsid w:val="00EC2B22"/>
    <w:pPr>
      <w:spacing w:before="240"/>
    </w:pPr>
    <w:rPr>
      <w:rFonts w:ascii="Times New Roman" w:hAnsi="Times New Roman"/>
      <w:smallCaps/>
      <w:spacing w:val="80"/>
      <w:sz w:val="28"/>
    </w:rPr>
  </w:style>
  <w:style w:type="paragraph" w:customStyle="1" w:styleId="InChapter">
    <w:name w:val="InChapter"/>
    <w:basedOn w:val="Heading3"/>
    <w:rsid w:val="00EC2B22"/>
    <w:pPr>
      <w:spacing w:after="240"/>
      <w:outlineLvl w:val="9"/>
    </w:pPr>
    <w:rPr>
      <w:noProof/>
    </w:rPr>
  </w:style>
  <w:style w:type="paragraph" w:styleId="Index2">
    <w:name w:val="index 2"/>
    <w:basedOn w:val="Normal"/>
    <w:next w:val="Normal"/>
    <w:semiHidden/>
    <w:rsid w:val="00EC2B22"/>
    <w:pPr>
      <w:tabs>
        <w:tab w:val="right" w:pos="4176"/>
      </w:tabs>
      <w:ind w:left="568" w:hanging="284"/>
    </w:pPr>
    <w:rPr>
      <w:rFonts w:ascii="Garamond" w:hAnsi="Garamond"/>
    </w:rPr>
  </w:style>
  <w:style w:type="paragraph" w:customStyle="1" w:styleId="Byline">
    <w:name w:val="Byline"/>
    <w:rsid w:val="00EC2B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2B22"/>
    <w:pPr>
      <w:tabs>
        <w:tab w:val="clear" w:pos="3600"/>
        <w:tab w:val="clear" w:pos="3958"/>
      </w:tabs>
      <w:jc w:val="right"/>
    </w:pPr>
  </w:style>
  <w:style w:type="character" w:styleId="Emphasis">
    <w:name w:val="Emphasis"/>
    <w:basedOn w:val="DefaultParagraphFont"/>
    <w:qFormat/>
    <w:rsid w:val="00EC2B22"/>
    <w:rPr>
      <w:i/>
    </w:rPr>
  </w:style>
  <w:style w:type="paragraph" w:styleId="Caption">
    <w:name w:val="caption"/>
    <w:basedOn w:val="BodyText"/>
    <w:next w:val="Normal"/>
    <w:qFormat/>
    <w:rsid w:val="00EC2B22"/>
    <w:pPr>
      <w:framePr w:w="2268" w:hSpace="181" w:vSpace="181" w:wrap="around" w:vAnchor="text" w:hAnchor="page" w:x="1135" w:y="285" w:anchorLock="1"/>
    </w:pPr>
    <w:rPr>
      <w:i/>
    </w:rPr>
  </w:style>
  <w:style w:type="paragraph" w:customStyle="1" w:styleId="MiniTOCTitle">
    <w:name w:val="MiniTOCTitle"/>
    <w:basedOn w:val="Heading4"/>
    <w:rsid w:val="00EC2B22"/>
    <w:pPr>
      <w:spacing w:before="240"/>
      <w:outlineLvl w:val="9"/>
    </w:pPr>
    <w:rPr>
      <w:noProof/>
      <w:sz w:val="24"/>
    </w:rPr>
  </w:style>
  <w:style w:type="paragraph" w:customStyle="1" w:styleId="MiniTOCItem">
    <w:name w:val="MiniTOCItem"/>
    <w:basedOn w:val="ListBullet"/>
    <w:rsid w:val="00EC2B22"/>
    <w:pPr>
      <w:numPr>
        <w:numId w:val="0"/>
      </w:numPr>
      <w:tabs>
        <w:tab w:val="right" w:leader="dot" w:pos="6521"/>
      </w:tabs>
      <w:spacing w:before="0" w:after="0"/>
    </w:pPr>
  </w:style>
  <w:style w:type="paragraph" w:customStyle="1" w:styleId="TOFTitle">
    <w:name w:val="TOFTitle"/>
    <w:basedOn w:val="TOCTitle"/>
    <w:rsid w:val="00EC2B22"/>
  </w:style>
  <w:style w:type="paragraph" w:styleId="TableofFigures">
    <w:name w:val="table of figures"/>
    <w:basedOn w:val="Normal"/>
    <w:next w:val="Normal"/>
    <w:semiHidden/>
    <w:rsid w:val="00EC2B22"/>
    <w:pPr>
      <w:tabs>
        <w:tab w:val="right" w:leader="dot" w:pos="9072"/>
      </w:tabs>
      <w:ind w:left="970" w:hanging="403"/>
    </w:pPr>
    <w:rPr>
      <w:rFonts w:ascii="Times New Roman" w:hAnsi="Times New Roman"/>
      <w:b/>
    </w:rPr>
  </w:style>
  <w:style w:type="paragraph" w:styleId="ListNumber">
    <w:name w:val="List Number"/>
    <w:basedOn w:val="List"/>
    <w:rsid w:val="00EC2B22"/>
    <w:pPr>
      <w:numPr>
        <w:numId w:val="11"/>
      </w:numPr>
    </w:pPr>
  </w:style>
  <w:style w:type="character" w:customStyle="1" w:styleId="WingdingSymbols">
    <w:name w:val="Wingding Symbols"/>
    <w:rsid w:val="00EC2B22"/>
    <w:rPr>
      <w:rFonts w:ascii="Wingdings" w:hAnsi="Wingdings"/>
    </w:rPr>
  </w:style>
  <w:style w:type="paragraph" w:customStyle="1" w:styleId="TableHeading">
    <w:name w:val="Table Heading"/>
    <w:basedOn w:val="HeadingBase"/>
    <w:rsid w:val="00EC2B22"/>
    <w:pPr>
      <w:keepLines/>
      <w:pBdr>
        <w:bottom w:val="single" w:sz="6" w:space="1" w:color="918585"/>
      </w:pBdr>
      <w:spacing w:before="240"/>
    </w:pPr>
  </w:style>
  <w:style w:type="character" w:customStyle="1" w:styleId="HotSpot">
    <w:name w:val="HotSpot"/>
    <w:rsid w:val="00EC2B22"/>
    <w:rPr>
      <w:color w:val="0033CC"/>
      <w:u w:val="none"/>
    </w:rPr>
  </w:style>
  <w:style w:type="paragraph" w:customStyle="1" w:styleId="BodyTextRight">
    <w:name w:val="Body Text Right"/>
    <w:basedOn w:val="BodyText"/>
    <w:rsid w:val="00EC2B22"/>
    <w:pPr>
      <w:spacing w:before="0" w:after="0"/>
      <w:jc w:val="right"/>
    </w:pPr>
  </w:style>
  <w:style w:type="paragraph" w:styleId="Index3">
    <w:name w:val="index 3"/>
    <w:basedOn w:val="ListNumber2"/>
    <w:next w:val="Normal"/>
    <w:semiHidden/>
    <w:rsid w:val="00EC2B22"/>
    <w:pPr>
      <w:numPr>
        <w:numId w:val="0"/>
      </w:numPr>
      <w:tabs>
        <w:tab w:val="right" w:leader="dot" w:pos="4176"/>
      </w:tabs>
    </w:pPr>
  </w:style>
  <w:style w:type="paragraph" w:styleId="ListNumber2">
    <w:name w:val="List Number 2"/>
    <w:basedOn w:val="List2"/>
    <w:rsid w:val="00EC2B22"/>
    <w:pPr>
      <w:numPr>
        <w:numId w:val="10"/>
      </w:numPr>
      <w:tabs>
        <w:tab w:val="clear" w:pos="1060"/>
      </w:tabs>
    </w:pPr>
  </w:style>
  <w:style w:type="paragraph" w:customStyle="1" w:styleId="MarginNote">
    <w:name w:val="Margin Note"/>
    <w:basedOn w:val="BodyText"/>
    <w:rsid w:val="00EC2B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2B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2B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2B22"/>
    <w:rPr>
      <w:sz w:val="32"/>
    </w:rPr>
  </w:style>
  <w:style w:type="paragraph" w:customStyle="1" w:styleId="HeadingProcedure">
    <w:name w:val="Heading Procedure"/>
    <w:basedOn w:val="HeadingBase"/>
    <w:next w:val="Normal"/>
    <w:rsid w:val="00EC2B22"/>
    <w:pPr>
      <w:tabs>
        <w:tab w:val="left" w:pos="0"/>
      </w:tabs>
      <w:spacing w:before="120" w:after="60"/>
    </w:pPr>
    <w:rPr>
      <w:i/>
      <w:color w:val="918585"/>
      <w:sz w:val="22"/>
    </w:rPr>
  </w:style>
  <w:style w:type="paragraph" w:customStyle="1" w:styleId="TableBodyText">
    <w:name w:val="Table Body Text"/>
    <w:basedOn w:val="BodyText"/>
    <w:rsid w:val="00EC2B22"/>
    <w:pPr>
      <w:spacing w:before="60" w:after="60"/>
    </w:pPr>
  </w:style>
  <w:style w:type="paragraph" w:styleId="ListContinue">
    <w:name w:val="List Continue"/>
    <w:basedOn w:val="List"/>
    <w:rsid w:val="00EC2B22"/>
    <w:pPr>
      <w:ind w:firstLine="0"/>
    </w:pPr>
  </w:style>
  <w:style w:type="paragraph" w:customStyle="1" w:styleId="ListNote">
    <w:name w:val="List Note"/>
    <w:basedOn w:val="List"/>
    <w:rsid w:val="00EC2B22"/>
    <w:pPr>
      <w:pBdr>
        <w:top w:val="single" w:sz="6" w:space="2" w:color="918585"/>
        <w:bottom w:val="single" w:sz="6" w:space="2" w:color="918585"/>
      </w:pBdr>
      <w:tabs>
        <w:tab w:val="left" w:pos="1021"/>
      </w:tabs>
      <w:ind w:firstLine="0"/>
    </w:pPr>
  </w:style>
  <w:style w:type="paragraph" w:customStyle="1" w:styleId="Warning">
    <w:name w:val="Warning"/>
    <w:basedOn w:val="BodyText"/>
    <w:rsid w:val="00EC2B22"/>
    <w:pPr>
      <w:shd w:val="clear" w:color="auto" w:fill="D9D9D9"/>
      <w:tabs>
        <w:tab w:val="left" w:pos="992"/>
      </w:tabs>
      <w:ind w:left="119" w:right="119"/>
    </w:pPr>
    <w:rPr>
      <w:sz w:val="20"/>
    </w:rPr>
  </w:style>
  <w:style w:type="paragraph" w:customStyle="1" w:styleId="MarginIcons">
    <w:name w:val="Margin Icons"/>
    <w:basedOn w:val="BodyText"/>
    <w:rsid w:val="00EC2B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2B22"/>
    <w:rPr>
      <w:rFonts w:ascii="Courier New" w:hAnsi="Courier New"/>
    </w:rPr>
  </w:style>
  <w:style w:type="paragraph" w:customStyle="1" w:styleId="NoteBullet">
    <w:name w:val="Note Bullet"/>
    <w:basedOn w:val="Note"/>
    <w:rsid w:val="00EC2B22"/>
    <w:pPr>
      <w:tabs>
        <w:tab w:val="clear" w:pos="680"/>
      </w:tabs>
      <w:spacing w:before="60" w:after="60"/>
    </w:pPr>
  </w:style>
  <w:style w:type="paragraph" w:customStyle="1" w:styleId="SubHeading2">
    <w:name w:val="SubHeading2"/>
    <w:basedOn w:val="HeadingBase"/>
    <w:rsid w:val="00EC2B22"/>
    <w:pPr>
      <w:spacing w:before="240" w:after="60"/>
    </w:pPr>
    <w:rPr>
      <w:sz w:val="20"/>
    </w:rPr>
  </w:style>
  <w:style w:type="paragraph" w:customStyle="1" w:styleId="SubHeading1">
    <w:name w:val="SubHeading1"/>
    <w:basedOn w:val="HeadingBase"/>
    <w:rsid w:val="00EC2B22"/>
    <w:pPr>
      <w:spacing w:before="240" w:after="60"/>
    </w:pPr>
    <w:rPr>
      <w:color w:val="918585"/>
      <w:sz w:val="22"/>
    </w:rPr>
  </w:style>
  <w:style w:type="paragraph" w:customStyle="1" w:styleId="SideHeading">
    <w:name w:val="Side Heading"/>
    <w:basedOn w:val="HeadingBase"/>
    <w:rsid w:val="00EC2B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2B22"/>
    <w:pPr>
      <w:numPr>
        <w:numId w:val="12"/>
      </w:numPr>
    </w:pPr>
  </w:style>
  <w:style w:type="paragraph" w:styleId="PlainText">
    <w:name w:val="Plain Text"/>
    <w:basedOn w:val="Normal"/>
    <w:link w:val="PlainTextChar"/>
    <w:rsid w:val="00EC2B22"/>
    <w:rPr>
      <w:sz w:val="20"/>
    </w:rPr>
  </w:style>
  <w:style w:type="character" w:customStyle="1" w:styleId="PlainTextChar">
    <w:name w:val="Plain Text Char"/>
    <w:basedOn w:val="DefaultParagraphFont"/>
    <w:link w:val="PlainText"/>
    <w:rsid w:val="00EC2B22"/>
    <w:rPr>
      <w:rFonts w:ascii="Courier New" w:eastAsia="Times New Roman" w:hAnsi="Courier New" w:cs="Times New Roman"/>
      <w:sz w:val="20"/>
      <w:szCs w:val="20"/>
      <w:lang w:eastAsia="en-US"/>
    </w:rPr>
  </w:style>
  <w:style w:type="character" w:customStyle="1" w:styleId="MenuOption">
    <w:name w:val="Menu Option"/>
    <w:basedOn w:val="DefaultParagraphFont"/>
    <w:rsid w:val="00EC2B22"/>
    <w:rPr>
      <w:b/>
      <w:smallCaps/>
    </w:rPr>
  </w:style>
  <w:style w:type="paragraph" w:customStyle="1" w:styleId="TableListNumber">
    <w:name w:val="Table List Number"/>
    <w:basedOn w:val="ListNumber"/>
    <w:rsid w:val="00EC2B22"/>
    <w:pPr>
      <w:numPr>
        <w:numId w:val="0"/>
      </w:numPr>
    </w:pPr>
  </w:style>
  <w:style w:type="paragraph" w:styleId="TOC4">
    <w:name w:val="toc 4"/>
    <w:basedOn w:val="TOCBase"/>
    <w:next w:val="Normal"/>
    <w:semiHidden/>
    <w:rsid w:val="00EC2B22"/>
    <w:pPr>
      <w:tabs>
        <w:tab w:val="right" w:leader="dot" w:pos="9071"/>
      </w:tabs>
      <w:ind w:left="1701"/>
    </w:pPr>
  </w:style>
  <w:style w:type="paragraph" w:customStyle="1" w:styleId="ListAlpha">
    <w:name w:val="List Alpha"/>
    <w:basedOn w:val="List"/>
    <w:rsid w:val="00EC2B22"/>
    <w:pPr>
      <w:numPr>
        <w:numId w:val="9"/>
      </w:numPr>
    </w:pPr>
  </w:style>
  <w:style w:type="paragraph" w:customStyle="1" w:styleId="ListAlpha2">
    <w:name w:val="List Alpha 2"/>
    <w:basedOn w:val="List2"/>
    <w:rsid w:val="00EC2B22"/>
    <w:pPr>
      <w:numPr>
        <w:numId w:val="8"/>
      </w:numPr>
    </w:pPr>
  </w:style>
  <w:style w:type="paragraph" w:styleId="List2">
    <w:name w:val="List 2"/>
    <w:basedOn w:val="BodyText"/>
    <w:rsid w:val="00EC2B22"/>
    <w:pPr>
      <w:tabs>
        <w:tab w:val="left" w:pos="680"/>
      </w:tabs>
      <w:spacing w:before="60" w:after="60"/>
      <w:ind w:left="680" w:hanging="340"/>
    </w:pPr>
  </w:style>
  <w:style w:type="paragraph" w:styleId="List3">
    <w:name w:val="List 3"/>
    <w:basedOn w:val="BodyText"/>
    <w:rsid w:val="00EC2B22"/>
    <w:pPr>
      <w:tabs>
        <w:tab w:val="left" w:pos="1021"/>
      </w:tabs>
      <w:spacing w:before="60" w:after="60"/>
      <w:ind w:left="1020" w:hanging="340"/>
    </w:pPr>
  </w:style>
  <w:style w:type="paragraph" w:styleId="List4">
    <w:name w:val="List 4"/>
    <w:basedOn w:val="BodyText"/>
    <w:rsid w:val="00EC2B22"/>
    <w:pPr>
      <w:tabs>
        <w:tab w:val="left" w:pos="1361"/>
      </w:tabs>
      <w:spacing w:before="60" w:after="60"/>
      <w:ind w:left="1361" w:hanging="340"/>
    </w:pPr>
  </w:style>
  <w:style w:type="paragraph" w:styleId="List5">
    <w:name w:val="List 5"/>
    <w:basedOn w:val="BodyText"/>
    <w:rsid w:val="00EC2B22"/>
    <w:pPr>
      <w:tabs>
        <w:tab w:val="left" w:pos="1701"/>
      </w:tabs>
      <w:spacing w:before="60" w:after="60"/>
      <w:ind w:left="1701" w:hanging="340"/>
    </w:pPr>
  </w:style>
  <w:style w:type="paragraph" w:styleId="ListBullet3">
    <w:name w:val="List Bullet 3"/>
    <w:basedOn w:val="List3"/>
    <w:rsid w:val="00EC2B22"/>
    <w:pPr>
      <w:numPr>
        <w:numId w:val="15"/>
      </w:numPr>
      <w:tabs>
        <w:tab w:val="clear" w:pos="1021"/>
      </w:tabs>
      <w:ind w:left="1037" w:hanging="357"/>
    </w:pPr>
  </w:style>
  <w:style w:type="paragraph" w:styleId="ListBullet4">
    <w:name w:val="List Bullet 4"/>
    <w:basedOn w:val="List4"/>
    <w:rsid w:val="00EC2B22"/>
    <w:pPr>
      <w:numPr>
        <w:numId w:val="3"/>
      </w:numPr>
    </w:pPr>
  </w:style>
  <w:style w:type="paragraph" w:styleId="ListBullet5">
    <w:name w:val="List Bullet 5"/>
    <w:basedOn w:val="List5"/>
    <w:rsid w:val="00EC2B22"/>
    <w:pPr>
      <w:numPr>
        <w:numId w:val="4"/>
      </w:numPr>
    </w:pPr>
  </w:style>
  <w:style w:type="paragraph" w:styleId="ListContinue2">
    <w:name w:val="List Continue 2"/>
    <w:basedOn w:val="List2"/>
    <w:rsid w:val="00EC2B22"/>
    <w:pPr>
      <w:ind w:firstLine="0"/>
    </w:pPr>
  </w:style>
  <w:style w:type="paragraph" w:styleId="ListContinue3">
    <w:name w:val="List Continue 3"/>
    <w:basedOn w:val="List3"/>
    <w:rsid w:val="00EC2B22"/>
    <w:pPr>
      <w:ind w:left="1021" w:firstLine="0"/>
    </w:pPr>
  </w:style>
  <w:style w:type="paragraph" w:styleId="ListContinue4">
    <w:name w:val="List Continue 4"/>
    <w:basedOn w:val="List4"/>
    <w:rsid w:val="00EC2B22"/>
    <w:pPr>
      <w:ind w:firstLine="0"/>
    </w:pPr>
  </w:style>
  <w:style w:type="paragraph" w:styleId="ListContinue5">
    <w:name w:val="List Continue 5"/>
    <w:basedOn w:val="List5"/>
    <w:rsid w:val="00EC2B22"/>
    <w:pPr>
      <w:ind w:firstLine="0"/>
    </w:pPr>
  </w:style>
  <w:style w:type="paragraph" w:styleId="ListNumber3">
    <w:name w:val="List Number 3"/>
    <w:basedOn w:val="List3"/>
    <w:rsid w:val="00EC2B22"/>
    <w:pPr>
      <w:numPr>
        <w:numId w:val="5"/>
      </w:numPr>
    </w:pPr>
  </w:style>
  <w:style w:type="paragraph" w:styleId="ListNumber4">
    <w:name w:val="List Number 4"/>
    <w:basedOn w:val="List4"/>
    <w:rsid w:val="00EC2B22"/>
    <w:pPr>
      <w:numPr>
        <w:numId w:val="6"/>
      </w:numPr>
    </w:pPr>
  </w:style>
  <w:style w:type="paragraph" w:styleId="ListNumber5">
    <w:name w:val="List Number 5"/>
    <w:basedOn w:val="List5"/>
    <w:rsid w:val="00EC2B22"/>
    <w:pPr>
      <w:numPr>
        <w:numId w:val="7"/>
      </w:numPr>
    </w:pPr>
  </w:style>
  <w:style w:type="paragraph" w:styleId="BlockText">
    <w:name w:val="Block Text"/>
    <w:basedOn w:val="Normal"/>
    <w:rsid w:val="00EC2B22"/>
    <w:pPr>
      <w:spacing w:after="120"/>
      <w:ind w:left="1440" w:right="1440"/>
    </w:pPr>
  </w:style>
  <w:style w:type="character" w:customStyle="1" w:styleId="Subscript">
    <w:name w:val="Subscript"/>
    <w:basedOn w:val="DefaultParagraphFont"/>
    <w:rsid w:val="00EC2B22"/>
    <w:rPr>
      <w:sz w:val="16"/>
      <w:vertAlign w:val="subscript"/>
    </w:rPr>
  </w:style>
  <w:style w:type="character" w:customStyle="1" w:styleId="Superscript">
    <w:name w:val="Superscript"/>
    <w:basedOn w:val="DefaultParagraphFont"/>
    <w:rsid w:val="00EC2B22"/>
    <w:rPr>
      <w:sz w:val="16"/>
      <w:vertAlign w:val="superscript"/>
    </w:rPr>
  </w:style>
  <w:style w:type="character" w:customStyle="1" w:styleId="Symbols">
    <w:name w:val="Symbols"/>
    <w:basedOn w:val="DefaultParagraphFont"/>
    <w:rsid w:val="00EC2B22"/>
    <w:rPr>
      <w:rFonts w:ascii="Symbol" w:hAnsi="Symbol"/>
    </w:rPr>
  </w:style>
  <w:style w:type="character" w:customStyle="1" w:styleId="MenuOptions">
    <w:name w:val="Menu Options"/>
    <w:basedOn w:val="DefaultParagraphFont"/>
    <w:rsid w:val="00EC2B22"/>
    <w:rPr>
      <w:rFonts w:ascii="Arial Narrow" w:hAnsi="Arial Narrow"/>
      <w:smallCaps/>
    </w:rPr>
  </w:style>
  <w:style w:type="character" w:customStyle="1" w:styleId="Buttons">
    <w:name w:val="Buttons"/>
    <w:basedOn w:val="DefaultParagraphFont"/>
    <w:rsid w:val="00EC2B22"/>
    <w:rPr>
      <w:b/>
    </w:rPr>
  </w:style>
  <w:style w:type="character" w:customStyle="1" w:styleId="Underlined">
    <w:name w:val="Underlined"/>
    <w:basedOn w:val="DefaultParagraphFont"/>
    <w:rsid w:val="00EC2B22"/>
    <w:rPr>
      <w:u w:val="single"/>
    </w:rPr>
  </w:style>
  <w:style w:type="paragraph" w:customStyle="1" w:styleId="TableBodyTextRight">
    <w:name w:val="Table Body Text Right"/>
    <w:basedOn w:val="TableBodyText"/>
    <w:rsid w:val="00EC2B22"/>
    <w:pPr>
      <w:widowControl w:val="0"/>
      <w:autoSpaceDE w:val="0"/>
      <w:autoSpaceDN w:val="0"/>
      <w:adjustRightInd w:val="0"/>
      <w:jc w:val="right"/>
    </w:pPr>
    <w:rPr>
      <w:rFonts w:cs="Arial"/>
      <w:szCs w:val="18"/>
    </w:rPr>
  </w:style>
  <w:style w:type="paragraph" w:customStyle="1" w:styleId="CopyrightText">
    <w:name w:val="Copyright Text"/>
    <w:basedOn w:val="BodyText"/>
    <w:rsid w:val="00EC2B22"/>
    <w:rPr>
      <w:sz w:val="18"/>
    </w:rPr>
  </w:style>
  <w:style w:type="paragraph" w:customStyle="1" w:styleId="BodySmallRight">
    <w:name w:val="Body Small Right"/>
    <w:basedOn w:val="BodyTextRight"/>
    <w:rsid w:val="00EC2B22"/>
    <w:rPr>
      <w:sz w:val="18"/>
      <w:szCs w:val="18"/>
    </w:rPr>
  </w:style>
  <w:style w:type="paragraph" w:customStyle="1" w:styleId="MarginEdition">
    <w:name w:val="Margin Edition"/>
    <w:basedOn w:val="MarginNote"/>
    <w:rsid w:val="00EC2B22"/>
    <w:pPr>
      <w:spacing w:before="0" w:after="0"/>
    </w:pPr>
    <w:rPr>
      <w:rFonts w:ascii="Times New Roman" w:hAnsi="Times New Roman"/>
      <w:color w:val="999999"/>
    </w:rPr>
  </w:style>
  <w:style w:type="paragraph" w:customStyle="1" w:styleId="Spacer">
    <w:name w:val="Spacer"/>
    <w:basedOn w:val="Normal"/>
    <w:rsid w:val="00EC2B22"/>
    <w:rPr>
      <w:sz w:val="2"/>
      <w:szCs w:val="2"/>
    </w:rPr>
  </w:style>
  <w:style w:type="character" w:customStyle="1" w:styleId="Small">
    <w:name w:val="Small"/>
    <w:basedOn w:val="DefaultParagraphFont"/>
    <w:rsid w:val="00EC2B22"/>
    <w:rPr>
      <w:sz w:val="16"/>
    </w:rPr>
  </w:style>
  <w:style w:type="paragraph" w:customStyle="1" w:styleId="WideTable">
    <w:name w:val="Wide Table"/>
    <w:basedOn w:val="Normal"/>
    <w:rsid w:val="00EC2B22"/>
    <w:pPr>
      <w:ind w:left="-1418"/>
    </w:pPr>
    <w:rPr>
      <w:sz w:val="2"/>
      <w:szCs w:val="2"/>
    </w:rPr>
  </w:style>
  <w:style w:type="character" w:styleId="PageNumber">
    <w:name w:val="page number"/>
    <w:basedOn w:val="DefaultParagraphFont"/>
    <w:rsid w:val="00EC2B22"/>
  </w:style>
  <w:style w:type="paragraph" w:styleId="Quote">
    <w:name w:val="Quote"/>
    <w:basedOn w:val="Heading1"/>
    <w:link w:val="QuoteChar"/>
    <w:qFormat/>
    <w:rsid w:val="00EC2B22"/>
    <w:rPr>
      <w:b w:val="0"/>
      <w:sz w:val="72"/>
      <w:szCs w:val="72"/>
      <w:lang w:val="en-NZ"/>
    </w:rPr>
  </w:style>
  <w:style w:type="character" w:customStyle="1" w:styleId="QuoteChar">
    <w:name w:val="Quote Char"/>
    <w:basedOn w:val="DefaultParagraphFont"/>
    <w:link w:val="Quote"/>
    <w:rsid w:val="00EC2B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2B22"/>
    <w:pPr>
      <w:pageBreakBefore/>
    </w:pPr>
  </w:style>
  <w:style w:type="paragraph" w:customStyle="1" w:styleId="Border">
    <w:name w:val="Border"/>
    <w:basedOn w:val="Normal"/>
    <w:qFormat/>
    <w:rsid w:val="00EC2B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2B22"/>
    <w:rPr>
      <w:b/>
      <w:bCs/>
      <w:i/>
      <w:iCs/>
      <w:color w:val="auto"/>
    </w:rPr>
  </w:style>
  <w:style w:type="paragraph" w:styleId="IntenseQuote">
    <w:name w:val="Intense Quote"/>
    <w:basedOn w:val="Normal"/>
    <w:next w:val="Normal"/>
    <w:link w:val="IntenseQuoteChar"/>
    <w:uiPriority w:val="30"/>
    <w:qFormat/>
    <w:rsid w:val="00EC2B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2B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2B22"/>
    <w:rPr>
      <w:smallCaps/>
      <w:color w:val="auto"/>
      <w:u w:val="single"/>
    </w:rPr>
  </w:style>
  <w:style w:type="character" w:styleId="IntenseReference">
    <w:name w:val="Intense Reference"/>
    <w:basedOn w:val="DefaultParagraphFont"/>
    <w:uiPriority w:val="32"/>
    <w:qFormat/>
    <w:rsid w:val="00EC2B22"/>
    <w:rPr>
      <w:b/>
      <w:bCs/>
      <w:smallCaps/>
      <w:color w:val="auto"/>
      <w:spacing w:val="5"/>
      <w:u w:val="single"/>
    </w:rPr>
  </w:style>
  <w:style w:type="paragraph" w:customStyle="1" w:styleId="2ColumnHeading">
    <w:name w:val="2Column Heading"/>
    <w:basedOn w:val="BodyText"/>
    <w:qFormat/>
    <w:rsid w:val="00EC2B22"/>
    <w:pPr>
      <w:spacing w:after="60"/>
      <w:ind w:left="-2268"/>
    </w:pPr>
    <w:rPr>
      <w:b/>
    </w:rPr>
  </w:style>
  <w:style w:type="paragraph" w:customStyle="1" w:styleId="Heading1TOC">
    <w:name w:val="Heading1 TOC"/>
    <w:basedOn w:val="Normal"/>
    <w:qFormat/>
    <w:rsid w:val="00EC2B22"/>
    <w:pPr>
      <w:spacing w:before="240" w:after="120"/>
    </w:pPr>
    <w:rPr>
      <w:rFonts w:ascii="Times New Roman" w:hAnsi="Times New Roman"/>
      <w:b/>
      <w:sz w:val="32"/>
    </w:rPr>
  </w:style>
  <w:style w:type="paragraph" w:customStyle="1" w:styleId="Heading2TOC">
    <w:name w:val="Heading2 TOC"/>
    <w:basedOn w:val="Normal"/>
    <w:qFormat/>
    <w:rsid w:val="00EC2B22"/>
    <w:pPr>
      <w:spacing w:before="240" w:after="60"/>
    </w:pPr>
    <w:rPr>
      <w:rFonts w:ascii="Times New Roman" w:hAnsi="Times New Roman"/>
      <w:b/>
      <w:sz w:val="28"/>
    </w:rPr>
  </w:style>
  <w:style w:type="character" w:customStyle="1" w:styleId="Underline">
    <w:name w:val="Underline"/>
    <w:basedOn w:val="DefaultParagraphFont"/>
    <w:qFormat/>
    <w:rsid w:val="00EC2B22"/>
    <w:rPr>
      <w:u w:val="single"/>
    </w:rPr>
  </w:style>
  <w:style w:type="character" w:customStyle="1" w:styleId="BoldandItalics">
    <w:name w:val="Bold and Italics"/>
    <w:qFormat/>
    <w:rsid w:val="00EC2B22"/>
    <w:rPr>
      <w:b/>
      <w:i/>
      <w:u w:val="none"/>
    </w:rPr>
  </w:style>
  <w:style w:type="paragraph" w:styleId="BalloonText">
    <w:name w:val="Balloon Text"/>
    <w:basedOn w:val="Normal"/>
    <w:link w:val="BalloonTextChar"/>
    <w:rsid w:val="00EC2B22"/>
    <w:rPr>
      <w:rFonts w:ascii="Tahoma" w:hAnsi="Tahoma" w:cs="Tahoma"/>
      <w:sz w:val="16"/>
      <w:szCs w:val="16"/>
    </w:rPr>
  </w:style>
  <w:style w:type="character" w:customStyle="1" w:styleId="BalloonTextChar">
    <w:name w:val="Balloon Text Char"/>
    <w:basedOn w:val="DefaultParagraphFont"/>
    <w:link w:val="BalloonText"/>
    <w:rsid w:val="00EC2B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2B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2B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2B22"/>
    <w:rPr>
      <w:b/>
      <w:color w:val="660033"/>
      <w:spacing w:val="0"/>
    </w:rPr>
  </w:style>
  <w:style w:type="paragraph" w:customStyle="1" w:styleId="Nameditemlist">
    <w:name w:val="Named item list"/>
    <w:basedOn w:val="BodyText"/>
    <w:qFormat/>
    <w:rsid w:val="00EC2B2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2024</Words>
  <Characters>13815</Characters>
  <Application>Microsoft Office Word</Application>
  <DocSecurity>0</DocSecurity>
  <Lines>439</Lines>
  <Paragraphs>239</Paragraphs>
  <ScaleCrop>false</ScaleCrop>
  <Company>Author-it Software Corporation Ltd.</Company>
  <LinksUpToDate>false</LinksUpToDate>
  <CharactersWithSpaces>15749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MEM14086A Apply mechatronic engineering analysis techniques</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2012-12-20T04:20:00Z</dcterms:created>
  <dcterms:modified xsi:type="dcterms:W3CDTF">2012-12-20T04:20:00Z</dcterms:modified>
</cp:coreProperties>
</file>