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94" w:rsidP="004A4094">
      <w:pPr>
        <w:pStyle w:val="Title"/>
      </w:pPr>
      <w:bookmarkStart w:id="0" w:name="_GoBack"/>
      <w:bookmarkEnd w:id="0"/>
      <w:r>
        <w:fldChar w:fldCharType="begin"/>
      </w:r>
      <w:r>
        <w:instrText xml:space="preserve"> TITLE   \* MERGEFORMAT </w:instrText>
      </w:r>
      <w:r>
        <w:fldChar w:fldCharType="separate"/>
      </w:r>
      <w:r>
        <w:t>MEM14085A Apply mechanical engineering analysis techniques</w:t>
      </w:r>
      <w:r>
        <w:fldChar w:fldCharType="end"/>
      </w:r>
    </w:p>
    <w:p w:rsidR="004A4094" w:rsidP="004A4094">
      <w:pPr>
        <w:pStyle w:val="Version"/>
        <w:sectPr w:rsidSect="008F4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AC3" w:rsidP="008F4AC3">
      <w:pPr>
        <w:pStyle w:val="SuperHeading"/>
      </w:pPr>
      <w:r w:rsidRPr="008F4AC3">
        <w:t>MEM14085A Apply mechanical engineering analysis techniques</w:t>
      </w:r>
    </w:p>
    <w:p w:rsidR="00000000" w:rsidRPr="008F4AC3" w:rsidP="008F4AC3">
      <w:pPr>
        <w:pStyle w:val="Heading1"/>
      </w:pPr>
      <w:bookmarkStart w:id="1" w:name="O_518595"/>
      <w:bookmarkEnd w:id="1"/>
      <w:r w:rsidRPr="008F4AC3">
        <w:t>Modification History</w:t>
      </w:r>
    </w:p>
    <w:p w:rsidR="004A4094" w:rsidP="008F4AC3">
      <w:pPr>
        <w:pStyle w:val="BodyText"/>
      </w:pPr>
      <w:r w:rsidRPr="008F4AC3">
        <w:t>Release 1 - New unit  Replaces MEM14061A, but not equivalent.</w:t>
      </w:r>
    </w:p>
    <w:p w:rsidR="004A4094" w:rsidP="008F4AC3">
      <w:pPr>
        <w:pStyle w:val="BodyText"/>
      </w:pPr>
    </w:p>
    <w:p w:rsidR="00000000" w:rsidRPr="008F4AC3" w:rsidP="008F4AC3">
      <w:pPr>
        <w:pStyle w:val="Heading1"/>
      </w:pPr>
      <w:bookmarkStart w:id="2" w:name="O_518607"/>
      <w:bookmarkEnd w:id="2"/>
      <w:r w:rsidRPr="008F4AC3">
        <w:t>Unit Descriptor</w:t>
      </w:r>
    </w:p>
    <w:p w:rsidR="00000000" w:rsidRPr="008F4AC3" w:rsidP="008F4AC3">
      <w:pPr>
        <w:pStyle w:val="BodyText"/>
      </w:pPr>
      <w:r w:rsidRPr="008F4AC3">
        <w:t>This unit of competency covers the skills needed to undertake a range of mechanical engineering-related analyses. The analy</w:t>
      </w:r>
      <w:r w:rsidRPr="008F4AC3">
        <w:t>ses may relate to design, fitness for purpose evaluations, installation and commissioning, and other mechanical engineering-related tasks. Documentation of the design process includes calculations, specifications, computer-aided design (CAD) files, risk an</w:t>
      </w:r>
      <w:r w:rsidRPr="008F4AC3">
        <w:t>alysis, sustainability and life cycle assessments.</w:t>
      </w:r>
    </w:p>
    <w:p w:rsidR="00000000" w:rsidRPr="008F4AC3" w:rsidP="008F4AC3">
      <w:pPr>
        <w:pStyle w:val="AllowPageBreak"/>
      </w:pPr>
    </w:p>
    <w:p w:rsidR="00000000" w:rsidRPr="008F4AC3" w:rsidP="008F4AC3">
      <w:pPr>
        <w:pStyle w:val="Heading1"/>
      </w:pPr>
      <w:bookmarkStart w:id="3" w:name="O_518606"/>
      <w:bookmarkEnd w:id="3"/>
      <w:r w:rsidRPr="008F4AC3">
        <w:t>Application of the Unit</w:t>
      </w:r>
    </w:p>
    <w:p w:rsidR="00000000" w:rsidRPr="008F4AC3" w:rsidP="008F4AC3">
      <w:pPr>
        <w:pStyle w:val="BodyText"/>
      </w:pPr>
      <w:r w:rsidRPr="008F4AC3">
        <w:t>This unit applies to mechanical engineering analyses undertaken as part of a mechanical design or mechanical assessment of plant, products, projects, system changes</w:t>
      </w:r>
      <w:r w:rsidRPr="008F4AC3">
        <w:t xml:space="preserve"> or improvements. It is suitable for people working as mechanical designers and draftspersons and those pursuing careers and qualifications in mechanical engineering or related disciplines. The work may be undertaken individually or as part of a team.  </w:t>
      </w:r>
    </w:p>
    <w:p w:rsidR="00000000" w:rsidRPr="008F4AC3" w:rsidP="008F4AC3">
      <w:pPr>
        <w:pStyle w:val="AllowPageBreak"/>
      </w:pPr>
    </w:p>
    <w:p w:rsidR="00000000" w:rsidRPr="008F4AC3" w:rsidP="008F4AC3">
      <w:pPr>
        <w:pStyle w:val="Heading1"/>
      </w:pPr>
      <w:bookmarkStart w:id="4" w:name="O_518605"/>
      <w:bookmarkEnd w:id="4"/>
      <w:r w:rsidRPr="008F4AC3">
        <w:t>Licensing/Regulatory Information</w:t>
      </w:r>
    </w:p>
    <w:p w:rsidR="00000000" w:rsidRPr="008F4AC3" w:rsidP="008F4AC3">
      <w:pPr>
        <w:pStyle w:val="BodyText"/>
      </w:pPr>
      <w:r w:rsidRPr="008F4AC3">
        <w:t>Not applicable.</w:t>
      </w:r>
    </w:p>
    <w:p w:rsidR="00000000" w:rsidRPr="008F4AC3" w:rsidP="008F4AC3">
      <w:pPr>
        <w:pStyle w:val="AllowPageBreak"/>
      </w:pPr>
    </w:p>
    <w:p w:rsidR="00000000" w:rsidRPr="008F4AC3" w:rsidP="008F4AC3">
      <w:pPr>
        <w:pStyle w:val="Heading1"/>
      </w:pPr>
      <w:bookmarkStart w:id="5" w:name="O_518604"/>
      <w:bookmarkEnd w:id="5"/>
      <w:r w:rsidRPr="008F4AC3">
        <w:t>Pre-Requisites</w:t>
      </w:r>
    </w:p>
    <w:tbl>
      <w:tblPr>
        <w:tblW w:w="9354" w:type="dxa"/>
        <w:tblLayout w:type="fixed"/>
        <w:tblCellMar>
          <w:left w:w="62" w:type="dxa"/>
          <w:right w:w="62" w:type="dxa"/>
        </w:tblCellMar>
        <w:tblLook w:val="0000"/>
      </w:tblPr>
      <w:tblGrid>
        <w:gridCol w:w="2592"/>
        <w:gridCol w:w="6762"/>
      </w:tblGrid>
      <w:tr w:rsidTr="008F4AC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MEM23004A</w:t>
            </w:r>
          </w:p>
        </w:tc>
        <w:tc>
          <w:tcPr>
            <w:tcW w:w="6762"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 xml:space="preserve">Apply technical mathematics </w:t>
            </w:r>
          </w:p>
        </w:tc>
      </w:tr>
      <w:tr w:rsidTr="008F4AC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MEM23109A</w:t>
            </w:r>
          </w:p>
        </w:tc>
        <w:tc>
          <w:tcPr>
            <w:tcW w:w="6762" w:type="dxa"/>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Apply engineering mechanic principles</w:t>
            </w:r>
          </w:p>
        </w:tc>
      </w:tr>
    </w:tbl>
    <w:p w:rsidR="00000000" w:rsidRPr="008F4AC3" w:rsidP="008F4AC3">
      <w:pPr>
        <w:pStyle w:val="BodyText"/>
      </w:pPr>
    </w:p>
    <w:p w:rsidR="00000000" w:rsidRPr="008F4AC3" w:rsidP="008F4AC3">
      <w:pPr>
        <w:pStyle w:val="AllowPageBreak"/>
      </w:pPr>
    </w:p>
    <w:p w:rsidR="00000000" w:rsidRPr="008F4AC3" w:rsidP="008F4AC3">
      <w:pPr>
        <w:pStyle w:val="Heading1"/>
      </w:pPr>
      <w:bookmarkStart w:id="6" w:name="O_518603"/>
      <w:bookmarkEnd w:id="6"/>
      <w:r w:rsidRPr="008F4AC3">
        <w:t>Employability Skills Information</w:t>
      </w:r>
    </w:p>
    <w:p w:rsidR="004A4094" w:rsidP="008F4AC3">
      <w:pPr>
        <w:pStyle w:val="BodyText"/>
      </w:pPr>
      <w:r w:rsidRPr="008F4AC3">
        <w:t>This unit contains employability skills.</w:t>
      </w:r>
    </w:p>
    <w:p w:rsidR="004A4094" w:rsidP="008F4AC3">
      <w:pPr>
        <w:pStyle w:val="BodyText"/>
      </w:pPr>
    </w:p>
    <w:p w:rsidR="00000000" w:rsidRPr="008F4AC3" w:rsidP="008F4AC3">
      <w:pPr>
        <w:pStyle w:val="Heading1"/>
      </w:pPr>
      <w:bookmarkStart w:id="7" w:name="O_518602"/>
      <w:bookmarkEnd w:id="7"/>
      <w:r w:rsidRPr="008F4AC3">
        <w:t>Elements and Performance Criteria Pre-Content</w:t>
      </w:r>
    </w:p>
    <w:tbl>
      <w:tblPr>
        <w:tblW w:w="0" w:type="auto"/>
        <w:tblCellMar>
          <w:left w:w="62" w:type="dxa"/>
          <w:right w:w="62" w:type="dxa"/>
        </w:tblCellMar>
        <w:tblLook w:val="0000"/>
      </w:tblPr>
      <w:tblGrid>
        <w:gridCol w:w="2576"/>
        <w:gridCol w:w="6620"/>
      </w:tblGrid>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Performance criteria describe the performance needed to demonstrate achievement of th</w:t>
            </w:r>
            <w:r w:rsidRPr="008F4AC3">
              <w:t xml:space="preserve">e element. </w:t>
            </w:r>
          </w:p>
        </w:tc>
      </w:tr>
    </w:tbl>
    <w:p w:rsidR="004A4094" w:rsidP="008F4AC3">
      <w:pPr>
        <w:pStyle w:val="BodyText"/>
      </w:pPr>
    </w:p>
    <w:p w:rsidR="004A4094" w:rsidP="008F4AC3">
      <w:pPr>
        <w:pStyle w:val="BodyText"/>
      </w:pPr>
    </w:p>
    <w:p w:rsidR="00000000" w:rsidRPr="008F4AC3" w:rsidP="008F4AC3">
      <w:pPr>
        <w:pStyle w:val="Heading1"/>
      </w:pPr>
      <w:bookmarkStart w:id="8" w:name="O_518601"/>
      <w:bookmarkEnd w:id="8"/>
      <w:r w:rsidRPr="008F4A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w:t>
            </w:r>
          </w:p>
        </w:tc>
        <w:tc>
          <w:tcPr>
            <w:tcW w:w="1962" w:type="dxa"/>
            <w:vMerge w:val="restart"/>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Investigate mechanical analysis context and need</w:t>
            </w: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1.1</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Review the context and negotiate parameters of the mechanical design or task in consultation with stakeholders</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1.2</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 xml:space="preserve">Identify relevant engineering scientific principles and required analysis techniques </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1.3</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 xml:space="preserve">Investigate life cycle design and sustainability implications of mechanical design or existing plant or equipment </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1.4</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Determine specification, documentation an</w:t>
            </w:r>
            <w:r w:rsidRPr="008F4AC3">
              <w:t xml:space="preserve">d graphical techniques required for analysis </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1.5</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Confirm work health and safety (WHS) and regulatory requirements, codes of practice, standards, and risk management relevant to mechanical analysis task</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1.6</w:t>
            </w:r>
          </w:p>
        </w:tc>
        <w:tc>
          <w:tcPr>
            <w:tcW w:w="5610" w:type="dxa"/>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Determine available sources for any required technical and professional assistance</w:t>
            </w:r>
          </w:p>
        </w:tc>
      </w:tr>
    </w:tbl>
    <w:p w:rsidR="00000000" w:rsidRPr="008F4AC3" w:rsidP="008F4AC3">
      <w:pPr>
        <w:pStyle w:val="BodyText"/>
      </w:pPr>
    </w:p>
    <w:tbl>
      <w:tblPr>
        <w:tblW w:w="0" w:type="auto"/>
        <w:tblLayout w:type="fixed"/>
        <w:tblCellMar>
          <w:left w:w="62" w:type="dxa"/>
          <w:right w:w="62" w:type="dxa"/>
        </w:tblCellMar>
        <w:tblLook w:val="0000"/>
      </w:tblPr>
      <w:tblGrid>
        <w:gridCol w:w="678"/>
        <w:gridCol w:w="1962"/>
        <w:gridCol w:w="770"/>
        <w:gridCol w:w="5610"/>
      </w:tblGrid>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w:t>
            </w:r>
          </w:p>
        </w:tc>
        <w:tc>
          <w:tcPr>
            <w:tcW w:w="1962" w:type="dxa"/>
            <w:vMerge w:val="restart"/>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Apply mechanical analysis techniques</w:t>
            </w: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2.1</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Plan, schedule and coordinate the analysis task</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2.2</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Create adequate and accurate calculations, preliminary graphics and maintain analysis process records</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2.3</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Evaluate multiple solutions against analysis criteria</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2.4</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 xml:space="preserve">Apply systems thinking to problem solving and decision making </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2.5</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Incorporate professional and technical assistance, as required</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2.6</w:t>
            </w:r>
          </w:p>
        </w:tc>
        <w:tc>
          <w:tcPr>
            <w:tcW w:w="5610" w:type="dxa"/>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 xml:space="preserve">Apply specification, documentation and graphical techniques modelling, mock-up or prototyping techniques, where required, to achieve or test solution </w:t>
            </w:r>
          </w:p>
        </w:tc>
      </w:tr>
    </w:tbl>
    <w:p w:rsidR="00000000" w:rsidRPr="008F4AC3" w:rsidP="008F4AC3">
      <w:pPr>
        <w:pStyle w:val="BodyText"/>
      </w:pPr>
    </w:p>
    <w:tbl>
      <w:tblPr>
        <w:tblW w:w="0" w:type="auto"/>
        <w:tblLayout w:type="fixed"/>
        <w:tblCellMar>
          <w:left w:w="62" w:type="dxa"/>
          <w:right w:w="62" w:type="dxa"/>
        </w:tblCellMar>
        <w:tblLook w:val="0000"/>
      </w:tblPr>
      <w:tblGrid>
        <w:gridCol w:w="678"/>
        <w:gridCol w:w="1962"/>
        <w:gridCol w:w="770"/>
        <w:gridCol w:w="5610"/>
      </w:tblGrid>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3</w:t>
            </w:r>
          </w:p>
        </w:tc>
        <w:tc>
          <w:tcPr>
            <w:tcW w:w="1962" w:type="dxa"/>
            <w:vMerge w:val="restart"/>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Report results</w:t>
            </w: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3.1</w:t>
            </w:r>
          </w:p>
        </w:tc>
        <w:tc>
          <w:tcPr>
            <w:tcW w:w="561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Record resul</w:t>
            </w:r>
            <w:r w:rsidRPr="008F4AC3">
              <w:t>ts of analysis</w:t>
            </w:r>
          </w:p>
        </w:tc>
      </w:tr>
      <w:tr w:rsidTr="008F4A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3.2</w:t>
            </w:r>
          </w:p>
        </w:tc>
        <w:tc>
          <w:tcPr>
            <w:tcW w:w="5610" w:type="dxa"/>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Provide documentation, such as calculations, specifications, diagrams, CAD files, mock-ups or prototypes</w:t>
            </w:r>
          </w:p>
        </w:tc>
      </w:tr>
    </w:tbl>
    <w:p w:rsidR="004A4094" w:rsidP="008F4AC3">
      <w:pPr>
        <w:pStyle w:val="BodyText"/>
      </w:pPr>
    </w:p>
    <w:p w:rsidR="004A4094" w:rsidP="008F4AC3">
      <w:pPr>
        <w:pStyle w:val="BodyText"/>
      </w:pPr>
    </w:p>
    <w:p w:rsidR="00000000" w:rsidRPr="008F4AC3" w:rsidP="008F4AC3">
      <w:pPr>
        <w:pStyle w:val="Heading1"/>
      </w:pPr>
      <w:bookmarkStart w:id="9" w:name="O_518600"/>
      <w:bookmarkEnd w:id="9"/>
      <w:r w:rsidRPr="008F4AC3">
        <w:t>Required Skills and Knowledge</w:t>
      </w:r>
    </w:p>
    <w:tbl>
      <w:tblPr>
        <w:tblW w:w="0" w:type="auto"/>
        <w:tblCellMar>
          <w:left w:w="62" w:type="dxa"/>
          <w:right w:w="62" w:type="dxa"/>
        </w:tblCellMar>
        <w:tblLook w:val="0000"/>
      </w:tblPr>
      <w:tblGrid>
        <w:gridCol w:w="9196"/>
      </w:tblGrid>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t>This section describes the skills and knowledge required for this unit.</w:t>
            </w:r>
          </w:p>
        </w:tc>
      </w:tr>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rPr>
                <w:rStyle w:val="SpecialBold"/>
              </w:rPr>
              <w:t>Required skills</w:t>
            </w:r>
          </w:p>
        </w:tc>
      </w:tr>
      <w:tr w:rsidTr="004A4094">
        <w:tblPrEx>
          <w:tblW w:w="0" w:type="auto"/>
          <w:tblCellMar>
            <w:left w:w="62" w:type="dxa"/>
            <w:right w:w="62" w:type="dxa"/>
          </w:tblCellMar>
          <w:tblLook w:val="0000"/>
        </w:tblPrEx>
        <w:trPr>
          <w:trHeight w:val="1050"/>
        </w:trPr>
        <w:tc>
          <w:tcPr>
            <w:tcW w:w="0" w:type="auto"/>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Required skills include:</w:t>
            </w:r>
          </w:p>
          <w:p w:rsidR="00000000" w:rsidRPr="008F4AC3" w:rsidP="008F4AC3">
            <w:pPr>
              <w:pStyle w:val="ListBullet"/>
            </w:pPr>
            <w:r w:rsidRPr="008F4AC3">
              <w:t>communicating and negotiating with stakeholders and team</w:t>
            </w:r>
          </w:p>
          <w:p w:rsidR="00000000" w:rsidRPr="008F4AC3" w:rsidP="008F4AC3">
            <w:pPr>
              <w:pStyle w:val="ListBullet"/>
            </w:pPr>
            <w:r w:rsidRPr="008F4AC3">
              <w:t>determining or confirming relevance of mechanical engineering scientific principles and analysis techniques, including principles of:</w:t>
            </w:r>
          </w:p>
          <w:p w:rsidR="00000000" w:rsidRPr="008F4AC3" w:rsidP="008F4AC3">
            <w:pPr>
              <w:pStyle w:val="ListBullet2"/>
            </w:pPr>
            <w:r w:rsidRPr="008F4AC3">
              <w:t>mechanics</w:t>
            </w:r>
          </w:p>
          <w:p w:rsidR="00000000" w:rsidRPr="008F4AC3" w:rsidP="008F4AC3">
            <w:pPr>
              <w:pStyle w:val="ListBullet2"/>
            </w:pPr>
            <w:r w:rsidRPr="008F4AC3">
              <w:t>fluid power</w:t>
            </w:r>
          </w:p>
          <w:p w:rsidR="00000000" w:rsidRPr="008F4AC3" w:rsidP="008F4AC3">
            <w:pPr>
              <w:pStyle w:val="ListBullet2"/>
            </w:pPr>
            <w:r w:rsidRPr="008F4AC3">
              <w:t>fluid dynamics</w:t>
            </w:r>
          </w:p>
          <w:p w:rsidR="00000000" w:rsidRPr="008F4AC3" w:rsidP="008F4AC3">
            <w:pPr>
              <w:pStyle w:val="ListBullet2"/>
            </w:pPr>
            <w:r w:rsidRPr="008F4AC3">
              <w:t>thermodynamics</w:t>
            </w:r>
          </w:p>
          <w:p w:rsidR="00000000" w:rsidRPr="008F4AC3" w:rsidP="008F4AC3">
            <w:pPr>
              <w:pStyle w:val="ListBullet2"/>
            </w:pPr>
            <w:r w:rsidRPr="008F4AC3">
              <w:t>electrical fundamentals</w:t>
            </w:r>
          </w:p>
          <w:p w:rsidR="00000000" w:rsidRPr="008F4AC3" w:rsidP="008F4AC3">
            <w:pPr>
              <w:pStyle w:val="ListBullet2"/>
            </w:pPr>
            <w:r w:rsidRPr="008F4AC3">
              <w:t>engineering materials, properties and processes</w:t>
            </w:r>
          </w:p>
          <w:p w:rsidR="00000000" w:rsidRPr="008F4AC3" w:rsidP="008F4AC3">
            <w:pPr>
              <w:pStyle w:val="ListBullet"/>
            </w:pPr>
            <w:r w:rsidRPr="008F4AC3">
              <w:t xml:space="preserve">evaluating WHS and regulatory requirements, standards and codes of practice for relevance to analysis tasks </w:t>
            </w:r>
          </w:p>
          <w:p w:rsidR="00000000" w:rsidRPr="008F4AC3" w:rsidP="008F4AC3">
            <w:pPr>
              <w:pStyle w:val="ListBullet"/>
            </w:pPr>
            <w:r w:rsidRPr="008F4AC3">
              <w:t>evaluating multiple solutions against analysis criteria, risk, sustainability and cost factors</w:t>
            </w:r>
          </w:p>
          <w:p w:rsidR="00000000" w:rsidRPr="008F4AC3" w:rsidP="008F4AC3">
            <w:pPr>
              <w:pStyle w:val="ListBullet"/>
            </w:pPr>
            <w:r w:rsidRPr="008F4AC3">
              <w:t>applying life cycle design and sustainability parameters to analysis task</w:t>
            </w:r>
          </w:p>
          <w:p w:rsidR="00000000" w:rsidRPr="008F4AC3" w:rsidP="008F4AC3">
            <w:pPr>
              <w:pStyle w:val="ListBullet"/>
            </w:pPr>
            <w:r w:rsidRPr="008F4AC3">
              <w:t>planning, scheduling and coordinating the analysis task</w:t>
            </w:r>
          </w:p>
          <w:p w:rsidR="00000000" w:rsidRPr="008F4AC3" w:rsidP="008F4AC3">
            <w:pPr>
              <w:pStyle w:val="ListBullet"/>
            </w:pPr>
            <w:r w:rsidRPr="008F4AC3">
              <w:t>applying problem solving and de</w:t>
            </w:r>
            <w:r w:rsidRPr="008F4AC3">
              <w:t xml:space="preserve">cision making with systems thinking for contingencies and constraints and continuous improvement </w:t>
            </w:r>
          </w:p>
          <w:p w:rsidR="00000000" w:rsidRPr="008F4AC3" w:rsidP="008F4AC3">
            <w:pPr>
              <w:pStyle w:val="ListBullet"/>
            </w:pPr>
            <w:r w:rsidRPr="008F4AC3">
              <w:t xml:space="preserve">specifying, documenting and applying graphical techniques, including modelling </w:t>
            </w:r>
          </w:p>
          <w:p w:rsidR="00000000" w:rsidRPr="008F4AC3" w:rsidP="008F4AC3">
            <w:pPr>
              <w:pStyle w:val="ListBullet"/>
            </w:pPr>
            <w:r w:rsidRPr="008F4AC3">
              <w:t xml:space="preserve">undertaking or supervising mock-up or prototyping techniques, where required, </w:t>
            </w:r>
            <w:r w:rsidRPr="008F4AC3">
              <w:t>to achieve solution</w:t>
            </w:r>
          </w:p>
          <w:p w:rsidR="00000000" w:rsidRPr="008F4AC3" w:rsidP="008F4AC3">
            <w:pPr>
              <w:pStyle w:val="ListBullet"/>
            </w:pPr>
            <w:r w:rsidRPr="008F4AC3">
              <w:t>creating and maintaining adequate and accurate calculations and analysis process records</w:t>
            </w:r>
          </w:p>
          <w:p w:rsidR="00000000" w:rsidRPr="008F4AC3" w:rsidP="008F4AC3">
            <w:pPr>
              <w:pStyle w:val="ListBullet"/>
            </w:pPr>
            <w:r w:rsidRPr="008F4AC3">
              <w:t>reporting and documenting results of investigations, application of principles and techniques, calculations, specifications, diagrams, CAD files, m</w:t>
            </w:r>
            <w:r w:rsidRPr="008F4AC3">
              <w:t>ock-ups or prototypes of designs</w:t>
            </w:r>
          </w:p>
          <w:p w:rsidR="00000000" w:rsidP="008F4AC3">
            <w:pPr>
              <w:pStyle w:val="BodyText"/>
              <w:rPr>
                <w:lang w:val="en-NZ"/>
              </w:rPr>
            </w:pPr>
          </w:p>
        </w:tc>
      </w:tr>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rPr>
                <w:rStyle w:val="SpecialBold"/>
              </w:rPr>
              <w:t>Required knowledge</w:t>
            </w:r>
          </w:p>
        </w:tc>
      </w:tr>
      <w:tr w:rsidTr="004A4094">
        <w:tblPrEx>
          <w:tblW w:w="0" w:type="auto"/>
          <w:tblCellMar>
            <w:left w:w="62" w:type="dxa"/>
            <w:right w:w="62" w:type="dxa"/>
          </w:tblCellMar>
          <w:tblLook w:val="0000"/>
        </w:tblPrEx>
        <w:trPr>
          <w:trHeight w:val="392"/>
        </w:trPr>
        <w:tc>
          <w:tcPr>
            <w:tcW w:w="0" w:type="auto"/>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Required knowledge includes:</w:t>
            </w:r>
          </w:p>
          <w:p w:rsidR="00000000" w:rsidRPr="008F4AC3" w:rsidP="008F4AC3">
            <w:pPr>
              <w:pStyle w:val="ListBullet"/>
            </w:pPr>
            <w:r w:rsidRPr="008F4AC3">
              <w:t>implications of life cycle design, fitness for purpose evaluation and sustainability for mechanical analysis process</w:t>
            </w:r>
          </w:p>
          <w:p w:rsidR="00000000" w:rsidRPr="008F4AC3" w:rsidP="008F4AC3">
            <w:pPr>
              <w:pStyle w:val="ListBullet"/>
            </w:pPr>
            <w:r w:rsidRPr="008F4AC3">
              <w:t xml:space="preserve">mechanical engineering-related analysis processes and techniques to investigate, synthesise and develop proposals, evaluate feasibility against analysis criteria, and review and revise in consultation with stakeholders and team or support functional group </w:t>
            </w:r>
          </w:p>
          <w:p w:rsidR="00000000" w:rsidRPr="008F4AC3" w:rsidP="008F4AC3">
            <w:pPr>
              <w:pStyle w:val="ListBullet"/>
            </w:pPr>
            <w:r w:rsidRPr="008F4AC3">
              <w:t>common model, mock-up and prototyping techniques relevant to mechanical engineering</w:t>
            </w:r>
          </w:p>
          <w:p w:rsidR="00000000" w:rsidRPr="008F4AC3" w:rsidP="008F4AC3">
            <w:pPr>
              <w:pStyle w:val="ListBullet"/>
            </w:pPr>
            <w:r w:rsidRPr="008F4AC3">
              <w:t>systems thinking, problem solving and decision making, and continuous improvement methods</w:t>
            </w:r>
          </w:p>
          <w:p w:rsidR="00000000" w:rsidRPr="008F4AC3" w:rsidP="008F4AC3">
            <w:pPr>
              <w:pStyle w:val="ListBullet"/>
            </w:pPr>
            <w:r w:rsidRPr="008F4AC3">
              <w:t>WHS and regulatory requirements, codes of practice, standards, risk management an</w:t>
            </w:r>
            <w:r w:rsidRPr="008F4AC3">
              <w:t>d registration requirements</w:t>
            </w:r>
          </w:p>
          <w:p w:rsidR="00000000" w:rsidRPr="008F4AC3" w:rsidP="008F4AC3">
            <w:pPr>
              <w:pStyle w:val="ListBullet"/>
            </w:pPr>
            <w:r w:rsidRPr="008F4AC3">
              <w:t xml:space="preserve">sources of professional and technical assistance </w:t>
            </w:r>
          </w:p>
          <w:p w:rsidR="00000000" w:rsidRPr="008F4AC3" w:rsidP="008F4AC3">
            <w:pPr>
              <w:pStyle w:val="ListBullet"/>
            </w:pPr>
            <w:r w:rsidRPr="008F4AC3">
              <w:t>procedures for planning, scheduling and coordination of analysis</w:t>
            </w:r>
          </w:p>
          <w:p w:rsidR="00000000" w:rsidRPr="008F4AC3" w:rsidP="008F4AC3">
            <w:pPr>
              <w:pStyle w:val="ListBullet"/>
            </w:pPr>
            <w:r w:rsidRPr="008F4AC3">
              <w:t>hardware requirements of typical mechanical, fluid power, hydrodynamic and thermal applications</w:t>
            </w:r>
          </w:p>
          <w:p w:rsidR="00000000" w:rsidRPr="008F4AC3" w:rsidP="008F4AC3">
            <w:pPr>
              <w:pStyle w:val="ListBullet"/>
            </w:pPr>
            <w:r w:rsidRPr="008F4AC3">
              <w:t>engineering scientific principles required for design analysis:</w:t>
            </w:r>
          </w:p>
          <w:p w:rsidR="00000000" w:rsidRPr="008F4AC3" w:rsidP="008F4AC3">
            <w:pPr>
              <w:pStyle w:val="ListBullet2"/>
            </w:pPr>
            <w:r w:rsidRPr="008F4AC3">
              <w:t>mechanical</w:t>
            </w:r>
          </w:p>
          <w:p w:rsidR="00000000" w:rsidRPr="008F4AC3" w:rsidP="008F4AC3">
            <w:pPr>
              <w:pStyle w:val="ListBullet2"/>
            </w:pPr>
            <w:r w:rsidRPr="008F4AC3">
              <w:t>fluid power</w:t>
            </w:r>
          </w:p>
          <w:p w:rsidR="00000000" w:rsidRPr="008F4AC3" w:rsidP="008F4AC3">
            <w:pPr>
              <w:pStyle w:val="ListBullet2"/>
            </w:pPr>
            <w:r w:rsidRPr="008F4AC3">
              <w:t>fluid dynamics</w:t>
            </w:r>
          </w:p>
          <w:p w:rsidR="00000000" w:rsidRPr="008F4AC3" w:rsidP="008F4AC3">
            <w:pPr>
              <w:pStyle w:val="ListBullet2"/>
            </w:pPr>
            <w:r w:rsidRPr="008F4AC3">
              <w:t>thermodynamics</w:t>
            </w:r>
          </w:p>
          <w:p w:rsidR="00000000" w:rsidRPr="008F4AC3" w:rsidP="008F4AC3">
            <w:pPr>
              <w:pStyle w:val="ListBullet2"/>
            </w:pPr>
            <w:r w:rsidRPr="008F4AC3">
              <w:t>electrical fundamentals</w:t>
            </w:r>
          </w:p>
          <w:p w:rsidR="00000000" w:rsidRPr="008F4AC3" w:rsidP="008F4AC3">
            <w:pPr>
              <w:pStyle w:val="ListBullet2"/>
            </w:pPr>
            <w:r w:rsidRPr="008F4AC3">
              <w:t>engineering materials, properties and processes</w:t>
            </w:r>
          </w:p>
          <w:p w:rsidR="00000000" w:rsidRPr="008F4AC3" w:rsidP="008F4AC3">
            <w:pPr>
              <w:pStyle w:val="ListBullet"/>
            </w:pPr>
            <w:r w:rsidRPr="008F4AC3">
              <w:t>mechanical analysis calculation techniques</w:t>
            </w:r>
          </w:p>
          <w:p w:rsidR="00000000" w:rsidRPr="008F4AC3" w:rsidP="008F4AC3">
            <w:pPr>
              <w:pStyle w:val="ListBullet"/>
            </w:pPr>
            <w:r w:rsidRPr="008F4AC3">
              <w:t>software for product p</w:t>
            </w:r>
            <w:r w:rsidRPr="008F4AC3">
              <w:t>lanning and analysis, such as CAD, stress analysis and mould design, and project management</w:t>
            </w:r>
          </w:p>
          <w:p w:rsidR="00000000" w:rsidRPr="008F4AC3" w:rsidP="008F4AC3">
            <w:pPr>
              <w:pStyle w:val="ListBullet"/>
            </w:pPr>
            <w:r w:rsidRPr="008F4AC3">
              <w:t xml:space="preserve">documentation and required information </w:t>
            </w:r>
          </w:p>
          <w:p w:rsidR="00000000" w:rsidRPr="008F4AC3" w:rsidP="008F4AC3">
            <w:pPr>
              <w:pStyle w:val="ListBullet"/>
            </w:pPr>
            <w:r w:rsidRPr="008F4AC3">
              <w:t>prototyping options, including mock-ups, physical and virtual modelling, and rapid prototyping</w:t>
            </w:r>
          </w:p>
        </w:tc>
      </w:tr>
    </w:tbl>
    <w:p w:rsidR="004A4094" w:rsidP="008F4AC3">
      <w:pPr>
        <w:pStyle w:val="BodyText"/>
      </w:pPr>
    </w:p>
    <w:p w:rsidR="004A4094" w:rsidP="008F4AC3">
      <w:pPr>
        <w:pStyle w:val="BodyText"/>
      </w:pPr>
    </w:p>
    <w:p w:rsidR="00000000" w:rsidRPr="008F4AC3" w:rsidP="008F4AC3">
      <w:pPr>
        <w:pStyle w:val="Heading1"/>
      </w:pPr>
      <w:bookmarkStart w:id="10" w:name="O_518599"/>
      <w:bookmarkEnd w:id="10"/>
      <w:r w:rsidRPr="008F4AC3">
        <w:t>Evidence Guide</w:t>
      </w:r>
    </w:p>
    <w:tbl>
      <w:tblPr>
        <w:tblW w:w="0" w:type="auto"/>
        <w:tblCellMar>
          <w:left w:w="62" w:type="dxa"/>
          <w:right w:w="62" w:type="dxa"/>
        </w:tblCellMar>
        <w:tblLook w:val="0000"/>
      </w:tblPr>
      <w:tblGrid>
        <w:gridCol w:w="3626"/>
        <w:gridCol w:w="5570"/>
      </w:tblGrid>
      <w:tr w:rsidTr="004A4094">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F4AC3">
            <w:pPr>
              <w:pStyle w:val="BodyText"/>
              <w:rPr>
                <w:lang w:val="en-NZ"/>
              </w:rPr>
            </w:pPr>
            <w:r w:rsidRPr="008F4AC3">
              <w:t>The evidence guide provides advice on assessment and must be read in conjunction with the performance criteria, required skills and knowledge, range statement and the Assessment Guidelines for the Training Package.</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t xml:space="preserve">A person who demonstrates competency in this unit must be able to apply mechanical analysis techniques consistent with an analysis brief information, relevant standards and conventions.  </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Critical aspects for assessment and evidence required to demonstrat</w:t>
            </w:r>
            <w:r w:rsidRPr="008F4AC3">
              <w:rPr>
                <w:rStyle w:val="SpecialBold"/>
              </w:rPr>
              <w: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Assessors must be satisfied that the candidate can competently and consistently:</w:t>
            </w:r>
          </w:p>
          <w:p w:rsidR="00000000" w:rsidRPr="008F4AC3" w:rsidP="008F4AC3">
            <w:pPr>
              <w:pStyle w:val="ListBullet"/>
            </w:pPr>
            <w:r w:rsidRPr="008F4AC3">
              <w:t>communicate, negotiate and review analysis brief and specification requirements with stakeholders</w:t>
            </w:r>
          </w:p>
          <w:p w:rsidR="00000000" w:rsidRPr="008F4AC3" w:rsidP="008F4AC3">
            <w:pPr>
              <w:pStyle w:val="ListBullet"/>
            </w:pPr>
            <w:r w:rsidRPr="008F4AC3">
              <w:t>determine or confirm relevant scientific principle</w:t>
            </w:r>
            <w:r w:rsidRPr="008F4AC3">
              <w:t>s and analysis techniques, WHS and regulatory requirements</w:t>
            </w:r>
          </w:p>
          <w:p w:rsidR="00000000" w:rsidRPr="008F4AC3" w:rsidP="008F4AC3">
            <w:pPr>
              <w:pStyle w:val="ListBullet"/>
            </w:pPr>
            <w:r w:rsidRPr="008F4AC3">
              <w:t>evaluate multiple solutions</w:t>
            </w:r>
          </w:p>
          <w:p w:rsidR="00000000" w:rsidRPr="008F4AC3" w:rsidP="008F4AC3">
            <w:pPr>
              <w:pStyle w:val="ListBullet"/>
            </w:pPr>
            <w:r w:rsidRPr="008F4AC3">
              <w:t>investigate life cycle analysis and sustainability</w:t>
            </w:r>
          </w:p>
          <w:p w:rsidR="00000000" w:rsidRPr="008F4AC3" w:rsidP="008F4AC3">
            <w:pPr>
              <w:pStyle w:val="ListBullet"/>
            </w:pPr>
            <w:r w:rsidRPr="008F4AC3">
              <w:t>plan, schedule and coordinate the analysis task</w:t>
            </w:r>
          </w:p>
          <w:p w:rsidR="00000000" w:rsidRPr="008F4AC3" w:rsidP="008F4AC3">
            <w:pPr>
              <w:pStyle w:val="ListBullet"/>
            </w:pPr>
            <w:r w:rsidRPr="008F4AC3">
              <w:t>solve problems and make decisions with</w:t>
            </w:r>
            <w:r w:rsidRPr="008F4AC3">
              <w:t xml:space="preserve"> systems thinking for contingencies and constraints and continuous improvement</w:t>
            </w:r>
          </w:p>
          <w:p w:rsidR="00000000" w:rsidRPr="008F4AC3" w:rsidP="008F4AC3">
            <w:pPr>
              <w:pStyle w:val="ListBullet"/>
            </w:pPr>
            <w:r w:rsidRPr="008F4AC3">
              <w:t>define analysis, specify and document and apply graphical techniques, modelling, mock-up or prototyping techniques</w:t>
            </w:r>
          </w:p>
          <w:p w:rsidR="00000000" w:rsidRPr="008F4AC3" w:rsidP="008F4AC3">
            <w:pPr>
              <w:pStyle w:val="ListBullet"/>
            </w:pPr>
            <w:r w:rsidRPr="008F4AC3">
              <w:t>create and maintain adequate and accurate calculations and ana</w:t>
            </w:r>
            <w:r w:rsidRPr="008F4AC3">
              <w:t>lysis process records</w:t>
            </w:r>
          </w:p>
          <w:p w:rsidR="00000000" w:rsidP="008F4AC3">
            <w:pPr>
              <w:pStyle w:val="ListBullet"/>
              <w:rPr>
                <w:lang w:val="en-NZ"/>
              </w:rPr>
            </w:pPr>
            <w:r w:rsidRPr="008F4AC3">
              <w:t>report and document, results and processes.</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ListBullet"/>
            </w:pPr>
            <w:r w:rsidRPr="008F4AC3">
              <w:t xml:space="preserve">This unit may be assessed on the job, off the job or a combination of both on and off the job. Where assessment occurs off the job, then a </w:t>
            </w:r>
            <w:r w:rsidRPr="008F4AC3">
              <w:t xml:space="preserve">simulated working environment must be used where the range of conditions reflects realistic workplace situations. The competencies covered by this unit would be demonstrated by an individual working alone or as part of a team. </w:t>
            </w:r>
          </w:p>
          <w:p w:rsidR="00000000" w:rsidRPr="008F4AC3" w:rsidP="008F4AC3">
            <w:pPr>
              <w:pStyle w:val="ListBullet"/>
            </w:pPr>
            <w:r w:rsidRPr="008F4AC3">
              <w:t>Where applicable, reasonable</w:t>
            </w:r>
            <w:r w:rsidRPr="008F4AC3">
              <w:t xml:space="preserve"> adjustment must be made to work environments and training situations to accommodate ethnicity, age, gender, demographics and disability.</w:t>
            </w:r>
          </w:p>
          <w:p w:rsidR="00000000" w:rsidP="008F4AC3">
            <w:pPr>
              <w:pStyle w:val="ListBullet"/>
              <w:rPr>
                <w:lang w:val="en-NZ"/>
              </w:rPr>
            </w:pPr>
            <w:r w:rsidRPr="008F4AC3">
              <w:t>Access must be provided to appropriate learning and/or assessment support when required. Where applicable, physical re</w:t>
            </w:r>
            <w:r w:rsidRPr="008F4AC3">
              <w:t>sources should include equipment modified for people with disabilities.</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ListBullet"/>
            </w:pPr>
            <w:r w:rsidRPr="008F4AC3">
              <w:t>Assessment must satisfy the endorsed Assessment Guidelines of the MEM05 Metal and Engineering Training Package.</w:t>
            </w:r>
          </w:p>
          <w:p w:rsidR="00000000" w:rsidRPr="008F4AC3" w:rsidP="008F4AC3">
            <w:pPr>
              <w:pStyle w:val="ListBullet"/>
            </w:pPr>
            <w:r w:rsidRPr="008F4AC3">
              <w:t>Assessment methods must confirm consistency and a</w:t>
            </w:r>
            <w:r w:rsidRPr="008F4AC3">
              <w:t>ccuracy of performance (over time and in a range of workplace relevant contexts) together with application of underpinning knowledge.</w:t>
            </w:r>
          </w:p>
          <w:p w:rsidR="00000000" w:rsidRPr="008F4AC3" w:rsidP="008F4AC3">
            <w:pPr>
              <w:pStyle w:val="ListBullet"/>
            </w:pPr>
            <w:r w:rsidRPr="008F4AC3">
              <w:t>Assessment methods must be by direct observation of tasks and include questioning on underpinning knowledge to ensure correct interpretation and application.</w:t>
            </w:r>
          </w:p>
          <w:p w:rsidR="00000000" w:rsidRPr="008F4AC3" w:rsidP="008F4AC3">
            <w:pPr>
              <w:pStyle w:val="ListBullet"/>
            </w:pPr>
            <w:r w:rsidRPr="008F4AC3">
              <w:t>Assessment may be applied under project-related conditions (real or simulated) and require evidenc</w:t>
            </w:r>
            <w:r w:rsidRPr="008F4AC3">
              <w:t>e of process.</w:t>
            </w:r>
          </w:p>
          <w:p w:rsidR="00000000" w:rsidRPr="008F4AC3" w:rsidP="008F4AC3">
            <w:pPr>
              <w:pStyle w:val="ListBullet"/>
            </w:pPr>
            <w:r w:rsidRPr="008F4AC3">
              <w:t>Assessment must confirm a reasonable inference that competency is not only able to be satisfied under the particular circumstance, but is able to be transferred to other circumstances.</w:t>
            </w:r>
          </w:p>
          <w:p w:rsidR="00000000" w:rsidP="008F4AC3">
            <w:pPr>
              <w:pStyle w:val="ListBullet"/>
              <w:rPr>
                <w:lang w:val="en-NZ"/>
              </w:rPr>
            </w:pPr>
            <w:r w:rsidRPr="008F4AC3">
              <w:t>Assessment may be in conjunction with assessment of other</w:t>
            </w:r>
            <w:r w:rsidRPr="008F4AC3">
              <w:t xml:space="preserve"> units of competency where required.</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Assessment processes and techniques must be culturally appropriate and appropriate to the language and literacy capacity of the candidate and the work being performed.</w:t>
            </w:r>
          </w:p>
        </w:tc>
      </w:tr>
    </w:tbl>
    <w:p w:rsidR="004A4094" w:rsidP="008F4AC3">
      <w:pPr>
        <w:pStyle w:val="BodyText"/>
      </w:pPr>
    </w:p>
    <w:p w:rsidR="004A4094" w:rsidP="008F4AC3">
      <w:pPr>
        <w:pStyle w:val="BodyText"/>
      </w:pPr>
    </w:p>
    <w:p w:rsidR="00000000" w:rsidRPr="008F4AC3" w:rsidP="008F4AC3">
      <w:pPr>
        <w:pStyle w:val="Heading1"/>
      </w:pPr>
      <w:bookmarkStart w:id="11" w:name="O_518598"/>
      <w:bookmarkEnd w:id="11"/>
      <w:r w:rsidRPr="008F4AC3">
        <w:t>Range Statement</w:t>
      </w:r>
    </w:p>
    <w:tbl>
      <w:tblPr>
        <w:tblW w:w="0" w:type="auto"/>
        <w:tblCellMar>
          <w:left w:w="62" w:type="dxa"/>
          <w:right w:w="62" w:type="dxa"/>
        </w:tblCellMar>
        <w:tblLook w:val="0000"/>
      </w:tblPr>
      <w:tblGrid>
        <w:gridCol w:w="2705"/>
        <w:gridCol w:w="6491"/>
      </w:tblGrid>
      <w:tr w:rsidTr="004A4094">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F4AC3">
            <w:pPr>
              <w:pStyle w:val="BodyText"/>
              <w:rPr>
                <w:lang w:val="en-NZ"/>
              </w:rPr>
            </w:pPr>
            <w:r w:rsidRPr="008F4AC3">
              <w:t>The range statement relates to the unit of competency as a whole. It allows for different work environments and situations that may affect performance. Bold italicised wording, if used in the performance criteria, is detailed below. E</w:t>
            </w:r>
            <w:r w:rsidRPr="008F4AC3">
              <w:t>ssential operating conditions that may be present with training and assessment (depending on the work situation, needs of the candidate, accessibility of the item, and local industry and regional contexts) may also be included.</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rPr>
                <w:rStyle w:val="SpecialBold"/>
              </w:rPr>
              <w:t xml:space="preserve">Mechanical engineering analysis </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 xml:space="preserve">Mechanical engineering analysis may be required for a variety of reasons, including: </w:t>
            </w:r>
          </w:p>
          <w:p w:rsidR="00000000" w:rsidRPr="008F4AC3" w:rsidP="008F4AC3">
            <w:pPr>
              <w:pStyle w:val="ListBullet"/>
            </w:pPr>
            <w:r w:rsidRPr="008F4AC3">
              <w:t>design of mechanical devices and plant</w:t>
            </w:r>
          </w:p>
          <w:p w:rsidR="00000000" w:rsidRPr="008F4AC3" w:rsidP="008F4AC3">
            <w:pPr>
              <w:pStyle w:val="ListBullet"/>
            </w:pPr>
            <w:r w:rsidRPr="008F4AC3">
              <w:t>design or evaluation of significant modifications, process changes or improvements</w:t>
            </w:r>
          </w:p>
          <w:p w:rsidR="00000000" w:rsidRPr="008F4AC3" w:rsidP="008F4AC3">
            <w:pPr>
              <w:pStyle w:val="ListBullet"/>
            </w:pPr>
            <w:r w:rsidRPr="008F4AC3">
              <w:t>sustainabilit</w:t>
            </w:r>
            <w:r w:rsidRPr="008F4AC3">
              <w:t>y issues relevant to plant, equipment or processes</w:t>
            </w:r>
          </w:p>
          <w:p w:rsidR="00000000" w:rsidRPr="008F4AC3" w:rsidP="008F4AC3">
            <w:pPr>
              <w:pStyle w:val="ListBullet"/>
            </w:pPr>
            <w:r w:rsidRPr="008F4AC3">
              <w:t>static and dynamic analysis of loads, including the resulting stresses and deformations</w:t>
            </w:r>
          </w:p>
          <w:p w:rsidR="00000000" w:rsidRPr="008F4AC3" w:rsidP="008F4AC3">
            <w:pPr>
              <w:pStyle w:val="ListBullet"/>
            </w:pPr>
            <w:r w:rsidRPr="008F4AC3">
              <w:t>fitness for purpose evaluation</w:t>
            </w:r>
          </w:p>
          <w:p w:rsidR="00000000" w:rsidP="008F4AC3">
            <w:pPr>
              <w:pStyle w:val="ListBullet"/>
              <w:rPr>
                <w:lang w:val="en-NZ"/>
              </w:rPr>
            </w:pPr>
            <w:r w:rsidRPr="008F4AC3">
              <w:t>installation and commissioning of plant and equipment</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Planning processes may include:</w:t>
            </w:r>
          </w:p>
          <w:p w:rsidR="00000000" w:rsidRPr="008F4AC3" w:rsidP="008F4AC3">
            <w:pPr>
              <w:pStyle w:val="ListBullet"/>
            </w:pPr>
            <w:r w:rsidRPr="008F4AC3">
              <w:t>establishing analysis parameters and criteria</w:t>
            </w:r>
          </w:p>
          <w:p w:rsidR="00000000" w:rsidRPr="008F4AC3" w:rsidP="008F4AC3">
            <w:pPr>
              <w:pStyle w:val="ListBullet"/>
            </w:pPr>
            <w:r w:rsidRPr="008F4AC3">
              <w:t>contributing to the negotiation and advice process</w:t>
            </w:r>
          </w:p>
          <w:p w:rsidR="00000000" w:rsidRPr="008F4AC3" w:rsidP="008F4AC3">
            <w:pPr>
              <w:pStyle w:val="ListBullet"/>
            </w:pPr>
            <w:r w:rsidRPr="008F4AC3">
              <w:t>preliminary planning, analysis investigations and costing</w:t>
            </w:r>
          </w:p>
          <w:p w:rsidR="00000000" w:rsidRPr="008F4AC3" w:rsidP="008F4AC3">
            <w:pPr>
              <w:pStyle w:val="ListBullet"/>
            </w:pPr>
            <w:r w:rsidRPr="008F4AC3">
              <w:t>identifying analysis, development, prototyping activities and skills</w:t>
            </w:r>
            <w:r w:rsidRPr="008F4AC3">
              <w:t xml:space="preserve"> requirements</w:t>
            </w:r>
          </w:p>
          <w:p w:rsidR="00000000" w:rsidRPr="008F4AC3" w:rsidP="008F4AC3">
            <w:pPr>
              <w:pStyle w:val="ListBullet"/>
            </w:pPr>
            <w:r w:rsidRPr="008F4AC3">
              <w:t>planning and scheduling analysis activities</w:t>
            </w:r>
          </w:p>
          <w:p w:rsidR="00000000" w:rsidP="008F4AC3">
            <w:pPr>
              <w:pStyle w:val="ListBullet"/>
              <w:rPr>
                <w:lang w:val="en-NZ"/>
              </w:rPr>
            </w:pPr>
            <w:r w:rsidRPr="008F4AC3">
              <w:t>improving, adjusting and rescheduling as required by emergency contingencies and constraints</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Analysis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Analysis as a systematic process includes:</w:t>
            </w:r>
          </w:p>
          <w:p w:rsidR="00000000" w:rsidRPr="008F4AC3" w:rsidP="008F4AC3">
            <w:pPr>
              <w:pStyle w:val="ListBullet"/>
            </w:pPr>
            <w:r w:rsidRPr="008F4AC3">
              <w:t>establish analysis parameters and criteria</w:t>
            </w:r>
          </w:p>
          <w:p w:rsidR="00000000" w:rsidRPr="008F4AC3" w:rsidP="008F4AC3">
            <w:pPr>
              <w:pStyle w:val="ListBullet"/>
            </w:pPr>
            <w:r w:rsidRPr="008F4AC3">
              <w:t>research, measurement, experimentation, and investigation</w:t>
            </w:r>
          </w:p>
          <w:p w:rsidR="00000000" w:rsidRPr="008F4AC3" w:rsidP="008F4AC3">
            <w:pPr>
              <w:pStyle w:val="ListBullet"/>
            </w:pPr>
            <w:r w:rsidRPr="008F4AC3">
              <w:t>generating ideas</w:t>
            </w:r>
          </w:p>
          <w:p w:rsidR="00000000" w:rsidRPr="008F4AC3" w:rsidP="008F4AC3">
            <w:pPr>
              <w:pStyle w:val="ListBullet"/>
            </w:pPr>
            <w:r w:rsidRPr="008F4AC3">
              <w:t>synthesis, problem solving and decision making, and addressing constraints</w:t>
            </w:r>
          </w:p>
          <w:p w:rsidR="00000000" w:rsidRPr="008F4AC3" w:rsidP="008F4AC3">
            <w:pPr>
              <w:pStyle w:val="ListBullet"/>
            </w:pPr>
            <w:r w:rsidRPr="008F4AC3">
              <w:t>apply scientific principles, calculation and graphics, prototyping and mock-up techniques</w:t>
            </w:r>
          </w:p>
          <w:p w:rsidR="00000000" w:rsidRPr="008F4AC3" w:rsidP="008F4AC3">
            <w:pPr>
              <w:pStyle w:val="ListBullet"/>
            </w:pPr>
            <w:r w:rsidRPr="008F4AC3">
              <w:t>evaluating solutions against analysis criteria</w:t>
            </w:r>
          </w:p>
          <w:p w:rsidR="00000000" w:rsidRPr="008F4AC3" w:rsidP="008F4AC3">
            <w:pPr>
              <w:pStyle w:val="ListBullet"/>
            </w:pPr>
            <w:r w:rsidRPr="008F4AC3">
              <w:t>consultation, adjustments and agreement</w:t>
            </w:r>
          </w:p>
          <w:p w:rsidR="00000000" w:rsidP="008F4AC3">
            <w:pPr>
              <w:pStyle w:val="ListBullet"/>
              <w:rPr>
                <w:lang w:val="en-NZ"/>
              </w:rPr>
            </w:pPr>
            <w:r w:rsidRPr="008F4AC3">
              <w:t>finalise analysis and sign-off</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Analysis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Analysis includes relevant technical criteria and may also include criteria relating to:</w:t>
            </w:r>
          </w:p>
          <w:p w:rsidR="00000000" w:rsidRPr="008F4AC3" w:rsidP="008F4AC3">
            <w:pPr>
              <w:pStyle w:val="ListBullet"/>
            </w:pPr>
            <w:r w:rsidRPr="008F4AC3">
              <w:t>function</w:t>
            </w:r>
          </w:p>
          <w:p w:rsidR="00000000" w:rsidRPr="008F4AC3" w:rsidP="008F4AC3">
            <w:pPr>
              <w:pStyle w:val="ListBullet"/>
            </w:pPr>
            <w:r w:rsidRPr="008F4AC3">
              <w:t>manufacturability an</w:t>
            </w:r>
            <w:r w:rsidRPr="008F4AC3">
              <w:t>d maintainability</w:t>
            </w:r>
          </w:p>
          <w:p w:rsidR="00000000" w:rsidRPr="008F4AC3" w:rsidP="008F4AC3">
            <w:pPr>
              <w:pStyle w:val="ListBullet"/>
            </w:pPr>
            <w:r w:rsidRPr="008F4AC3">
              <w:t>marketability</w:t>
            </w:r>
          </w:p>
          <w:p w:rsidR="00000000" w:rsidRPr="008F4AC3" w:rsidP="008F4AC3">
            <w:pPr>
              <w:pStyle w:val="ListBullet"/>
            </w:pPr>
            <w:r w:rsidRPr="008F4AC3">
              <w:t>sustainability</w:t>
            </w:r>
          </w:p>
          <w:p w:rsidR="00000000" w:rsidRPr="008F4AC3" w:rsidP="008F4AC3">
            <w:pPr>
              <w:pStyle w:val="ListBullet"/>
            </w:pPr>
            <w:r w:rsidRPr="008F4AC3">
              <w:t>cost constraints</w:t>
            </w:r>
          </w:p>
          <w:p w:rsidR="00000000" w:rsidRPr="008F4AC3" w:rsidP="008F4AC3">
            <w:pPr>
              <w:pStyle w:val="ListBullet"/>
            </w:pPr>
            <w:r w:rsidRPr="008F4AC3">
              <w:t>ergonomics and anthropometrics and physiology</w:t>
            </w:r>
          </w:p>
          <w:p w:rsidR="00000000" w:rsidRPr="008F4AC3" w:rsidP="008F4AC3">
            <w:pPr>
              <w:pStyle w:val="ListBullet"/>
            </w:pPr>
            <w:r w:rsidRPr="008F4AC3">
              <w:t>facilities, plant and skills available</w:t>
            </w:r>
          </w:p>
          <w:p w:rsidR="00000000" w:rsidRPr="008F4AC3" w:rsidP="008F4AC3">
            <w:pPr>
              <w:pStyle w:val="ListBullet"/>
            </w:pPr>
            <w:r w:rsidRPr="008F4AC3">
              <w:t>contingencies and constraints minimisation</w:t>
            </w:r>
          </w:p>
          <w:p w:rsidR="00000000" w:rsidP="008F4AC3">
            <w:pPr>
              <w:pStyle w:val="ListBullet"/>
              <w:rPr>
                <w:lang w:val="en-NZ"/>
              </w:rPr>
            </w:pPr>
            <w:r w:rsidRPr="008F4AC3">
              <w:t>safety and risk</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 xml:space="preserve">Sustainability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Sustainability is used to mean the entire sustainable performance of the organisation/plant, including:</w:t>
            </w:r>
          </w:p>
          <w:p w:rsidR="00000000" w:rsidRPr="008F4AC3" w:rsidP="008F4AC3">
            <w:pPr>
              <w:pStyle w:val="ListBullet"/>
            </w:pPr>
            <w:r w:rsidRPr="008F4AC3">
              <w:t>meeting all regulatory requirements</w:t>
            </w:r>
          </w:p>
          <w:p w:rsidR="00000000" w:rsidRPr="008F4AC3" w:rsidP="008F4AC3">
            <w:pPr>
              <w:pStyle w:val="ListBullet"/>
            </w:pPr>
            <w:r w:rsidRPr="008F4AC3">
              <w:t>conforming to all industry covenants, protocols and best practice guides</w:t>
            </w:r>
          </w:p>
          <w:p w:rsidR="00000000" w:rsidRPr="008F4AC3" w:rsidP="008F4AC3">
            <w:pPr>
              <w:pStyle w:val="ListBullet"/>
            </w:pPr>
            <w:r w:rsidRPr="008F4AC3">
              <w:t>minimising ecological and environmental fo</w:t>
            </w:r>
            <w:r w:rsidRPr="008F4AC3">
              <w:t>otprint of process, plant and product</w:t>
            </w:r>
          </w:p>
          <w:p w:rsidR="00000000" w:rsidRPr="008F4AC3" w:rsidP="008F4AC3">
            <w:pPr>
              <w:pStyle w:val="ListBullet"/>
            </w:pPr>
            <w:r w:rsidRPr="008F4AC3">
              <w:t xml:space="preserve">maximising economic benefit of process plant and product to the organisation and the community </w:t>
            </w:r>
          </w:p>
          <w:p w:rsidR="00000000" w:rsidP="008F4AC3">
            <w:pPr>
              <w:pStyle w:val="ListBullet"/>
              <w:rPr>
                <w:lang w:val="en-NZ"/>
              </w:rPr>
            </w:pPr>
            <w:r w:rsidRPr="008F4AC3">
              <w:t>minimising the negative WHS impact on employees, community and customer</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Life cycle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Life cycle analysis can be us</w:t>
            </w:r>
            <w:r w:rsidRPr="008F4AC3">
              <w:t>ed to improve sustainability of products and services. It may be applied to:</w:t>
            </w:r>
          </w:p>
          <w:p w:rsidR="00000000" w:rsidRPr="008F4AC3" w:rsidP="008F4AC3">
            <w:pPr>
              <w:pStyle w:val="ListBullet"/>
            </w:pPr>
            <w:r w:rsidRPr="008F4AC3">
              <w:t>all aspects of manufacture of a single product</w:t>
            </w:r>
          </w:p>
          <w:p w:rsidR="00000000" w:rsidRPr="008F4AC3" w:rsidP="008F4AC3">
            <w:pPr>
              <w:pStyle w:val="ListBullet"/>
            </w:pPr>
            <w:r w:rsidRPr="008F4AC3">
              <w:t>the entire operations of an organisation</w:t>
            </w:r>
          </w:p>
          <w:p w:rsidR="00000000" w:rsidP="008F4AC3">
            <w:pPr>
              <w:pStyle w:val="ListBullet"/>
              <w:rPr>
                <w:lang w:val="en-NZ"/>
              </w:rPr>
            </w:pPr>
            <w:r w:rsidRPr="008F4AC3">
              <w:t>a particular aspect of operations, such as environmental implications</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Prototyping may include:</w:t>
            </w:r>
          </w:p>
          <w:p w:rsidR="00000000" w:rsidRPr="008F4AC3" w:rsidP="008F4AC3">
            <w:pPr>
              <w:pStyle w:val="ListBullet"/>
            </w:pPr>
            <w:r w:rsidRPr="008F4AC3">
              <w:t>mock-ups</w:t>
            </w:r>
          </w:p>
          <w:p w:rsidR="00000000" w:rsidP="008F4AC3">
            <w:pPr>
              <w:pStyle w:val="ListBullet"/>
              <w:rPr>
                <w:lang w:val="en-NZ"/>
              </w:rPr>
            </w:pPr>
            <w:r w:rsidRPr="008F4AC3">
              <w:t>physical and virtual modelling with post-processing for computer numeric control (CNC) and rapid prototyping</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t>Systems thinking refers to the conduct of engineering work in a manner that demonstrates know</w:t>
            </w:r>
            <w:r w:rsidRPr="008F4AC3">
              <w:t>ledge of how the interaction of different technical systems on equipment, machinery or structures, as well as the skills and techniques of personnel, combine to perform or support engineering-related operations, processes or projects. It embraces determini</w:t>
            </w:r>
            <w:r w:rsidRPr="008F4AC3">
              <w:t>ng or establishing how the function of each technical system or component, as well as the skills and techniques of personnel, effects or potentially may effect outcomes. Systems should be interpreted broadly within the context of the organisation and depen</w:t>
            </w:r>
            <w:r w:rsidRPr="008F4AC3">
              <w:t>ding on the project or operation can include equipment, related facilities, material, software, internal services and personnel, and other organisations in the value chain</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4AC3">
            <w:pPr>
              <w:pStyle w:val="BodyText"/>
              <w:rPr>
                <w:lang w:val="en-NZ"/>
              </w:rPr>
            </w:pPr>
            <w:r w:rsidRPr="008F4AC3">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Appropriate licensed tec</w:t>
            </w:r>
            <w:r w:rsidRPr="008F4AC3">
              <w:t>hnical and professional assistance may include:</w:t>
            </w:r>
          </w:p>
          <w:p w:rsidR="00000000" w:rsidRPr="008F4AC3" w:rsidP="008F4AC3">
            <w:pPr>
              <w:pStyle w:val="ListBullet"/>
            </w:pPr>
            <w:r w:rsidRPr="008F4AC3">
              <w:t>technical support and advice relating to elements which have intrinsic danger, such as:</w:t>
            </w:r>
          </w:p>
          <w:p w:rsidR="00000000" w:rsidRPr="008F4AC3" w:rsidP="008F4AC3">
            <w:pPr>
              <w:pStyle w:val="ListBullet2"/>
            </w:pPr>
            <w:r w:rsidRPr="008F4AC3">
              <w:t>high pressure</w:t>
            </w:r>
          </w:p>
          <w:p w:rsidR="00000000" w:rsidRPr="008F4AC3" w:rsidP="008F4AC3">
            <w:pPr>
              <w:pStyle w:val="ListBullet2"/>
            </w:pPr>
            <w:r w:rsidRPr="008F4AC3">
              <w:t>energised fluid vessels</w:t>
            </w:r>
          </w:p>
          <w:p w:rsidR="00000000" w:rsidRPr="008F4AC3" w:rsidP="008F4AC3">
            <w:pPr>
              <w:pStyle w:val="ListBullet2"/>
            </w:pPr>
            <w:r w:rsidRPr="008F4AC3">
              <w:t>high temperatures and heat energy capacity</w:t>
            </w:r>
          </w:p>
          <w:p w:rsidR="00000000" w:rsidRPr="008F4AC3" w:rsidP="008F4AC3">
            <w:pPr>
              <w:pStyle w:val="ListBullet2"/>
            </w:pPr>
            <w:r w:rsidRPr="008F4AC3">
              <w:t>wiring with high current control voltages above extra low voltage</w:t>
            </w:r>
          </w:p>
          <w:p w:rsidR="00000000" w:rsidRPr="008F4AC3" w:rsidP="008F4AC3">
            <w:pPr>
              <w:pStyle w:val="ListBullet"/>
            </w:pPr>
            <w:r w:rsidRPr="008F4AC3">
              <w:t>professional support for technologies, such as:</w:t>
            </w:r>
          </w:p>
          <w:p w:rsidR="00000000" w:rsidRPr="008F4AC3" w:rsidP="008F4AC3">
            <w:pPr>
              <w:pStyle w:val="ListBullet2"/>
            </w:pPr>
            <w:r w:rsidRPr="008F4AC3">
              <w:t>specialist electric motor drives and controllers</w:t>
            </w:r>
          </w:p>
          <w:p w:rsidR="00000000" w:rsidRPr="008F4AC3" w:rsidP="008F4AC3">
            <w:pPr>
              <w:pStyle w:val="ListBullet2"/>
            </w:pPr>
            <w:r w:rsidRPr="008F4AC3">
              <w:t>specialist materials, plastics, metal alloys and nano materials</w:t>
            </w:r>
          </w:p>
          <w:p w:rsidR="00000000" w:rsidP="008F4AC3">
            <w:pPr>
              <w:pStyle w:val="ListBullet2"/>
              <w:rPr>
                <w:lang w:val="en-NZ"/>
              </w:rPr>
            </w:pPr>
            <w:r w:rsidRPr="008F4AC3">
              <w:t>special processes, foundry,</w:t>
            </w:r>
            <w:r w:rsidRPr="008F4AC3">
              <w:t xml:space="preserve"> alloy welding, heat treatment, sealing and fastening</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WHS, regulatory requirements and enterprise procedures may include:</w:t>
            </w:r>
          </w:p>
          <w:p w:rsidR="00000000" w:rsidRPr="008F4AC3" w:rsidP="008F4AC3">
            <w:pPr>
              <w:pStyle w:val="ListBullet"/>
            </w:pPr>
            <w:r w:rsidRPr="008F4AC3">
              <w:t>WHS Acts and regulations</w:t>
            </w:r>
          </w:p>
          <w:p w:rsidR="00000000" w:rsidRPr="008F4AC3" w:rsidP="008F4AC3">
            <w:pPr>
              <w:pStyle w:val="ListBullet"/>
            </w:pPr>
            <w:r w:rsidRPr="008F4AC3">
              <w:t>relevant standards</w:t>
            </w:r>
          </w:p>
          <w:p w:rsidR="00000000" w:rsidRPr="008F4AC3" w:rsidP="008F4AC3">
            <w:pPr>
              <w:pStyle w:val="ListBullet"/>
            </w:pPr>
            <w:r w:rsidRPr="008F4AC3">
              <w:t>codes of practice from Australian and overseas engineering and technical associations and societies</w:t>
            </w:r>
          </w:p>
          <w:p w:rsidR="00000000" w:rsidRPr="008F4AC3" w:rsidP="008F4AC3">
            <w:pPr>
              <w:pStyle w:val="ListBullet"/>
            </w:pPr>
            <w:r w:rsidRPr="008F4AC3">
              <w:t>risk assessments</w:t>
            </w:r>
          </w:p>
          <w:p w:rsidR="00000000" w:rsidRPr="008F4AC3" w:rsidP="008F4AC3">
            <w:pPr>
              <w:pStyle w:val="ListBullet"/>
            </w:pPr>
            <w:r w:rsidRPr="008F4AC3">
              <w:t xml:space="preserve">registration requirements </w:t>
            </w:r>
          </w:p>
          <w:p w:rsidR="00000000" w:rsidRPr="008F4AC3" w:rsidP="008F4AC3">
            <w:pPr>
              <w:pStyle w:val="ListBullet"/>
            </w:pPr>
            <w:r w:rsidRPr="008F4AC3">
              <w:t>safe work practices</w:t>
            </w:r>
          </w:p>
          <w:p w:rsidR="00000000" w:rsidP="008F4AC3">
            <w:pPr>
              <w:pStyle w:val="ListBullet"/>
              <w:rPr>
                <w:lang w:val="en-NZ"/>
              </w:rPr>
            </w:pPr>
            <w:r w:rsidRPr="008F4AC3">
              <w:t xml:space="preserve">state and territory regulatory requirements </w:t>
            </w:r>
          </w:p>
        </w:tc>
      </w:tr>
      <w:tr w:rsidTr="004A40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rPr>
                <w:rStyle w:val="SpecialBold"/>
              </w:rPr>
              <w:t>Standards and codes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4AC3" w:rsidP="008F4AC3">
            <w:pPr>
              <w:pStyle w:val="BodyText"/>
            </w:pPr>
            <w:r w:rsidRPr="008F4AC3">
              <w:t>Standards and codes refer</w:t>
            </w:r>
            <w:r w:rsidRPr="008F4AC3">
              <w:t xml:space="preserve"> to all relevant Australian and international standards and codes applicable to the mechanical engineering analysis task</w:t>
            </w:r>
          </w:p>
        </w:tc>
      </w:tr>
    </w:tbl>
    <w:p w:rsidR="004A4094" w:rsidP="008F4AC3">
      <w:pPr>
        <w:pStyle w:val="BodyText"/>
      </w:pPr>
    </w:p>
    <w:p w:rsidR="004A4094" w:rsidP="008F4AC3">
      <w:pPr>
        <w:pStyle w:val="BodyText"/>
      </w:pPr>
    </w:p>
    <w:p w:rsidR="00000000" w:rsidRPr="008F4AC3" w:rsidP="008F4AC3">
      <w:pPr>
        <w:pStyle w:val="Heading1"/>
      </w:pPr>
      <w:bookmarkStart w:id="12" w:name="O_518597"/>
      <w:bookmarkEnd w:id="12"/>
      <w:r w:rsidRPr="008F4AC3">
        <w:t>Unit Sector(s)</w:t>
      </w:r>
    </w:p>
    <w:tbl>
      <w:tblPr>
        <w:tblW w:w="0" w:type="auto"/>
        <w:tblCellMar>
          <w:left w:w="62" w:type="dxa"/>
          <w:right w:w="62" w:type="dxa"/>
        </w:tblCellMar>
        <w:tblLook w:val="0000"/>
      </w:tblPr>
      <w:tblGrid>
        <w:gridCol w:w="2576"/>
        <w:gridCol w:w="6620"/>
      </w:tblGrid>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p>
        </w:tc>
      </w:tr>
      <w:tr w:rsidTr="004A40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4AC3">
            <w:pPr>
              <w:pStyle w:val="BodyText"/>
              <w:rPr>
                <w:lang w:val="en-NZ"/>
              </w:rPr>
            </w:pPr>
            <w:r w:rsidRPr="008F4AC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F4AC3" w:rsidP="008F4AC3">
            <w:pPr>
              <w:pStyle w:val="BodyText"/>
            </w:pPr>
            <w:r w:rsidRPr="008F4AC3">
              <w:t>Planning</w:t>
            </w:r>
          </w:p>
        </w:tc>
      </w:tr>
    </w:tbl>
    <w:p w:rsidR="00000000" w:rsidRPr="008F4AC3" w:rsidP="008F4AC3">
      <w:pPr>
        <w:pStyle w:val="BodyText"/>
      </w:pPr>
    </w:p>
    <w:p w:rsidR="00000000" w:rsidRPr="008F4AC3" w:rsidP="008F4AC3">
      <w:pPr>
        <w:pStyle w:val="AllowPageBreak"/>
      </w:pPr>
    </w:p>
    <w:p w:rsidR="00000000" w:rsidRPr="008F4AC3" w:rsidP="008F4AC3">
      <w:pPr>
        <w:pStyle w:val="Heading1"/>
      </w:pPr>
      <w:bookmarkStart w:id="13" w:name="O_518596"/>
      <w:bookmarkEnd w:id="13"/>
      <w:r w:rsidRPr="008F4AC3">
        <w:t>Custom Content Section</w:t>
      </w:r>
    </w:p>
    <w:p w:rsidR="00000000" w:rsidRPr="008F4AC3" w:rsidP="008F4AC3">
      <w:pPr>
        <w:pStyle w:val="BodyText"/>
      </w:pPr>
      <w:r w:rsidRPr="008F4AC3">
        <w:t>Not applicable.</w:t>
      </w:r>
    </w:p>
    <w:p w:rsidR="00000000" w:rsidRPr="008F4AC3" w:rsidP="008F4AC3"/>
    <w:sectPr w:rsidSect="008F4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rsidRPr="004A4094" w:rsidP="004A40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94" w:rsidP="008F4A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4094" w:rsidP="008F4A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4094" w:rsidP="008F4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rsidRPr="004A4094" w:rsidP="004A40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94" w:rsidRPr="002D2AF8" w:rsidP="008F4AC3">
    <w:pPr>
      <w:pStyle w:val="Header"/>
      <w:framePr w:wrap="around"/>
    </w:pPr>
    <w:r>
      <w:fldChar w:fldCharType="begin"/>
    </w:r>
    <w:r>
      <w:instrText xml:space="preserve"> TITLE   \* MERGEFORMAT </w:instrText>
    </w:r>
    <w:r>
      <w:fldChar w:fldCharType="separate"/>
    </w:r>
    <w:r>
      <w:t>MEM14085A Apply mechanical engineering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4A4094" w:rsidP="008F4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4A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22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E5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AC3"/>
    <w:pPr>
      <w:spacing w:before="360" w:after="60"/>
      <w:outlineLvl w:val="0"/>
    </w:pPr>
    <w:rPr>
      <w:sz w:val="32"/>
    </w:rPr>
  </w:style>
  <w:style w:type="paragraph" w:styleId="Heading2">
    <w:name w:val="heading 2"/>
    <w:basedOn w:val="HeadingBase"/>
    <w:next w:val="BodyText"/>
    <w:link w:val="Heading2Char"/>
    <w:qFormat/>
    <w:rsid w:val="008F4AC3"/>
    <w:pPr>
      <w:keepLines/>
      <w:spacing w:before="240" w:after="120"/>
      <w:outlineLvl w:val="1"/>
    </w:pPr>
    <w:rPr>
      <w:sz w:val="28"/>
      <w:szCs w:val="40"/>
    </w:rPr>
  </w:style>
  <w:style w:type="paragraph" w:styleId="Heading3">
    <w:name w:val="heading 3"/>
    <w:basedOn w:val="HeadingBase"/>
    <w:next w:val="BodyText"/>
    <w:link w:val="Heading3Char"/>
    <w:qFormat/>
    <w:rsid w:val="008F4AC3"/>
    <w:pPr>
      <w:spacing w:before="180" w:after="120"/>
      <w:outlineLvl w:val="2"/>
    </w:pPr>
    <w:rPr>
      <w:spacing w:val="-10"/>
      <w:kern w:val="32"/>
    </w:rPr>
  </w:style>
  <w:style w:type="paragraph" w:styleId="Heading4">
    <w:name w:val="heading 4"/>
    <w:basedOn w:val="HeadingBase"/>
    <w:next w:val="BodyText"/>
    <w:link w:val="Heading4Char"/>
    <w:qFormat/>
    <w:rsid w:val="008F4AC3"/>
    <w:pPr>
      <w:spacing w:before="160" w:after="120"/>
      <w:outlineLvl w:val="3"/>
    </w:pPr>
    <w:rPr>
      <w:sz w:val="22"/>
    </w:rPr>
  </w:style>
  <w:style w:type="paragraph" w:styleId="Heading5">
    <w:name w:val="heading 5"/>
    <w:basedOn w:val="HeadingBase"/>
    <w:next w:val="Normal"/>
    <w:link w:val="Heading5Char"/>
    <w:qFormat/>
    <w:rsid w:val="008F4AC3"/>
    <w:pPr>
      <w:spacing w:before="80"/>
      <w:outlineLvl w:val="4"/>
    </w:pPr>
    <w:rPr>
      <w:color w:val="918585"/>
      <w:sz w:val="20"/>
    </w:rPr>
  </w:style>
  <w:style w:type="paragraph" w:styleId="Heading6">
    <w:name w:val="heading 6"/>
    <w:basedOn w:val="HeadingBase"/>
    <w:next w:val="Normal"/>
    <w:link w:val="Heading6Char"/>
    <w:qFormat/>
    <w:rsid w:val="008F4AC3"/>
    <w:pPr>
      <w:spacing w:before="60"/>
      <w:outlineLvl w:val="5"/>
    </w:pPr>
    <w:rPr>
      <w:color w:val="918585"/>
      <w:sz w:val="20"/>
    </w:rPr>
  </w:style>
  <w:style w:type="paragraph" w:styleId="Heading7">
    <w:name w:val="heading 7"/>
    <w:basedOn w:val="Normal"/>
    <w:next w:val="Normal"/>
    <w:link w:val="Heading7Char"/>
    <w:qFormat/>
    <w:rsid w:val="008F4AC3"/>
    <w:pPr>
      <w:ind w:left="720"/>
      <w:outlineLvl w:val="6"/>
    </w:pPr>
    <w:rPr>
      <w:i/>
    </w:rPr>
  </w:style>
  <w:style w:type="paragraph" w:styleId="Heading8">
    <w:name w:val="heading 8"/>
    <w:basedOn w:val="Normal"/>
    <w:next w:val="Normal"/>
    <w:link w:val="Heading8Char"/>
    <w:qFormat/>
    <w:rsid w:val="008F4AC3"/>
    <w:pPr>
      <w:ind w:left="720"/>
      <w:outlineLvl w:val="7"/>
    </w:pPr>
    <w:rPr>
      <w:i/>
    </w:rPr>
  </w:style>
  <w:style w:type="paragraph" w:styleId="Heading9">
    <w:name w:val="heading 9"/>
    <w:basedOn w:val="Normal"/>
    <w:next w:val="Normal"/>
    <w:link w:val="Heading9Char"/>
    <w:qFormat/>
    <w:rsid w:val="008F4AC3"/>
    <w:pPr>
      <w:ind w:left="720"/>
      <w:outlineLvl w:val="8"/>
    </w:pPr>
    <w:rPr>
      <w:i/>
    </w:rPr>
  </w:style>
  <w:style w:type="character" w:default="1" w:styleId="DefaultParagraphFont">
    <w:name w:val="Default Paragraph Font"/>
    <w:uiPriority w:val="1"/>
    <w:unhideWhenUsed/>
    <w:rsid w:val="008F4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AC3"/>
  </w:style>
  <w:style w:type="character" w:customStyle="1" w:styleId="Heading1Char">
    <w:name w:val="Heading 1 Char"/>
    <w:basedOn w:val="DefaultParagraphFont"/>
    <w:link w:val="Heading1"/>
    <w:rsid w:val="008F4AC3"/>
    <w:rPr>
      <w:rFonts w:ascii="Times New Roman" w:eastAsia="Times New Roman" w:hAnsi="Times New Roman" w:cs="Times New Roman"/>
      <w:b/>
      <w:sz w:val="32"/>
      <w:szCs w:val="20"/>
      <w:lang w:eastAsia="en-US"/>
    </w:rPr>
  </w:style>
  <w:style w:type="paragraph" w:styleId="BodyText">
    <w:name w:val="Body Text"/>
    <w:basedOn w:val="Normal"/>
    <w:link w:val="BodyTextChar"/>
    <w:rsid w:val="008F4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AC3"/>
    <w:rPr>
      <w:rFonts w:ascii="Times New Roman" w:eastAsia="Times New Roman" w:hAnsi="Times New Roman" w:cs="Times New Roman"/>
      <w:sz w:val="24"/>
      <w:lang w:eastAsia="en-US"/>
    </w:rPr>
  </w:style>
  <w:style w:type="paragraph" w:styleId="ListBullet">
    <w:name w:val="List Bullet"/>
    <w:basedOn w:val="List"/>
    <w:rsid w:val="008F4AC3"/>
    <w:pPr>
      <w:numPr>
        <w:numId w:val="13"/>
      </w:numPr>
      <w:tabs>
        <w:tab w:val="clear" w:pos="340"/>
      </w:tabs>
      <w:spacing w:before="40" w:after="40"/>
    </w:pPr>
  </w:style>
  <w:style w:type="character" w:customStyle="1" w:styleId="SpecialBold">
    <w:name w:val="Special Bold"/>
    <w:basedOn w:val="DefaultParagraphFont"/>
    <w:rsid w:val="008F4AC3"/>
    <w:rPr>
      <w:b/>
      <w:spacing w:val="0"/>
    </w:rPr>
  </w:style>
  <w:style w:type="paragraph" w:styleId="ListBullet2">
    <w:name w:val="List Bullet 2"/>
    <w:basedOn w:val="List2"/>
    <w:rsid w:val="008F4AC3"/>
    <w:pPr>
      <w:numPr>
        <w:numId w:val="14"/>
      </w:numPr>
      <w:tabs>
        <w:tab w:val="clear" w:pos="680"/>
      </w:tabs>
    </w:pPr>
  </w:style>
  <w:style w:type="paragraph" w:customStyle="1" w:styleId="SuperHeading">
    <w:name w:val="SuperHeading"/>
    <w:basedOn w:val="Normal"/>
    <w:rsid w:val="008F4AC3"/>
    <w:pPr>
      <w:spacing w:before="240" w:after="120"/>
      <w:outlineLvl w:val="0"/>
    </w:pPr>
    <w:rPr>
      <w:rFonts w:ascii="Times New Roman" w:hAnsi="Times New Roman"/>
      <w:b/>
      <w:sz w:val="32"/>
    </w:rPr>
  </w:style>
  <w:style w:type="paragraph" w:customStyle="1" w:styleId="AllowPageBreak">
    <w:name w:val="AllowPageBreak"/>
    <w:rsid w:val="008F4A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AC3"/>
    <w:rPr>
      <w:rFonts w:ascii="Courier New" w:eastAsia="Times New Roman" w:hAnsi="Courier New" w:cs="Times New Roman"/>
      <w:i/>
      <w:szCs w:val="20"/>
      <w:lang w:eastAsia="en-US"/>
    </w:rPr>
  </w:style>
  <w:style w:type="paragraph" w:customStyle="1" w:styleId="HeadingBase">
    <w:name w:val="Heading Base"/>
    <w:rsid w:val="008F4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AC3"/>
    <w:pPr>
      <w:tabs>
        <w:tab w:val="right" w:leader="dot" w:pos="9072"/>
      </w:tabs>
      <w:ind w:left="567"/>
    </w:pPr>
    <w:rPr>
      <w:szCs w:val="22"/>
    </w:rPr>
  </w:style>
  <w:style w:type="paragraph" w:customStyle="1" w:styleId="TOCBase">
    <w:name w:val="TOC Base"/>
    <w:rsid w:val="008F4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AC3"/>
    <w:pPr>
      <w:tabs>
        <w:tab w:val="right" w:leader="dot" w:pos="9072"/>
      </w:tabs>
      <w:spacing w:before="40" w:after="40"/>
      <w:ind w:left="284"/>
    </w:pPr>
    <w:rPr>
      <w:rFonts w:ascii="Times New Roman" w:hAnsi="Times New Roman"/>
    </w:rPr>
  </w:style>
  <w:style w:type="paragraph" w:styleId="TOC1">
    <w:name w:val="toc 1"/>
    <w:basedOn w:val="TOCBase"/>
    <w:next w:val="Normal"/>
    <w:rsid w:val="008F4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AC3"/>
    <w:rPr>
      <w:rFonts w:ascii="Times New Roman" w:eastAsia="Times New Roman" w:hAnsi="Times New Roman" w:cs="Times New Roman"/>
      <w:sz w:val="16"/>
      <w:lang w:eastAsia="en-US"/>
    </w:rPr>
  </w:style>
  <w:style w:type="paragraph" w:styleId="Title">
    <w:name w:val="Title"/>
    <w:basedOn w:val="HeadingBase"/>
    <w:link w:val="TitleChar"/>
    <w:qFormat/>
    <w:rsid w:val="008F4AC3"/>
    <w:pPr>
      <w:spacing w:before="5040"/>
      <w:jc w:val="center"/>
    </w:pPr>
    <w:rPr>
      <w:sz w:val="48"/>
      <w:szCs w:val="72"/>
      <w:lang w:val="en-US"/>
    </w:rPr>
  </w:style>
  <w:style w:type="character" w:customStyle="1" w:styleId="TitleChar">
    <w:name w:val="Title Char"/>
    <w:basedOn w:val="DefaultParagraphFont"/>
    <w:link w:val="Title"/>
    <w:rsid w:val="008F4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AC3"/>
    <w:pPr>
      <w:tabs>
        <w:tab w:val="left" w:pos="3600"/>
        <w:tab w:val="left" w:pos="3958"/>
      </w:tabs>
    </w:pPr>
  </w:style>
  <w:style w:type="paragraph" w:styleId="List">
    <w:name w:val="List"/>
    <w:basedOn w:val="BodyText"/>
    <w:next w:val="BodyText"/>
    <w:rsid w:val="008F4AC3"/>
    <w:pPr>
      <w:tabs>
        <w:tab w:val="left" w:pos="340"/>
      </w:tabs>
      <w:spacing w:before="60" w:after="60"/>
      <w:ind w:left="340" w:hanging="340"/>
    </w:pPr>
  </w:style>
  <w:style w:type="paragraph" w:customStyle="1" w:styleId="Note">
    <w:name w:val="Note"/>
    <w:basedOn w:val="BodyText"/>
    <w:rsid w:val="008F4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AC3"/>
    <w:pPr>
      <w:framePr w:wrap="auto" w:hAnchor="text" w:y="6049"/>
    </w:pPr>
    <w:rPr>
      <w:color w:val="000000"/>
      <w:sz w:val="40"/>
    </w:rPr>
  </w:style>
  <w:style w:type="paragraph" w:customStyle="1" w:styleId="TOCTitle">
    <w:name w:val="TOCTitle"/>
    <w:basedOn w:val="Heading1"/>
    <w:rsid w:val="008F4AC3"/>
    <w:pPr>
      <w:spacing w:after="240"/>
      <w:jc w:val="center"/>
      <w:outlineLvl w:val="9"/>
    </w:pPr>
    <w:rPr>
      <w:caps/>
    </w:rPr>
  </w:style>
  <w:style w:type="paragraph" w:customStyle="1" w:styleId="Version">
    <w:name w:val="Version"/>
    <w:rsid w:val="008F4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AC3"/>
    <w:pPr>
      <w:keepNext w:val="0"/>
      <w:tabs>
        <w:tab w:val="right" w:pos="4176"/>
      </w:tabs>
      <w:ind w:left="198" w:hanging="198"/>
    </w:pPr>
    <w:rPr>
      <w:rFonts w:ascii="Garamond" w:hAnsi="Garamond"/>
    </w:rPr>
  </w:style>
  <w:style w:type="paragraph" w:styleId="IndexHeading">
    <w:name w:val="index heading"/>
    <w:basedOn w:val="Normal"/>
    <w:next w:val="Index1"/>
    <w:semiHidden/>
    <w:rsid w:val="008F4AC3"/>
    <w:pPr>
      <w:spacing w:before="120" w:after="120"/>
    </w:pPr>
    <w:rPr>
      <w:rFonts w:ascii="Arial" w:hAnsi="Arial"/>
      <w:b/>
      <w:color w:val="918585"/>
      <w:sz w:val="24"/>
    </w:rPr>
  </w:style>
  <w:style w:type="paragraph" w:styleId="Header">
    <w:name w:val="header"/>
    <w:basedOn w:val="Normal"/>
    <w:link w:val="HeaderChar"/>
    <w:rsid w:val="008F4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AC3"/>
    <w:rPr>
      <w:rFonts w:ascii="Times New Roman" w:eastAsia="Times New Roman" w:hAnsi="Times New Roman" w:cs="Times New Roman"/>
      <w:sz w:val="16"/>
      <w:szCs w:val="20"/>
      <w:lang w:val="en-GB" w:eastAsia="en-US"/>
    </w:rPr>
  </w:style>
  <w:style w:type="paragraph" w:customStyle="1" w:styleId="Chapter">
    <w:name w:val="Chapter"/>
    <w:basedOn w:val="Normal"/>
    <w:rsid w:val="008F4AC3"/>
    <w:pPr>
      <w:spacing w:before="240"/>
    </w:pPr>
    <w:rPr>
      <w:rFonts w:ascii="Times New Roman" w:hAnsi="Times New Roman"/>
      <w:smallCaps/>
      <w:spacing w:val="80"/>
      <w:sz w:val="28"/>
    </w:rPr>
  </w:style>
  <w:style w:type="paragraph" w:customStyle="1" w:styleId="InChapter">
    <w:name w:val="InChapter"/>
    <w:basedOn w:val="Heading3"/>
    <w:rsid w:val="008F4AC3"/>
    <w:pPr>
      <w:spacing w:after="240"/>
      <w:outlineLvl w:val="9"/>
    </w:pPr>
    <w:rPr>
      <w:noProof/>
    </w:rPr>
  </w:style>
  <w:style w:type="paragraph" w:styleId="Index2">
    <w:name w:val="index 2"/>
    <w:basedOn w:val="Normal"/>
    <w:next w:val="Normal"/>
    <w:semiHidden/>
    <w:rsid w:val="008F4AC3"/>
    <w:pPr>
      <w:tabs>
        <w:tab w:val="right" w:pos="4176"/>
      </w:tabs>
      <w:ind w:left="568" w:hanging="284"/>
    </w:pPr>
    <w:rPr>
      <w:rFonts w:ascii="Garamond" w:hAnsi="Garamond"/>
    </w:rPr>
  </w:style>
  <w:style w:type="paragraph" w:customStyle="1" w:styleId="Byline">
    <w:name w:val="Byline"/>
    <w:rsid w:val="008F4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AC3"/>
    <w:pPr>
      <w:tabs>
        <w:tab w:val="clear" w:pos="3600"/>
        <w:tab w:val="clear" w:pos="3958"/>
      </w:tabs>
      <w:jc w:val="right"/>
    </w:pPr>
  </w:style>
  <w:style w:type="character" w:styleId="Emphasis">
    <w:name w:val="Emphasis"/>
    <w:basedOn w:val="DefaultParagraphFont"/>
    <w:qFormat/>
    <w:rsid w:val="008F4AC3"/>
    <w:rPr>
      <w:i/>
    </w:rPr>
  </w:style>
  <w:style w:type="paragraph" w:styleId="Caption">
    <w:name w:val="caption"/>
    <w:basedOn w:val="BodyText"/>
    <w:next w:val="Normal"/>
    <w:qFormat/>
    <w:rsid w:val="008F4AC3"/>
    <w:pPr>
      <w:framePr w:w="2268" w:hSpace="181" w:vSpace="181" w:wrap="around" w:vAnchor="text" w:hAnchor="page" w:x="1135" w:y="285" w:anchorLock="1"/>
    </w:pPr>
    <w:rPr>
      <w:i/>
    </w:rPr>
  </w:style>
  <w:style w:type="paragraph" w:customStyle="1" w:styleId="MiniTOCTitle">
    <w:name w:val="MiniTOCTitle"/>
    <w:basedOn w:val="Heading4"/>
    <w:rsid w:val="008F4AC3"/>
    <w:pPr>
      <w:spacing w:before="240"/>
      <w:outlineLvl w:val="9"/>
    </w:pPr>
    <w:rPr>
      <w:noProof/>
      <w:sz w:val="24"/>
    </w:rPr>
  </w:style>
  <w:style w:type="paragraph" w:customStyle="1" w:styleId="MiniTOCItem">
    <w:name w:val="MiniTOCItem"/>
    <w:basedOn w:val="ListBullet"/>
    <w:rsid w:val="008F4AC3"/>
    <w:pPr>
      <w:numPr>
        <w:numId w:val="0"/>
      </w:numPr>
      <w:tabs>
        <w:tab w:val="right" w:leader="dot" w:pos="6521"/>
      </w:tabs>
      <w:spacing w:before="0" w:after="0"/>
    </w:pPr>
  </w:style>
  <w:style w:type="paragraph" w:customStyle="1" w:styleId="TOFTitle">
    <w:name w:val="TOFTitle"/>
    <w:basedOn w:val="TOCTitle"/>
    <w:rsid w:val="008F4AC3"/>
  </w:style>
  <w:style w:type="paragraph" w:styleId="TableofFigures">
    <w:name w:val="table of figures"/>
    <w:basedOn w:val="Normal"/>
    <w:next w:val="Normal"/>
    <w:semiHidden/>
    <w:rsid w:val="008F4AC3"/>
    <w:pPr>
      <w:tabs>
        <w:tab w:val="right" w:leader="dot" w:pos="9072"/>
      </w:tabs>
      <w:ind w:left="970" w:hanging="403"/>
    </w:pPr>
    <w:rPr>
      <w:rFonts w:ascii="Times New Roman" w:hAnsi="Times New Roman"/>
      <w:b/>
    </w:rPr>
  </w:style>
  <w:style w:type="paragraph" w:styleId="ListNumber">
    <w:name w:val="List Number"/>
    <w:basedOn w:val="List"/>
    <w:rsid w:val="008F4AC3"/>
    <w:pPr>
      <w:numPr>
        <w:numId w:val="11"/>
      </w:numPr>
    </w:pPr>
  </w:style>
  <w:style w:type="character" w:customStyle="1" w:styleId="WingdingSymbols">
    <w:name w:val="Wingding Symbols"/>
    <w:rsid w:val="008F4AC3"/>
    <w:rPr>
      <w:rFonts w:ascii="Wingdings" w:hAnsi="Wingdings"/>
    </w:rPr>
  </w:style>
  <w:style w:type="paragraph" w:customStyle="1" w:styleId="TableHeading">
    <w:name w:val="Table Heading"/>
    <w:basedOn w:val="HeadingBase"/>
    <w:rsid w:val="008F4AC3"/>
    <w:pPr>
      <w:keepLines/>
      <w:pBdr>
        <w:bottom w:val="single" w:sz="6" w:space="1" w:color="918585"/>
      </w:pBdr>
      <w:spacing w:before="240"/>
    </w:pPr>
  </w:style>
  <w:style w:type="character" w:customStyle="1" w:styleId="HotSpot">
    <w:name w:val="HotSpot"/>
    <w:rsid w:val="008F4AC3"/>
    <w:rPr>
      <w:color w:val="0033CC"/>
      <w:u w:val="none"/>
    </w:rPr>
  </w:style>
  <w:style w:type="paragraph" w:customStyle="1" w:styleId="BodyTextRight">
    <w:name w:val="Body Text Right"/>
    <w:basedOn w:val="BodyText"/>
    <w:rsid w:val="008F4AC3"/>
    <w:pPr>
      <w:spacing w:before="0" w:after="0"/>
      <w:jc w:val="right"/>
    </w:pPr>
  </w:style>
  <w:style w:type="paragraph" w:styleId="Index3">
    <w:name w:val="index 3"/>
    <w:basedOn w:val="ListNumber2"/>
    <w:next w:val="Normal"/>
    <w:semiHidden/>
    <w:rsid w:val="008F4AC3"/>
    <w:pPr>
      <w:numPr>
        <w:numId w:val="0"/>
      </w:numPr>
      <w:tabs>
        <w:tab w:val="right" w:leader="dot" w:pos="4176"/>
      </w:tabs>
    </w:pPr>
  </w:style>
  <w:style w:type="paragraph" w:styleId="ListNumber2">
    <w:name w:val="List Number 2"/>
    <w:basedOn w:val="List2"/>
    <w:rsid w:val="008F4AC3"/>
    <w:pPr>
      <w:numPr>
        <w:numId w:val="10"/>
      </w:numPr>
      <w:tabs>
        <w:tab w:val="clear" w:pos="1060"/>
      </w:tabs>
    </w:pPr>
  </w:style>
  <w:style w:type="paragraph" w:customStyle="1" w:styleId="MarginNote">
    <w:name w:val="Margin Note"/>
    <w:basedOn w:val="BodyText"/>
    <w:rsid w:val="008F4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AC3"/>
    <w:rPr>
      <w:sz w:val="32"/>
    </w:rPr>
  </w:style>
  <w:style w:type="paragraph" w:customStyle="1" w:styleId="HeadingProcedure">
    <w:name w:val="Heading Procedure"/>
    <w:basedOn w:val="HeadingBase"/>
    <w:next w:val="Normal"/>
    <w:rsid w:val="008F4AC3"/>
    <w:pPr>
      <w:tabs>
        <w:tab w:val="left" w:pos="0"/>
      </w:tabs>
      <w:spacing w:before="120" w:after="60"/>
    </w:pPr>
    <w:rPr>
      <w:i/>
      <w:color w:val="918585"/>
      <w:sz w:val="22"/>
    </w:rPr>
  </w:style>
  <w:style w:type="paragraph" w:customStyle="1" w:styleId="TableBodyText">
    <w:name w:val="Table Body Text"/>
    <w:basedOn w:val="BodyText"/>
    <w:rsid w:val="008F4AC3"/>
    <w:pPr>
      <w:spacing w:before="60" w:after="60"/>
    </w:pPr>
  </w:style>
  <w:style w:type="paragraph" w:styleId="ListContinue">
    <w:name w:val="List Continue"/>
    <w:basedOn w:val="List"/>
    <w:rsid w:val="008F4AC3"/>
    <w:pPr>
      <w:ind w:firstLine="0"/>
    </w:pPr>
  </w:style>
  <w:style w:type="paragraph" w:customStyle="1" w:styleId="ListNote">
    <w:name w:val="List Note"/>
    <w:basedOn w:val="List"/>
    <w:rsid w:val="008F4AC3"/>
    <w:pPr>
      <w:pBdr>
        <w:top w:val="single" w:sz="6" w:space="2" w:color="918585"/>
        <w:bottom w:val="single" w:sz="6" w:space="2" w:color="918585"/>
      </w:pBdr>
      <w:tabs>
        <w:tab w:val="left" w:pos="1021"/>
      </w:tabs>
      <w:ind w:firstLine="0"/>
    </w:pPr>
  </w:style>
  <w:style w:type="paragraph" w:customStyle="1" w:styleId="Warning">
    <w:name w:val="Warning"/>
    <w:basedOn w:val="BodyText"/>
    <w:rsid w:val="008F4AC3"/>
    <w:pPr>
      <w:shd w:val="clear" w:color="auto" w:fill="D9D9D9"/>
      <w:tabs>
        <w:tab w:val="left" w:pos="992"/>
      </w:tabs>
      <w:ind w:left="119" w:right="119"/>
    </w:pPr>
    <w:rPr>
      <w:sz w:val="20"/>
    </w:rPr>
  </w:style>
  <w:style w:type="paragraph" w:customStyle="1" w:styleId="MarginIcons">
    <w:name w:val="Margin Icons"/>
    <w:basedOn w:val="BodyText"/>
    <w:rsid w:val="008F4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AC3"/>
    <w:rPr>
      <w:rFonts w:ascii="Courier New" w:hAnsi="Courier New"/>
    </w:rPr>
  </w:style>
  <w:style w:type="paragraph" w:customStyle="1" w:styleId="NoteBullet">
    <w:name w:val="Note Bullet"/>
    <w:basedOn w:val="Note"/>
    <w:rsid w:val="008F4AC3"/>
    <w:pPr>
      <w:tabs>
        <w:tab w:val="clear" w:pos="680"/>
      </w:tabs>
      <w:spacing w:before="60" w:after="60"/>
    </w:pPr>
  </w:style>
  <w:style w:type="paragraph" w:customStyle="1" w:styleId="SubHeading2">
    <w:name w:val="SubHeading2"/>
    <w:basedOn w:val="HeadingBase"/>
    <w:rsid w:val="008F4AC3"/>
    <w:pPr>
      <w:spacing w:before="240" w:after="60"/>
    </w:pPr>
    <w:rPr>
      <w:sz w:val="20"/>
    </w:rPr>
  </w:style>
  <w:style w:type="paragraph" w:customStyle="1" w:styleId="SubHeading1">
    <w:name w:val="SubHeading1"/>
    <w:basedOn w:val="HeadingBase"/>
    <w:rsid w:val="008F4AC3"/>
    <w:pPr>
      <w:spacing w:before="240" w:after="60"/>
    </w:pPr>
    <w:rPr>
      <w:color w:val="918585"/>
      <w:sz w:val="22"/>
    </w:rPr>
  </w:style>
  <w:style w:type="paragraph" w:customStyle="1" w:styleId="SideHeading">
    <w:name w:val="Side Heading"/>
    <w:basedOn w:val="HeadingBase"/>
    <w:rsid w:val="008F4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AC3"/>
    <w:pPr>
      <w:numPr>
        <w:numId w:val="12"/>
      </w:numPr>
    </w:pPr>
  </w:style>
  <w:style w:type="paragraph" w:styleId="PlainText">
    <w:name w:val="Plain Text"/>
    <w:basedOn w:val="Normal"/>
    <w:link w:val="PlainTextChar"/>
    <w:rsid w:val="008F4AC3"/>
    <w:rPr>
      <w:sz w:val="20"/>
    </w:rPr>
  </w:style>
  <w:style w:type="character" w:customStyle="1" w:styleId="PlainTextChar">
    <w:name w:val="Plain Text Char"/>
    <w:basedOn w:val="DefaultParagraphFont"/>
    <w:link w:val="PlainText"/>
    <w:rsid w:val="008F4AC3"/>
    <w:rPr>
      <w:rFonts w:ascii="Courier New" w:eastAsia="Times New Roman" w:hAnsi="Courier New" w:cs="Times New Roman"/>
      <w:sz w:val="20"/>
      <w:szCs w:val="20"/>
      <w:lang w:eastAsia="en-US"/>
    </w:rPr>
  </w:style>
  <w:style w:type="character" w:customStyle="1" w:styleId="MenuOption">
    <w:name w:val="Menu Option"/>
    <w:basedOn w:val="DefaultParagraphFont"/>
    <w:rsid w:val="008F4AC3"/>
    <w:rPr>
      <w:b/>
      <w:smallCaps/>
    </w:rPr>
  </w:style>
  <w:style w:type="paragraph" w:customStyle="1" w:styleId="TableListNumber">
    <w:name w:val="Table List Number"/>
    <w:basedOn w:val="ListNumber"/>
    <w:rsid w:val="008F4AC3"/>
    <w:pPr>
      <w:numPr>
        <w:numId w:val="0"/>
      </w:numPr>
    </w:pPr>
  </w:style>
  <w:style w:type="paragraph" w:styleId="TOC4">
    <w:name w:val="toc 4"/>
    <w:basedOn w:val="TOCBase"/>
    <w:next w:val="Normal"/>
    <w:semiHidden/>
    <w:rsid w:val="008F4AC3"/>
    <w:pPr>
      <w:tabs>
        <w:tab w:val="right" w:leader="dot" w:pos="9071"/>
      </w:tabs>
      <w:ind w:left="1701"/>
    </w:pPr>
  </w:style>
  <w:style w:type="paragraph" w:customStyle="1" w:styleId="ListAlpha">
    <w:name w:val="List Alpha"/>
    <w:basedOn w:val="List"/>
    <w:rsid w:val="008F4AC3"/>
    <w:pPr>
      <w:numPr>
        <w:numId w:val="9"/>
      </w:numPr>
    </w:pPr>
  </w:style>
  <w:style w:type="paragraph" w:customStyle="1" w:styleId="ListAlpha2">
    <w:name w:val="List Alpha 2"/>
    <w:basedOn w:val="List2"/>
    <w:rsid w:val="008F4AC3"/>
    <w:pPr>
      <w:numPr>
        <w:numId w:val="8"/>
      </w:numPr>
    </w:pPr>
  </w:style>
  <w:style w:type="paragraph" w:styleId="List2">
    <w:name w:val="List 2"/>
    <w:basedOn w:val="BodyText"/>
    <w:rsid w:val="008F4AC3"/>
    <w:pPr>
      <w:tabs>
        <w:tab w:val="left" w:pos="680"/>
      </w:tabs>
      <w:spacing w:before="60" w:after="60"/>
      <w:ind w:left="680" w:hanging="340"/>
    </w:pPr>
  </w:style>
  <w:style w:type="paragraph" w:styleId="List3">
    <w:name w:val="List 3"/>
    <w:basedOn w:val="BodyText"/>
    <w:rsid w:val="008F4AC3"/>
    <w:pPr>
      <w:tabs>
        <w:tab w:val="left" w:pos="1021"/>
      </w:tabs>
      <w:spacing w:before="60" w:after="60"/>
      <w:ind w:left="1020" w:hanging="340"/>
    </w:pPr>
  </w:style>
  <w:style w:type="paragraph" w:styleId="List4">
    <w:name w:val="List 4"/>
    <w:basedOn w:val="BodyText"/>
    <w:rsid w:val="008F4AC3"/>
    <w:pPr>
      <w:tabs>
        <w:tab w:val="left" w:pos="1361"/>
      </w:tabs>
      <w:spacing w:before="60" w:after="60"/>
      <w:ind w:left="1361" w:hanging="340"/>
    </w:pPr>
  </w:style>
  <w:style w:type="paragraph" w:styleId="List5">
    <w:name w:val="List 5"/>
    <w:basedOn w:val="BodyText"/>
    <w:rsid w:val="008F4AC3"/>
    <w:pPr>
      <w:tabs>
        <w:tab w:val="left" w:pos="1701"/>
      </w:tabs>
      <w:spacing w:before="60" w:after="60"/>
      <w:ind w:left="1701" w:hanging="340"/>
    </w:pPr>
  </w:style>
  <w:style w:type="paragraph" w:styleId="ListBullet3">
    <w:name w:val="List Bullet 3"/>
    <w:basedOn w:val="List3"/>
    <w:rsid w:val="008F4AC3"/>
    <w:pPr>
      <w:numPr>
        <w:numId w:val="15"/>
      </w:numPr>
      <w:tabs>
        <w:tab w:val="clear" w:pos="1021"/>
      </w:tabs>
      <w:ind w:left="1037" w:hanging="357"/>
    </w:pPr>
  </w:style>
  <w:style w:type="paragraph" w:styleId="ListBullet4">
    <w:name w:val="List Bullet 4"/>
    <w:basedOn w:val="List4"/>
    <w:rsid w:val="008F4AC3"/>
    <w:pPr>
      <w:numPr>
        <w:numId w:val="3"/>
      </w:numPr>
    </w:pPr>
  </w:style>
  <w:style w:type="paragraph" w:styleId="ListBullet5">
    <w:name w:val="List Bullet 5"/>
    <w:basedOn w:val="List5"/>
    <w:rsid w:val="008F4AC3"/>
    <w:pPr>
      <w:numPr>
        <w:numId w:val="4"/>
      </w:numPr>
    </w:pPr>
  </w:style>
  <w:style w:type="paragraph" w:styleId="ListContinue2">
    <w:name w:val="List Continue 2"/>
    <w:basedOn w:val="List2"/>
    <w:rsid w:val="008F4AC3"/>
    <w:pPr>
      <w:ind w:firstLine="0"/>
    </w:pPr>
  </w:style>
  <w:style w:type="paragraph" w:styleId="ListContinue3">
    <w:name w:val="List Continue 3"/>
    <w:basedOn w:val="List3"/>
    <w:rsid w:val="008F4AC3"/>
    <w:pPr>
      <w:ind w:left="1021" w:firstLine="0"/>
    </w:pPr>
  </w:style>
  <w:style w:type="paragraph" w:styleId="ListContinue4">
    <w:name w:val="List Continue 4"/>
    <w:basedOn w:val="List4"/>
    <w:rsid w:val="008F4AC3"/>
    <w:pPr>
      <w:ind w:firstLine="0"/>
    </w:pPr>
  </w:style>
  <w:style w:type="paragraph" w:styleId="ListContinue5">
    <w:name w:val="List Continue 5"/>
    <w:basedOn w:val="List5"/>
    <w:rsid w:val="008F4AC3"/>
    <w:pPr>
      <w:ind w:firstLine="0"/>
    </w:pPr>
  </w:style>
  <w:style w:type="paragraph" w:styleId="ListNumber3">
    <w:name w:val="List Number 3"/>
    <w:basedOn w:val="List3"/>
    <w:rsid w:val="008F4AC3"/>
    <w:pPr>
      <w:numPr>
        <w:numId w:val="5"/>
      </w:numPr>
    </w:pPr>
  </w:style>
  <w:style w:type="paragraph" w:styleId="ListNumber4">
    <w:name w:val="List Number 4"/>
    <w:basedOn w:val="List4"/>
    <w:rsid w:val="008F4AC3"/>
    <w:pPr>
      <w:numPr>
        <w:numId w:val="6"/>
      </w:numPr>
    </w:pPr>
  </w:style>
  <w:style w:type="paragraph" w:styleId="ListNumber5">
    <w:name w:val="List Number 5"/>
    <w:basedOn w:val="List5"/>
    <w:rsid w:val="008F4AC3"/>
    <w:pPr>
      <w:numPr>
        <w:numId w:val="7"/>
      </w:numPr>
    </w:pPr>
  </w:style>
  <w:style w:type="paragraph" w:styleId="BlockText">
    <w:name w:val="Block Text"/>
    <w:basedOn w:val="Normal"/>
    <w:rsid w:val="008F4AC3"/>
    <w:pPr>
      <w:spacing w:after="120"/>
      <w:ind w:left="1440" w:right="1440"/>
    </w:pPr>
  </w:style>
  <w:style w:type="character" w:customStyle="1" w:styleId="Subscript">
    <w:name w:val="Subscript"/>
    <w:basedOn w:val="DefaultParagraphFont"/>
    <w:rsid w:val="008F4AC3"/>
    <w:rPr>
      <w:sz w:val="16"/>
      <w:vertAlign w:val="subscript"/>
    </w:rPr>
  </w:style>
  <w:style w:type="character" w:customStyle="1" w:styleId="Superscript">
    <w:name w:val="Superscript"/>
    <w:basedOn w:val="DefaultParagraphFont"/>
    <w:rsid w:val="008F4AC3"/>
    <w:rPr>
      <w:sz w:val="16"/>
      <w:vertAlign w:val="superscript"/>
    </w:rPr>
  </w:style>
  <w:style w:type="character" w:customStyle="1" w:styleId="Symbols">
    <w:name w:val="Symbols"/>
    <w:basedOn w:val="DefaultParagraphFont"/>
    <w:rsid w:val="008F4AC3"/>
    <w:rPr>
      <w:rFonts w:ascii="Symbol" w:hAnsi="Symbol"/>
    </w:rPr>
  </w:style>
  <w:style w:type="character" w:customStyle="1" w:styleId="MenuOptions">
    <w:name w:val="Menu Options"/>
    <w:basedOn w:val="DefaultParagraphFont"/>
    <w:rsid w:val="008F4AC3"/>
    <w:rPr>
      <w:rFonts w:ascii="Arial Narrow" w:hAnsi="Arial Narrow"/>
      <w:smallCaps/>
    </w:rPr>
  </w:style>
  <w:style w:type="character" w:customStyle="1" w:styleId="Buttons">
    <w:name w:val="Buttons"/>
    <w:basedOn w:val="DefaultParagraphFont"/>
    <w:rsid w:val="008F4AC3"/>
    <w:rPr>
      <w:b/>
    </w:rPr>
  </w:style>
  <w:style w:type="character" w:customStyle="1" w:styleId="Underlined">
    <w:name w:val="Underlined"/>
    <w:basedOn w:val="DefaultParagraphFont"/>
    <w:rsid w:val="008F4AC3"/>
    <w:rPr>
      <w:u w:val="single"/>
    </w:rPr>
  </w:style>
  <w:style w:type="paragraph" w:customStyle="1" w:styleId="TableBodyTextRight">
    <w:name w:val="Table Body Text Right"/>
    <w:basedOn w:val="TableBodyText"/>
    <w:rsid w:val="008F4AC3"/>
    <w:pPr>
      <w:widowControl w:val="0"/>
      <w:autoSpaceDE w:val="0"/>
      <w:autoSpaceDN w:val="0"/>
      <w:adjustRightInd w:val="0"/>
      <w:jc w:val="right"/>
    </w:pPr>
    <w:rPr>
      <w:rFonts w:cs="Arial"/>
      <w:szCs w:val="18"/>
    </w:rPr>
  </w:style>
  <w:style w:type="paragraph" w:customStyle="1" w:styleId="CopyrightText">
    <w:name w:val="Copyright Text"/>
    <w:basedOn w:val="BodyText"/>
    <w:rsid w:val="008F4AC3"/>
    <w:rPr>
      <w:sz w:val="18"/>
    </w:rPr>
  </w:style>
  <w:style w:type="paragraph" w:customStyle="1" w:styleId="BodySmallRight">
    <w:name w:val="Body Small Right"/>
    <w:basedOn w:val="BodyTextRight"/>
    <w:rsid w:val="008F4AC3"/>
    <w:rPr>
      <w:sz w:val="18"/>
      <w:szCs w:val="18"/>
    </w:rPr>
  </w:style>
  <w:style w:type="paragraph" w:customStyle="1" w:styleId="MarginEdition">
    <w:name w:val="Margin Edition"/>
    <w:basedOn w:val="MarginNote"/>
    <w:rsid w:val="008F4AC3"/>
    <w:pPr>
      <w:spacing w:before="0" w:after="0"/>
    </w:pPr>
    <w:rPr>
      <w:rFonts w:ascii="Times New Roman" w:hAnsi="Times New Roman"/>
      <w:color w:val="999999"/>
    </w:rPr>
  </w:style>
  <w:style w:type="paragraph" w:customStyle="1" w:styleId="Spacer">
    <w:name w:val="Spacer"/>
    <w:basedOn w:val="Normal"/>
    <w:rsid w:val="008F4AC3"/>
    <w:rPr>
      <w:sz w:val="2"/>
      <w:szCs w:val="2"/>
    </w:rPr>
  </w:style>
  <w:style w:type="character" w:customStyle="1" w:styleId="Small">
    <w:name w:val="Small"/>
    <w:basedOn w:val="DefaultParagraphFont"/>
    <w:rsid w:val="008F4AC3"/>
    <w:rPr>
      <w:sz w:val="16"/>
    </w:rPr>
  </w:style>
  <w:style w:type="paragraph" w:customStyle="1" w:styleId="WideTable">
    <w:name w:val="Wide Table"/>
    <w:basedOn w:val="Normal"/>
    <w:rsid w:val="008F4AC3"/>
    <w:pPr>
      <w:ind w:left="-1418"/>
    </w:pPr>
    <w:rPr>
      <w:sz w:val="2"/>
      <w:szCs w:val="2"/>
    </w:rPr>
  </w:style>
  <w:style w:type="character" w:styleId="PageNumber">
    <w:name w:val="page number"/>
    <w:basedOn w:val="DefaultParagraphFont"/>
    <w:rsid w:val="008F4AC3"/>
  </w:style>
  <w:style w:type="paragraph" w:styleId="Quote">
    <w:name w:val="Quote"/>
    <w:basedOn w:val="Heading1"/>
    <w:link w:val="QuoteChar"/>
    <w:qFormat/>
    <w:rsid w:val="008F4AC3"/>
    <w:rPr>
      <w:b w:val="0"/>
      <w:sz w:val="72"/>
      <w:szCs w:val="72"/>
      <w:lang w:val="en-NZ"/>
    </w:rPr>
  </w:style>
  <w:style w:type="character" w:customStyle="1" w:styleId="QuoteChar">
    <w:name w:val="Quote Char"/>
    <w:basedOn w:val="DefaultParagraphFont"/>
    <w:link w:val="Quote"/>
    <w:rsid w:val="008F4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AC3"/>
    <w:pPr>
      <w:pageBreakBefore/>
    </w:pPr>
  </w:style>
  <w:style w:type="paragraph" w:customStyle="1" w:styleId="Border">
    <w:name w:val="Border"/>
    <w:basedOn w:val="Normal"/>
    <w:qFormat/>
    <w:rsid w:val="008F4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AC3"/>
    <w:rPr>
      <w:b/>
      <w:bCs/>
      <w:i/>
      <w:iCs/>
      <w:color w:val="auto"/>
    </w:rPr>
  </w:style>
  <w:style w:type="paragraph" w:styleId="IntenseQuote">
    <w:name w:val="Intense Quote"/>
    <w:basedOn w:val="Normal"/>
    <w:next w:val="Normal"/>
    <w:link w:val="IntenseQuoteChar"/>
    <w:uiPriority w:val="30"/>
    <w:qFormat/>
    <w:rsid w:val="008F4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AC3"/>
    <w:rPr>
      <w:smallCaps/>
      <w:color w:val="auto"/>
      <w:u w:val="single"/>
    </w:rPr>
  </w:style>
  <w:style w:type="character" w:styleId="IntenseReference">
    <w:name w:val="Intense Reference"/>
    <w:basedOn w:val="DefaultParagraphFont"/>
    <w:uiPriority w:val="32"/>
    <w:qFormat/>
    <w:rsid w:val="008F4AC3"/>
    <w:rPr>
      <w:b/>
      <w:bCs/>
      <w:smallCaps/>
      <w:color w:val="auto"/>
      <w:spacing w:val="5"/>
      <w:u w:val="single"/>
    </w:rPr>
  </w:style>
  <w:style w:type="paragraph" w:customStyle="1" w:styleId="2ColumnHeading">
    <w:name w:val="2Column Heading"/>
    <w:basedOn w:val="BodyText"/>
    <w:qFormat/>
    <w:rsid w:val="008F4AC3"/>
    <w:pPr>
      <w:spacing w:after="60"/>
      <w:ind w:left="-2268"/>
    </w:pPr>
    <w:rPr>
      <w:b/>
    </w:rPr>
  </w:style>
  <w:style w:type="paragraph" w:customStyle="1" w:styleId="Heading1TOC">
    <w:name w:val="Heading1 TOC"/>
    <w:basedOn w:val="Normal"/>
    <w:qFormat/>
    <w:rsid w:val="008F4AC3"/>
    <w:pPr>
      <w:spacing w:before="240" w:after="120"/>
    </w:pPr>
    <w:rPr>
      <w:rFonts w:ascii="Times New Roman" w:hAnsi="Times New Roman"/>
      <w:b/>
      <w:sz w:val="32"/>
    </w:rPr>
  </w:style>
  <w:style w:type="paragraph" w:customStyle="1" w:styleId="Heading2TOC">
    <w:name w:val="Heading2 TOC"/>
    <w:basedOn w:val="Normal"/>
    <w:qFormat/>
    <w:rsid w:val="008F4AC3"/>
    <w:pPr>
      <w:spacing w:before="240" w:after="60"/>
    </w:pPr>
    <w:rPr>
      <w:rFonts w:ascii="Times New Roman" w:hAnsi="Times New Roman"/>
      <w:b/>
      <w:sz w:val="28"/>
    </w:rPr>
  </w:style>
  <w:style w:type="character" w:customStyle="1" w:styleId="Underline">
    <w:name w:val="Underline"/>
    <w:basedOn w:val="DefaultParagraphFont"/>
    <w:qFormat/>
    <w:rsid w:val="008F4AC3"/>
    <w:rPr>
      <w:u w:val="single"/>
    </w:rPr>
  </w:style>
  <w:style w:type="character" w:customStyle="1" w:styleId="BoldandItalics">
    <w:name w:val="Bold and Italics"/>
    <w:qFormat/>
    <w:rsid w:val="008F4AC3"/>
    <w:rPr>
      <w:b/>
      <w:i/>
      <w:u w:val="none"/>
    </w:rPr>
  </w:style>
  <w:style w:type="paragraph" w:styleId="BalloonText">
    <w:name w:val="Balloon Text"/>
    <w:basedOn w:val="Normal"/>
    <w:link w:val="BalloonTextChar"/>
    <w:rsid w:val="008F4AC3"/>
    <w:rPr>
      <w:rFonts w:ascii="Tahoma" w:hAnsi="Tahoma" w:cs="Tahoma"/>
      <w:sz w:val="16"/>
      <w:szCs w:val="16"/>
    </w:rPr>
  </w:style>
  <w:style w:type="character" w:customStyle="1" w:styleId="BalloonTextChar">
    <w:name w:val="Balloon Text Char"/>
    <w:basedOn w:val="DefaultParagraphFont"/>
    <w:link w:val="BalloonText"/>
    <w:rsid w:val="008F4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AC3"/>
    <w:rPr>
      <w:b/>
      <w:color w:val="660033"/>
      <w:spacing w:val="0"/>
    </w:rPr>
  </w:style>
  <w:style w:type="paragraph" w:customStyle="1" w:styleId="Nameditemlist">
    <w:name w:val="Named item list"/>
    <w:basedOn w:val="BodyText"/>
    <w:qFormat/>
    <w:rsid w:val="008F4A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1821</Words>
  <Characters>12295</Characters>
  <Application>Microsoft Office Word</Application>
  <DocSecurity>0</DocSecurity>
  <Lines>395</Lines>
  <Paragraphs>211</Paragraphs>
  <ScaleCrop>false</ScaleCrop>
  <Company>Author-it Software Corporation Ltd.</Company>
  <LinksUpToDate>false</LinksUpToDate>
  <CharactersWithSpaces>14038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MEM14085A Apply mechanical engineering analysis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2012-12-20T07:31:00Z</dcterms:created>
  <dcterms:modified xsi:type="dcterms:W3CDTF">2012-12-20T07:31:00Z</dcterms:modified>
</cp:coreProperties>
</file>