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15A" w:rsidP="00F4715A">
      <w:pPr>
        <w:pStyle w:val="Title"/>
      </w:pPr>
      <w:r>
        <w:fldChar w:fldCharType="begin"/>
      </w:r>
      <w:r>
        <w:instrText xml:space="preserve"> TITLE   \* MERGEFORMAT </w:instrText>
      </w:r>
      <w:r>
        <w:fldChar w:fldCharType="separate"/>
      </w:r>
      <w:r>
        <w:t>MEM14002B Undertake basic process planning</w:t>
      </w:r>
      <w:r>
        <w:fldChar w:fldCharType="end"/>
      </w:r>
    </w:p>
    <w:p w:rsidR="00F4715A" w:rsidP="00F4715A">
      <w:pPr>
        <w:pStyle w:val="Version"/>
        <w:sectPr w:rsidSect="00021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492" w:rsidP="00021492">
      <w:pPr>
        <w:pStyle w:val="SuperHeading"/>
      </w:pPr>
      <w:r w:rsidRPr="00021492">
        <w:t>MEM14002B Undertake basic process planning</w:t>
      </w:r>
    </w:p>
    <w:p w:rsidR="00000000" w:rsidRPr="00021492" w:rsidP="00021492">
      <w:pPr>
        <w:pStyle w:val="Heading1"/>
      </w:pPr>
      <w:bookmarkStart w:id="1" w:name="O_272177"/>
      <w:bookmarkEnd w:id="1"/>
      <w:r w:rsidRPr="00021492">
        <w:t>Modification History</w:t>
      </w:r>
    </w:p>
    <w:p w:rsidR="00000000" w:rsidRPr="00021492" w:rsidP="00021492">
      <w:pPr>
        <w:pStyle w:val="BodyText"/>
      </w:pPr>
      <w:r w:rsidRPr="00021492">
        <w:t>Not Applicable</w:t>
      </w:r>
    </w:p>
    <w:p w:rsidR="00000000" w:rsidRPr="00021492" w:rsidP="00021492">
      <w:pPr>
        <w:pStyle w:val="AllowPageBreak"/>
      </w:pPr>
    </w:p>
    <w:p w:rsidR="00000000" w:rsidRPr="00021492" w:rsidP="00021492">
      <w:pPr>
        <w:pStyle w:val="Heading1"/>
      </w:pPr>
      <w:bookmarkStart w:id="2" w:name="O_211677"/>
      <w:bookmarkEnd w:id="2"/>
      <w:r w:rsidRPr="00021492">
        <w:t>Unit Descriptor</w:t>
      </w:r>
    </w:p>
    <w:tbl>
      <w:tblPr>
        <w:tblW w:w="0" w:type="auto"/>
        <w:tblLayout w:type="fixed"/>
        <w:tblCellMar>
          <w:left w:w="62" w:type="dxa"/>
          <w:right w:w="62" w:type="dxa"/>
        </w:tblCellMar>
        <w:tblLook w:val="0000"/>
      </w:tblPr>
      <w:tblGrid>
        <w:gridCol w:w="2668"/>
        <w:gridCol w:w="5854"/>
      </w:tblGrid>
      <w:tr w:rsidTr="00F4715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This unit covers reviewing process specifications and determining the production sequence.</w:t>
            </w:r>
          </w:p>
        </w:tc>
      </w:tr>
    </w:tbl>
    <w:p w:rsidR="00F4715A" w:rsidP="00021492">
      <w:pPr>
        <w:pStyle w:val="BodyText"/>
      </w:pPr>
    </w:p>
    <w:p w:rsidR="00F4715A" w:rsidP="00021492">
      <w:pPr>
        <w:pStyle w:val="BodyText"/>
      </w:pPr>
    </w:p>
    <w:p w:rsidR="00000000" w:rsidRPr="00021492" w:rsidP="00021492">
      <w:pPr>
        <w:pStyle w:val="Heading1"/>
      </w:pPr>
      <w:bookmarkStart w:id="3" w:name="O_211681"/>
      <w:bookmarkEnd w:id="3"/>
      <w:r w:rsidRPr="00021492">
        <w:t>Application of the Unit</w:t>
      </w:r>
    </w:p>
    <w:tbl>
      <w:tblPr>
        <w:tblW w:w="0" w:type="auto"/>
        <w:tblLayout w:type="fixed"/>
        <w:tblCellMar>
          <w:left w:w="62" w:type="dxa"/>
          <w:right w:w="62" w:type="dxa"/>
        </w:tblCellMar>
        <w:tblLook w:val="0000"/>
      </w:tblPr>
      <w:tblGrid>
        <w:gridCol w:w="2745"/>
        <w:gridCol w:w="5777"/>
      </w:tblGrid>
      <w:tr w:rsidTr="00F4715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 xml:space="preserve">This unit applies to one of a range of processes in manufacturing: machining, pressing, assembly and to a stage of the overall production process. </w:t>
            </w:r>
          </w:p>
          <w:p w:rsidR="00000000" w:rsidRPr="00021492" w:rsidP="00021492">
            <w:pPr>
              <w:pStyle w:val="BodyText"/>
            </w:pPr>
            <w:r w:rsidRPr="00021492">
              <w:t>It does not apply to interfacing between processes.</w:t>
            </w:r>
          </w:p>
          <w:p w:rsidR="00000000" w:rsidRPr="00021492" w:rsidP="00021492">
            <w:pPr>
              <w:pStyle w:val="BodyText"/>
            </w:pPr>
            <w:r w:rsidRPr="00021492">
              <w:t>If planning is based on engineering drawings and supporting engineering data, appropriate skills units should be accessed.</w:t>
            </w:r>
          </w:p>
          <w:p w:rsidR="00000000" w:rsidRPr="00021492" w:rsidP="00021492">
            <w:pPr>
              <w:pStyle w:val="BodyText"/>
            </w:pPr>
          </w:p>
          <w:p w:rsidR="00000000" w:rsidRPr="00021492" w:rsidP="00021492">
            <w:pPr>
              <w:pStyle w:val="BodyText"/>
            </w:pPr>
            <w:r w:rsidRPr="00021492">
              <w:rPr>
                <w:rStyle w:val="SpecialBold"/>
              </w:rPr>
              <w:t>Band</w:t>
            </w:r>
            <w:r w:rsidRPr="00021492">
              <w:t>:</w:t>
            </w:r>
            <w:r w:rsidRPr="00021492">
              <w:tab/>
            </w:r>
            <w:r w:rsidRPr="00021492">
              <w:rPr>
                <w:rStyle w:val="SpecialBold"/>
              </w:rPr>
              <w:t>B</w:t>
            </w:r>
          </w:p>
          <w:p w:rsidR="00000000" w:rsidRPr="00021492" w:rsidP="00021492">
            <w:pPr>
              <w:pStyle w:val="BodyText"/>
            </w:pPr>
            <w:r w:rsidRPr="00021492">
              <w:rPr>
                <w:rStyle w:val="SpecialBold"/>
              </w:rPr>
              <w:t>Unit Weight</w:t>
            </w:r>
            <w:r w:rsidRPr="00021492">
              <w:t>:</w:t>
            </w:r>
            <w:r w:rsidRPr="00021492">
              <w:tab/>
            </w:r>
            <w:r w:rsidRPr="00021492">
              <w:rPr>
                <w:rStyle w:val="SpecialBold"/>
              </w:rPr>
              <w:t>8</w:t>
            </w:r>
          </w:p>
        </w:tc>
      </w:tr>
    </w:tbl>
    <w:p w:rsidR="00F4715A" w:rsidP="00021492">
      <w:pPr>
        <w:pStyle w:val="BodyText"/>
      </w:pPr>
    </w:p>
    <w:p w:rsidR="00F4715A" w:rsidP="00021492">
      <w:pPr>
        <w:pStyle w:val="BodyText"/>
      </w:pPr>
    </w:p>
    <w:p w:rsidR="00000000" w:rsidRPr="00021492" w:rsidP="00021492">
      <w:pPr>
        <w:pStyle w:val="Heading1"/>
      </w:pPr>
      <w:bookmarkStart w:id="4" w:name="O_280437"/>
      <w:bookmarkEnd w:id="4"/>
      <w:r w:rsidRPr="00021492">
        <w:t>Licensing/Regulatory Information</w:t>
      </w:r>
    </w:p>
    <w:p w:rsidR="00000000" w:rsidRPr="00021492" w:rsidP="00021492">
      <w:pPr>
        <w:pStyle w:val="BodyText"/>
      </w:pPr>
      <w:r w:rsidRPr="00021492">
        <w:t>Not Applicable</w:t>
      </w:r>
    </w:p>
    <w:p w:rsidR="00000000" w:rsidRPr="00021492" w:rsidP="00021492">
      <w:pPr>
        <w:pStyle w:val="AllowPageBreak"/>
      </w:pPr>
    </w:p>
    <w:p w:rsidR="00000000" w:rsidRPr="00021492" w:rsidP="00021492">
      <w:pPr>
        <w:pStyle w:val="Heading1"/>
      </w:pPr>
      <w:bookmarkStart w:id="5" w:name="O_211679"/>
      <w:bookmarkEnd w:id="5"/>
      <w:r w:rsidRPr="00021492">
        <w:t>Pre-Requisites</w:t>
      </w:r>
    </w:p>
    <w:tbl>
      <w:tblPr>
        <w:tblW w:w="0" w:type="auto"/>
        <w:tblLayout w:type="fixed"/>
        <w:tblCellMar>
          <w:left w:w="62" w:type="dxa"/>
          <w:right w:w="62" w:type="dxa"/>
        </w:tblCellMar>
        <w:tblLook w:val="0000"/>
      </w:tblPr>
      <w:tblGrid>
        <w:gridCol w:w="2775"/>
        <w:gridCol w:w="1295"/>
        <w:gridCol w:w="4452"/>
      </w:tblGrid>
      <w:tr w:rsidTr="00F471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p>
        </w:tc>
      </w:tr>
      <w:tr w:rsidTr="00F471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p>
        </w:tc>
      </w:tr>
      <w:tr w:rsidTr="00F471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p>
        </w:tc>
      </w:tr>
    </w:tbl>
    <w:p w:rsidR="00F4715A" w:rsidP="00021492">
      <w:pPr>
        <w:pStyle w:val="BodyText"/>
      </w:pPr>
    </w:p>
    <w:p w:rsidR="00F4715A" w:rsidP="00021492">
      <w:pPr>
        <w:pStyle w:val="BodyText"/>
      </w:pPr>
    </w:p>
    <w:p w:rsidR="00000000" w:rsidRPr="00021492" w:rsidP="00021492">
      <w:pPr>
        <w:pStyle w:val="Heading1"/>
      </w:pPr>
      <w:bookmarkStart w:id="6" w:name="O_211678"/>
      <w:bookmarkEnd w:id="6"/>
      <w:r w:rsidRPr="00021492">
        <w:t>Employability Skills Information</w:t>
      </w:r>
    </w:p>
    <w:tbl>
      <w:tblPr>
        <w:tblW w:w="0" w:type="auto"/>
        <w:tblLayout w:type="fixed"/>
        <w:tblCellMar>
          <w:left w:w="62" w:type="dxa"/>
          <w:right w:w="62" w:type="dxa"/>
        </w:tblCellMar>
        <w:tblLook w:val="0000"/>
      </w:tblPr>
      <w:tblGrid>
        <w:gridCol w:w="2802"/>
        <w:gridCol w:w="5720"/>
      </w:tblGrid>
      <w:tr w:rsidTr="00F471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This unit contains employability skills.</w:t>
            </w:r>
          </w:p>
        </w:tc>
      </w:tr>
    </w:tbl>
    <w:p w:rsidR="00F4715A" w:rsidP="00021492">
      <w:pPr>
        <w:pStyle w:val="BodyText"/>
      </w:pPr>
    </w:p>
    <w:p w:rsidR="00F4715A" w:rsidP="00021492">
      <w:pPr>
        <w:pStyle w:val="BodyText"/>
      </w:pPr>
    </w:p>
    <w:p w:rsidR="00000000" w:rsidRPr="00021492" w:rsidP="00021492">
      <w:pPr>
        <w:pStyle w:val="Heading1"/>
      </w:pPr>
      <w:bookmarkStart w:id="7" w:name="O_290223"/>
      <w:bookmarkEnd w:id="7"/>
      <w:r w:rsidRPr="00021492">
        <w:t>Elements and Performance Criteria Pre-Content</w:t>
      </w:r>
    </w:p>
    <w:tbl>
      <w:tblPr>
        <w:tblW w:w="0" w:type="auto"/>
        <w:tblLayout w:type="fixed"/>
        <w:tblCellMar>
          <w:left w:w="62" w:type="dxa"/>
          <w:right w:w="62" w:type="dxa"/>
        </w:tblCellMar>
        <w:tblLook w:val="0000"/>
      </w:tblPr>
      <w:tblGrid>
        <w:gridCol w:w="2565"/>
        <w:gridCol w:w="5957"/>
      </w:tblGrid>
      <w:tr w:rsidTr="00F4715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Elements de</w:t>
            </w:r>
            <w:r w:rsidRPr="00021492">
              <w:t>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 xml:space="preserve">Performance criteria describe the performance needed to demonstrate achievement of the element. Where bold italicised text is used, further information is detailed in the required skills and knowledge </w:t>
            </w:r>
            <w:r w:rsidRPr="00021492">
              <w:t>section and the range statement. Assessment of performance is to be consistent with the evidence guide.</w:t>
            </w:r>
          </w:p>
        </w:tc>
      </w:tr>
    </w:tbl>
    <w:p w:rsidR="00000000" w:rsidRPr="00021492" w:rsidP="00021492">
      <w:pPr>
        <w:pStyle w:val="BodyText"/>
      </w:pPr>
    </w:p>
    <w:p w:rsidR="00000000" w:rsidRPr="00021492" w:rsidP="00021492">
      <w:pPr>
        <w:pStyle w:val="AllowPageBreak"/>
      </w:pPr>
    </w:p>
    <w:p w:rsidR="00000000" w:rsidRPr="00021492" w:rsidP="00021492">
      <w:pPr>
        <w:pStyle w:val="Heading1"/>
      </w:pPr>
      <w:bookmarkStart w:id="8" w:name="O_236890"/>
      <w:bookmarkEnd w:id="8"/>
      <w:r w:rsidRPr="00021492">
        <w:t>Elements and Performance Criteria</w:t>
      </w:r>
    </w:p>
    <w:tbl>
      <w:tblPr>
        <w:tblW w:w="0" w:type="auto"/>
        <w:tblLayout w:type="fixed"/>
        <w:tblCellMar>
          <w:left w:w="62" w:type="dxa"/>
          <w:right w:w="62" w:type="dxa"/>
        </w:tblCellMar>
        <w:tblLook w:val="0000"/>
      </w:tblPr>
      <w:tblGrid>
        <w:gridCol w:w="2565"/>
        <w:gridCol w:w="5957"/>
      </w:tblGrid>
      <w:tr w:rsidTr="00F4715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PERFORMANCE CRITERIA</w:t>
            </w:r>
          </w:p>
        </w:tc>
      </w:tr>
      <w:tr w:rsidTr="00F4715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List"/>
              <w:rPr>
                <w:lang w:val="en-NZ"/>
              </w:rPr>
            </w:pPr>
            <w:r w:rsidRPr="00021492">
              <w:t>1.</w:t>
            </w:r>
            <w:r w:rsidRPr="00021492">
              <w:tab/>
              <w:t>Review process specifications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List2"/>
            </w:pPr>
            <w:r w:rsidRPr="00021492">
              <w:t>1.1.</w:t>
            </w:r>
            <w:r w:rsidRPr="00021492">
              <w:tab/>
            </w:r>
            <w:r w:rsidRPr="00021492">
              <w:t>Supporting engineering and production data is examined, where required.</w:t>
            </w:r>
          </w:p>
          <w:p w:rsidR="00000000" w:rsidRPr="00021492" w:rsidP="00021492">
            <w:pPr>
              <w:pStyle w:val="List2"/>
            </w:pPr>
            <w:r w:rsidRPr="00021492">
              <w:t>1.2.</w:t>
            </w:r>
            <w:r w:rsidRPr="00021492">
              <w:tab/>
              <w:t>The production processes to be used are determined.</w:t>
            </w:r>
          </w:p>
          <w:p w:rsidR="00000000" w:rsidP="00021492">
            <w:pPr>
              <w:pStyle w:val="List2"/>
              <w:rPr>
                <w:lang w:val="en-NZ"/>
              </w:rPr>
            </w:pPr>
            <w:r w:rsidRPr="00021492">
              <w:t>1.3.</w:t>
            </w:r>
            <w:r w:rsidRPr="00021492">
              <w:tab/>
              <w:t>Specifications are obtained and examined.</w:t>
            </w:r>
          </w:p>
        </w:tc>
      </w:tr>
      <w:tr w:rsidTr="00F4715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List"/>
              <w:rPr>
                <w:lang w:val="en-NZ"/>
              </w:rPr>
            </w:pPr>
            <w:r w:rsidRPr="00021492">
              <w:t>2.</w:t>
            </w:r>
            <w:r w:rsidRPr="00021492">
              <w:tab/>
              <w:t>Determine production sequence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List2"/>
            </w:pPr>
            <w:r w:rsidRPr="00021492">
              <w:t>2.1.</w:t>
            </w:r>
            <w:r w:rsidRPr="00021492">
              <w:tab/>
            </w:r>
            <w:r w:rsidRPr="00021492">
              <w:t>Steps required for the process are identified and flow charts are produced where required in accordance with standard operating procedures.</w:t>
            </w:r>
          </w:p>
          <w:p w:rsidR="00000000" w:rsidRPr="00021492" w:rsidP="00021492">
            <w:pPr>
              <w:pStyle w:val="List2"/>
            </w:pPr>
            <w:r w:rsidRPr="00021492">
              <w:t>2.2.</w:t>
            </w:r>
            <w:r w:rsidRPr="00021492">
              <w:tab/>
              <w:t>Material and parts lists are prepared in accordance with standard operating procedures.</w:t>
            </w:r>
          </w:p>
          <w:p w:rsidR="00000000" w:rsidRPr="00021492" w:rsidP="00021492">
            <w:pPr>
              <w:pStyle w:val="List2"/>
            </w:pPr>
            <w:r w:rsidRPr="00021492">
              <w:t>2.3.</w:t>
            </w:r>
            <w:r w:rsidRPr="00021492">
              <w:tab/>
              <w:t>Tooling and/or equ</w:t>
            </w:r>
            <w:r w:rsidRPr="00021492">
              <w:t>ipment requirements are documented in accordance with standard operating procedures.</w:t>
            </w:r>
          </w:p>
          <w:p w:rsidR="00000000" w:rsidRPr="00021492" w:rsidP="00021492">
            <w:pPr>
              <w:pStyle w:val="List2"/>
            </w:pPr>
            <w:r w:rsidRPr="00021492">
              <w:t>2.4.</w:t>
            </w:r>
            <w:r w:rsidRPr="00021492">
              <w:tab/>
              <w:t>Quality assurance steps and specifications are identified and incorporated into process steps.</w:t>
            </w:r>
          </w:p>
          <w:p w:rsidR="00000000" w:rsidRPr="00021492" w:rsidP="00021492">
            <w:pPr>
              <w:pStyle w:val="List2"/>
            </w:pPr>
            <w:r w:rsidRPr="00021492">
              <w:t>2.5.</w:t>
            </w:r>
            <w:r w:rsidRPr="00021492">
              <w:tab/>
              <w:t>Process steps are documented and clearly represented in accordance</w:t>
            </w:r>
            <w:r w:rsidRPr="00021492">
              <w:t xml:space="preserve"> with standard operating procedures.</w:t>
            </w:r>
          </w:p>
        </w:tc>
      </w:tr>
    </w:tbl>
    <w:p w:rsidR="00F4715A" w:rsidP="00021492">
      <w:pPr>
        <w:pStyle w:val="BodyText"/>
      </w:pPr>
    </w:p>
    <w:p w:rsidR="00F4715A" w:rsidP="00021492">
      <w:pPr>
        <w:pStyle w:val="BodyText"/>
      </w:pPr>
    </w:p>
    <w:p w:rsidR="00000000" w:rsidRPr="00021492" w:rsidP="00021492">
      <w:pPr>
        <w:pStyle w:val="Heading1"/>
      </w:pPr>
      <w:bookmarkStart w:id="9" w:name="O_260840"/>
      <w:bookmarkEnd w:id="9"/>
      <w:r w:rsidRPr="00021492">
        <w:t>Required Skills and Knowledge</w:t>
      </w:r>
    </w:p>
    <w:tbl>
      <w:tblPr>
        <w:tblW w:w="0" w:type="auto"/>
        <w:tblLayout w:type="fixed"/>
        <w:tblCellMar>
          <w:left w:w="62" w:type="dxa"/>
          <w:right w:w="62" w:type="dxa"/>
        </w:tblCellMar>
        <w:tblLook w:val="0000"/>
      </w:tblPr>
      <w:tblGrid>
        <w:gridCol w:w="8522"/>
      </w:tblGrid>
      <w:tr w:rsidTr="00F471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REQUIRED SKILLS AND KNOWLEDGE</w:t>
            </w:r>
          </w:p>
        </w:tc>
      </w:tr>
      <w:tr w:rsidTr="00F471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This section describes the skills and knowledge required for this unit.</w:t>
            </w:r>
          </w:p>
        </w:tc>
      </w:tr>
      <w:tr w:rsidTr="00F47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Required skills</w:t>
            </w:r>
          </w:p>
        </w:tc>
      </w:tr>
      <w:tr w:rsidTr="00F47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Look for evidence that confirms skills in:</w:t>
            </w:r>
          </w:p>
          <w:p w:rsidR="00000000" w:rsidRPr="00021492" w:rsidP="00021492">
            <w:pPr>
              <w:pStyle w:val="ListBullet"/>
            </w:pPr>
            <w:r w:rsidRPr="00021492">
              <w:t>obtaining, reading and interpreting engineering and production data</w:t>
            </w:r>
          </w:p>
          <w:p w:rsidR="00000000" w:rsidRPr="00021492" w:rsidP="00021492">
            <w:pPr>
              <w:pStyle w:val="ListBullet"/>
            </w:pPr>
            <w:r w:rsidRPr="00021492">
              <w:t>preparing flow charts</w:t>
            </w:r>
          </w:p>
          <w:p w:rsidR="00000000" w:rsidRPr="00021492" w:rsidP="00021492">
            <w:pPr>
              <w:pStyle w:val="ListBullet"/>
            </w:pPr>
            <w:r w:rsidRPr="00021492">
              <w:t>communicating</w:t>
            </w:r>
          </w:p>
          <w:p w:rsidR="00000000" w:rsidRPr="00021492" w:rsidP="00021492">
            <w:pPr>
              <w:pStyle w:val="ListBullet"/>
            </w:pPr>
            <w:r w:rsidRPr="00021492">
              <w:t>planning</w:t>
            </w:r>
          </w:p>
          <w:p w:rsidR="00000000" w:rsidRPr="00021492" w:rsidP="00021492">
            <w:pPr>
              <w:pStyle w:val="ListBullet"/>
            </w:pPr>
            <w:r w:rsidRPr="00021492">
              <w:t>assessing</w:t>
            </w:r>
          </w:p>
          <w:p w:rsidR="00000000" w:rsidRPr="00021492" w:rsidP="00021492">
            <w:pPr>
              <w:pStyle w:val="ListBullet"/>
            </w:pPr>
            <w:r w:rsidRPr="00021492">
              <w:t>reading and interpreting engineering specifications</w:t>
            </w:r>
          </w:p>
          <w:p w:rsidR="00000000" w:rsidRPr="00021492" w:rsidP="00021492">
            <w:pPr>
              <w:pStyle w:val="ListBullet"/>
            </w:pPr>
            <w:r w:rsidRPr="00021492">
              <w:t>organising information</w:t>
            </w:r>
          </w:p>
          <w:p w:rsidR="00000000" w:rsidP="00021492">
            <w:pPr>
              <w:pStyle w:val="ListBullet"/>
              <w:rPr>
                <w:lang w:val="en-NZ"/>
              </w:rPr>
            </w:pPr>
            <w:r w:rsidRPr="00021492">
              <w:t>prioritising</w:t>
            </w:r>
          </w:p>
        </w:tc>
      </w:tr>
      <w:tr w:rsidTr="00F47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Required knowledge</w:t>
            </w:r>
          </w:p>
        </w:tc>
      </w:tr>
      <w:tr w:rsidTr="00F471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Look for evidence that confirms knowledge of:</w:t>
            </w:r>
          </w:p>
          <w:p w:rsidR="00000000" w:rsidRPr="00021492" w:rsidP="00021492">
            <w:pPr>
              <w:pStyle w:val="ListBullet"/>
            </w:pPr>
            <w:r w:rsidRPr="00021492">
              <w:t>production processes found within the organisation</w:t>
            </w:r>
          </w:p>
          <w:p w:rsidR="00000000" w:rsidRPr="00021492" w:rsidP="00021492">
            <w:pPr>
              <w:pStyle w:val="ListBullet"/>
            </w:pPr>
            <w:r w:rsidRPr="00021492">
              <w:t>tooling and/or equipment requirements for workplace processes</w:t>
            </w:r>
          </w:p>
          <w:p w:rsidR="00000000" w:rsidRPr="00021492" w:rsidP="00021492">
            <w:pPr>
              <w:pStyle w:val="ListBullet"/>
            </w:pPr>
            <w:r w:rsidRPr="00021492">
              <w:t>quality assurance requirements</w:t>
            </w:r>
          </w:p>
          <w:p w:rsidR="00000000" w:rsidRPr="00021492" w:rsidP="00021492">
            <w:pPr>
              <w:pStyle w:val="ListBullet"/>
            </w:pPr>
            <w:r w:rsidRPr="00021492">
              <w:t>safe workplace practices and procedures</w:t>
            </w:r>
          </w:p>
        </w:tc>
      </w:tr>
    </w:tbl>
    <w:p w:rsidR="00F4715A" w:rsidP="00021492">
      <w:pPr>
        <w:pStyle w:val="BodyText"/>
      </w:pPr>
    </w:p>
    <w:p w:rsidR="00F4715A" w:rsidP="00021492">
      <w:pPr>
        <w:pStyle w:val="BodyText"/>
      </w:pPr>
    </w:p>
    <w:p w:rsidR="00000000" w:rsidRPr="00021492" w:rsidP="00021492">
      <w:pPr>
        <w:pStyle w:val="AllowPageBreak"/>
      </w:pPr>
    </w:p>
    <w:p w:rsidR="00000000" w:rsidRPr="00021492" w:rsidP="00021492">
      <w:pPr>
        <w:pStyle w:val="Heading1"/>
      </w:pPr>
      <w:bookmarkStart w:id="10" w:name="O_244874"/>
      <w:bookmarkEnd w:id="10"/>
      <w:r w:rsidRPr="00021492">
        <w:t>Evidence Guide</w:t>
      </w:r>
    </w:p>
    <w:tbl>
      <w:tblPr>
        <w:tblW w:w="9570" w:type="dxa"/>
        <w:tblLayout w:type="fixed"/>
        <w:tblCellMar>
          <w:left w:w="62" w:type="dxa"/>
          <w:right w:w="62" w:type="dxa"/>
        </w:tblCellMar>
        <w:tblLook w:val="0000"/>
      </w:tblPr>
      <w:tblGrid>
        <w:gridCol w:w="3908"/>
        <w:gridCol w:w="5662"/>
      </w:tblGrid>
      <w:tr w:rsidTr="00F471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EVIDENCE GUIDE</w:t>
            </w:r>
          </w:p>
        </w:tc>
      </w:tr>
      <w:tr w:rsidTr="00F471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 xml:space="preserve">The evidence guide provides advice on assessment and must be read in conjunction with the performance criteria, required skills and knowledge, </w:t>
            </w:r>
            <w:r w:rsidRPr="00021492">
              <w:t>range statement and the Assessment Guidelines for the Training Package.</w:t>
            </w:r>
          </w:p>
        </w:tc>
      </w:tr>
      <w:tr w:rsidTr="00F47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 xml:space="preserve">A person who demonstrates competency in this unit must be able to undertake basic process planning. </w:t>
            </w:r>
          </w:p>
        </w:tc>
      </w:tr>
      <w:tr w:rsidTr="00F47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Assessors must be satisfied that the candidate can competently and consistently perform all elements of the unit as specified by the criteria, including required k</w:t>
            </w:r>
            <w:r w:rsidRPr="00021492">
              <w:t>nowledge, and be capable of applying the competency in new and different situations and contexts.</w:t>
            </w:r>
          </w:p>
        </w:tc>
      </w:tr>
      <w:tr w:rsidTr="00F47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This unit may be assessed on the job, off the job or a combination of both on and off the job. Where assessm</w:t>
            </w:r>
            <w:r w:rsidRPr="00021492">
              <w:t>ent occurs off the job, that is the candidate is not in productive work, then an appropriate simulation must be used where the range of conditions reflects realistic workplace situations. The competencies covered by this unit would be demonstrated by an in</w:t>
            </w:r>
            <w:r w:rsidRPr="00021492">
              <w:t xml:space="preserve">dividual working alone or as part of a team. The assessment environment should not disadvantage the candidate. </w:t>
            </w:r>
          </w:p>
          <w:p w:rsidR="00000000" w:rsidP="00021492">
            <w:pPr>
              <w:pStyle w:val="BodyText"/>
              <w:rPr>
                <w:lang w:val="en-NZ"/>
              </w:rPr>
            </w:pPr>
            <w:r w:rsidRPr="00021492">
              <w:t>This unit could be assessed in conjunction with any other units addressing the safety, quality, communication, materials handling, recording and</w:t>
            </w:r>
            <w:r w:rsidRPr="00021492">
              <w:t xml:space="preserve"> reporting associated with basic process planning or other units requiring the exercise of the skills and knowledge covered by this unit.</w:t>
            </w:r>
          </w:p>
        </w:tc>
      </w:tr>
      <w:tr w:rsidTr="00F47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Assessors should gather a range of evidence that is valid, sufficient, current and authentic. Ev</w:t>
            </w:r>
            <w:r w:rsidRPr="00021492">
              <w:t xml:space="preserve">idence can be gathered through a variety of ways including direct observation, supervisor's reports, project work, samples and questioning. Questioning techniques should not require language, literacy and numeracy skills beyond those required in this unit </w:t>
            </w:r>
            <w:r w:rsidRPr="00021492">
              <w:t xml:space="preserve">of competency. The candidate must have access to all tools, equipment, materials and documentation required. The candidate must be permitted to refer to any relevant workplace procedures, product and manufacturing specifications, codes, standards, manuals </w:t>
            </w:r>
            <w:r w:rsidRPr="00021492">
              <w:t>and reference materials.</w:t>
            </w:r>
          </w:p>
        </w:tc>
      </w:tr>
      <w:tr w:rsidTr="00F471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p>
        </w:tc>
      </w:tr>
    </w:tbl>
    <w:p w:rsidR="00F4715A" w:rsidP="00021492">
      <w:pPr>
        <w:pStyle w:val="BodyText"/>
      </w:pPr>
    </w:p>
    <w:p w:rsidR="00F4715A" w:rsidP="00021492">
      <w:pPr>
        <w:pStyle w:val="BodyText"/>
      </w:pPr>
    </w:p>
    <w:p w:rsidR="00000000" w:rsidRPr="00021492" w:rsidP="00021492">
      <w:pPr>
        <w:pStyle w:val="Heading1"/>
      </w:pPr>
      <w:bookmarkStart w:id="11" w:name="O_252857"/>
      <w:bookmarkEnd w:id="11"/>
      <w:r w:rsidRPr="00021492">
        <w:t>Range Statement</w:t>
      </w:r>
    </w:p>
    <w:tbl>
      <w:tblPr>
        <w:tblW w:w="0" w:type="auto"/>
        <w:tblLayout w:type="fixed"/>
        <w:tblCellMar>
          <w:left w:w="62" w:type="dxa"/>
          <w:right w:w="62" w:type="dxa"/>
        </w:tblCellMar>
        <w:tblLook w:val="0000"/>
      </w:tblPr>
      <w:tblGrid>
        <w:gridCol w:w="3525"/>
        <w:gridCol w:w="4997"/>
      </w:tblGrid>
      <w:tr w:rsidTr="00F471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RANGE STATEMENT</w:t>
            </w:r>
          </w:p>
        </w:tc>
      </w:tr>
      <w:tr w:rsidTr="00F471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The range statement relates to the unit of competency as a whole. It allows for different work environments and situations that may affect performance. Bold italicised wording, if used in the performance criteria, is detailed below. Essential operating con</w:t>
            </w:r>
            <w:r w:rsidRPr="00021492">
              <w:t>ditions that may be present with training and assessment (depending on the work situation, needs of the candidate, accessibility of the item, and local industry and regional contexts) may also be included.</w:t>
            </w:r>
          </w:p>
        </w:tc>
      </w:tr>
      <w:tr w:rsidTr="00F4715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Production processes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t>Work planned over a specifi</w:t>
            </w:r>
            <w:r w:rsidRPr="00021492">
              <w:t>ed timeframe, taking into account required and available resources</w:t>
            </w:r>
          </w:p>
        </w:tc>
      </w:tr>
      <w:tr w:rsidTr="00F4715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Steps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Steps and milestones against which progress can be checked</w:t>
            </w:r>
          </w:p>
        </w:tc>
      </w:tr>
    </w:tbl>
    <w:p w:rsidR="00F4715A" w:rsidP="00021492">
      <w:pPr>
        <w:pStyle w:val="BodyText"/>
      </w:pPr>
    </w:p>
    <w:p w:rsidR="00F4715A" w:rsidP="00021492">
      <w:pPr>
        <w:pStyle w:val="BodyText"/>
      </w:pPr>
    </w:p>
    <w:p w:rsidR="00000000" w:rsidRPr="00021492" w:rsidP="00021492">
      <w:pPr>
        <w:pStyle w:val="Heading1"/>
      </w:pPr>
      <w:bookmarkStart w:id="12" w:name="O_211683"/>
      <w:bookmarkEnd w:id="12"/>
      <w:r w:rsidRPr="00021492">
        <w:t>Unit Sector(s)</w:t>
      </w:r>
    </w:p>
    <w:tbl>
      <w:tblPr>
        <w:tblW w:w="0" w:type="auto"/>
        <w:tblLayout w:type="fixed"/>
        <w:tblCellMar>
          <w:left w:w="62" w:type="dxa"/>
          <w:right w:w="62" w:type="dxa"/>
        </w:tblCellMar>
        <w:tblLook w:val="0000"/>
      </w:tblPr>
      <w:tblGrid>
        <w:gridCol w:w="2654"/>
        <w:gridCol w:w="5868"/>
      </w:tblGrid>
      <w:tr w:rsidTr="00F471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p>
        </w:tc>
      </w:tr>
    </w:tbl>
    <w:p w:rsidR="00F4715A" w:rsidP="00021492">
      <w:pPr>
        <w:pStyle w:val="BodyText"/>
      </w:pPr>
    </w:p>
    <w:p w:rsidR="00F4715A" w:rsidP="00021492">
      <w:pPr>
        <w:pStyle w:val="BodyText"/>
      </w:pPr>
    </w:p>
    <w:p w:rsidR="00000000" w:rsidRPr="00021492" w:rsidP="00021492">
      <w:pPr>
        <w:pStyle w:val="Heading1"/>
      </w:pPr>
      <w:bookmarkStart w:id="13" w:name="O_211680"/>
      <w:bookmarkEnd w:id="13"/>
      <w:r w:rsidRPr="00021492">
        <w:t>Co-requisite units</w:t>
      </w:r>
    </w:p>
    <w:tbl>
      <w:tblPr>
        <w:tblW w:w="0" w:type="auto"/>
        <w:tblLayout w:type="fixed"/>
        <w:tblCellMar>
          <w:left w:w="62" w:type="dxa"/>
          <w:right w:w="62" w:type="dxa"/>
        </w:tblCellMar>
        <w:tblLook w:val="0000"/>
      </w:tblPr>
      <w:tblGrid>
        <w:gridCol w:w="2641"/>
        <w:gridCol w:w="1322"/>
        <w:gridCol w:w="4559"/>
      </w:tblGrid>
      <w:tr w:rsidTr="00F471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p>
        </w:tc>
      </w:tr>
      <w:tr w:rsidTr="00F471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p>
        </w:tc>
      </w:tr>
      <w:tr w:rsidTr="00F471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p>
        </w:tc>
      </w:tr>
    </w:tbl>
    <w:p w:rsidR="00F4715A" w:rsidP="00021492">
      <w:pPr>
        <w:pStyle w:val="BodyText"/>
      </w:pPr>
    </w:p>
    <w:p w:rsidR="00F4715A" w:rsidP="00021492">
      <w:pPr>
        <w:pStyle w:val="BodyText"/>
      </w:pPr>
    </w:p>
    <w:p w:rsidR="00000000" w:rsidRPr="00021492" w:rsidP="00021492">
      <w:pPr>
        <w:pStyle w:val="Heading1"/>
      </w:pPr>
      <w:bookmarkStart w:id="14" w:name="O_211682"/>
      <w:bookmarkEnd w:id="14"/>
      <w:r w:rsidRPr="00021492">
        <w:t>Competency field</w:t>
      </w:r>
    </w:p>
    <w:tbl>
      <w:tblPr>
        <w:tblW w:w="0" w:type="auto"/>
        <w:tblLayout w:type="fixed"/>
        <w:tblCellMar>
          <w:left w:w="62" w:type="dxa"/>
          <w:right w:w="62" w:type="dxa"/>
        </w:tblCellMar>
        <w:tblLook w:val="0000"/>
      </w:tblPr>
      <w:tblGrid>
        <w:gridCol w:w="2777"/>
        <w:gridCol w:w="5745"/>
      </w:tblGrid>
      <w:tr w:rsidTr="00F4715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492">
            <w:pPr>
              <w:pStyle w:val="BodyText"/>
              <w:rPr>
                <w:lang w:val="en-NZ"/>
              </w:rPr>
            </w:pPr>
            <w:r w:rsidRPr="0002149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492" w:rsidP="00021492">
            <w:pPr>
              <w:pStyle w:val="BodyText"/>
            </w:pPr>
            <w:r w:rsidRPr="00021492">
              <w:t>Planning</w:t>
            </w:r>
          </w:p>
        </w:tc>
      </w:tr>
    </w:tbl>
    <w:p w:rsidR="00F4715A" w:rsidP="00021492">
      <w:pPr>
        <w:pStyle w:val="BodyText"/>
      </w:pPr>
    </w:p>
    <w:p w:rsidR="00F4715A" w:rsidP="00021492">
      <w:pPr>
        <w:pStyle w:val="BodyText"/>
      </w:pPr>
    </w:p>
    <w:p w:rsidR="00000000" w:rsidRPr="00021492" w:rsidP="00021492"/>
    <w:sectPr w:rsidSect="00021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15A" w:rsidP="00F47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5A" w:rsidP="00021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715A" w:rsidP="00021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715A" w:rsidP="00021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15A" w:rsidP="00F471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5A" w:rsidP="00021492">
    <w:pPr>
      <w:pStyle w:val="Header"/>
      <w:framePr w:wrap="around"/>
    </w:pPr>
    <w:r>
      <w:fldChar w:fldCharType="begin"/>
    </w:r>
    <w:r>
      <w:instrText xml:space="preserve"> TITLE   \* MERGEFORMAT </w:instrText>
    </w:r>
    <w:r>
      <w:fldChar w:fldCharType="separate"/>
    </w:r>
    <w:r>
      <w:t>MEM14002B Undertake basic process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715A" w:rsidP="00021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2A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581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492"/>
    <w:pPr>
      <w:spacing w:before="360" w:after="60"/>
      <w:outlineLvl w:val="0"/>
    </w:pPr>
    <w:rPr>
      <w:sz w:val="32"/>
    </w:rPr>
  </w:style>
  <w:style w:type="paragraph" w:styleId="Heading2">
    <w:name w:val="heading 2"/>
    <w:basedOn w:val="HeadingBase"/>
    <w:next w:val="BodyText"/>
    <w:link w:val="Heading2Char"/>
    <w:qFormat/>
    <w:rsid w:val="00021492"/>
    <w:pPr>
      <w:keepLines/>
      <w:spacing w:before="240" w:after="120"/>
      <w:outlineLvl w:val="1"/>
    </w:pPr>
    <w:rPr>
      <w:sz w:val="28"/>
      <w:szCs w:val="40"/>
    </w:rPr>
  </w:style>
  <w:style w:type="paragraph" w:styleId="Heading3">
    <w:name w:val="heading 3"/>
    <w:basedOn w:val="HeadingBase"/>
    <w:next w:val="BodyText"/>
    <w:link w:val="Heading3Char"/>
    <w:qFormat/>
    <w:rsid w:val="00021492"/>
    <w:pPr>
      <w:spacing w:before="180" w:after="120"/>
      <w:outlineLvl w:val="2"/>
    </w:pPr>
    <w:rPr>
      <w:spacing w:val="-10"/>
      <w:kern w:val="32"/>
    </w:rPr>
  </w:style>
  <w:style w:type="paragraph" w:styleId="Heading4">
    <w:name w:val="heading 4"/>
    <w:basedOn w:val="HeadingBase"/>
    <w:next w:val="BodyText"/>
    <w:link w:val="Heading4Char"/>
    <w:qFormat/>
    <w:rsid w:val="00021492"/>
    <w:pPr>
      <w:spacing w:before="160" w:after="120"/>
      <w:outlineLvl w:val="3"/>
    </w:pPr>
    <w:rPr>
      <w:sz w:val="22"/>
    </w:rPr>
  </w:style>
  <w:style w:type="paragraph" w:styleId="Heading5">
    <w:name w:val="heading 5"/>
    <w:basedOn w:val="HeadingBase"/>
    <w:next w:val="Normal"/>
    <w:link w:val="Heading5Char"/>
    <w:qFormat/>
    <w:rsid w:val="00021492"/>
    <w:pPr>
      <w:spacing w:before="80"/>
      <w:outlineLvl w:val="4"/>
    </w:pPr>
    <w:rPr>
      <w:color w:val="918585"/>
      <w:sz w:val="20"/>
    </w:rPr>
  </w:style>
  <w:style w:type="paragraph" w:styleId="Heading6">
    <w:name w:val="heading 6"/>
    <w:basedOn w:val="HeadingBase"/>
    <w:next w:val="Normal"/>
    <w:link w:val="Heading6Char"/>
    <w:qFormat/>
    <w:rsid w:val="00021492"/>
    <w:pPr>
      <w:spacing w:before="60"/>
      <w:outlineLvl w:val="5"/>
    </w:pPr>
    <w:rPr>
      <w:color w:val="918585"/>
      <w:sz w:val="20"/>
    </w:rPr>
  </w:style>
  <w:style w:type="paragraph" w:styleId="Heading7">
    <w:name w:val="heading 7"/>
    <w:basedOn w:val="Normal"/>
    <w:next w:val="Normal"/>
    <w:link w:val="Heading7Char"/>
    <w:qFormat/>
    <w:rsid w:val="00021492"/>
    <w:pPr>
      <w:ind w:left="720"/>
      <w:outlineLvl w:val="6"/>
    </w:pPr>
    <w:rPr>
      <w:i/>
    </w:rPr>
  </w:style>
  <w:style w:type="paragraph" w:styleId="Heading8">
    <w:name w:val="heading 8"/>
    <w:basedOn w:val="Normal"/>
    <w:next w:val="Normal"/>
    <w:link w:val="Heading8Char"/>
    <w:qFormat/>
    <w:rsid w:val="00021492"/>
    <w:pPr>
      <w:ind w:left="720"/>
      <w:outlineLvl w:val="7"/>
    </w:pPr>
    <w:rPr>
      <w:i/>
    </w:rPr>
  </w:style>
  <w:style w:type="paragraph" w:styleId="Heading9">
    <w:name w:val="heading 9"/>
    <w:basedOn w:val="Normal"/>
    <w:next w:val="Normal"/>
    <w:link w:val="Heading9Char"/>
    <w:qFormat/>
    <w:rsid w:val="00021492"/>
    <w:pPr>
      <w:ind w:left="720"/>
      <w:outlineLvl w:val="8"/>
    </w:pPr>
    <w:rPr>
      <w:i/>
    </w:rPr>
  </w:style>
  <w:style w:type="character" w:default="1" w:styleId="DefaultParagraphFont">
    <w:name w:val="Default Paragraph Font"/>
    <w:uiPriority w:val="1"/>
    <w:unhideWhenUsed/>
    <w:rsid w:val="00021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492"/>
  </w:style>
  <w:style w:type="character" w:customStyle="1" w:styleId="Heading1Char">
    <w:name w:val="Heading 1 Char"/>
    <w:basedOn w:val="DefaultParagraphFont"/>
    <w:link w:val="Heading1"/>
    <w:rsid w:val="00021492"/>
    <w:rPr>
      <w:rFonts w:ascii="Times New Roman" w:eastAsia="Times New Roman" w:hAnsi="Times New Roman" w:cs="Times New Roman"/>
      <w:b/>
      <w:sz w:val="32"/>
      <w:szCs w:val="20"/>
      <w:lang w:eastAsia="en-US"/>
    </w:rPr>
  </w:style>
  <w:style w:type="paragraph" w:styleId="BodyText">
    <w:name w:val="Body Text"/>
    <w:basedOn w:val="Normal"/>
    <w:link w:val="BodyTextChar"/>
    <w:rsid w:val="00021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492"/>
    <w:rPr>
      <w:rFonts w:ascii="Times New Roman" w:eastAsia="Times New Roman" w:hAnsi="Times New Roman" w:cs="Times New Roman"/>
      <w:sz w:val="24"/>
      <w:lang w:val="en-US" w:eastAsia="en-US"/>
    </w:rPr>
  </w:style>
  <w:style w:type="paragraph" w:styleId="Footer">
    <w:name w:val="footer"/>
    <w:basedOn w:val="Normal"/>
    <w:link w:val="FooterChar"/>
    <w:rsid w:val="00021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492"/>
    <w:rPr>
      <w:rFonts w:ascii="Times New Roman" w:eastAsia="Times New Roman" w:hAnsi="Times New Roman" w:cs="Times New Roman"/>
      <w:sz w:val="16"/>
      <w:lang w:val="en-US" w:eastAsia="en-US"/>
    </w:rPr>
  </w:style>
  <w:style w:type="paragraph" w:styleId="List">
    <w:name w:val="List"/>
    <w:basedOn w:val="BodyText"/>
    <w:next w:val="BodyText"/>
    <w:rsid w:val="00021492"/>
    <w:pPr>
      <w:tabs>
        <w:tab w:val="left" w:pos="340"/>
      </w:tabs>
      <w:spacing w:before="60" w:after="60"/>
      <w:ind w:left="340" w:hanging="340"/>
    </w:pPr>
  </w:style>
  <w:style w:type="paragraph" w:styleId="ListBullet">
    <w:name w:val="List Bullet"/>
    <w:basedOn w:val="List"/>
    <w:rsid w:val="00021492"/>
    <w:pPr>
      <w:numPr>
        <w:numId w:val="12"/>
      </w:numPr>
      <w:tabs>
        <w:tab w:val="clear" w:pos="340"/>
      </w:tabs>
      <w:spacing w:before="40" w:after="40"/>
    </w:pPr>
  </w:style>
  <w:style w:type="character" w:customStyle="1" w:styleId="SpecialBold">
    <w:name w:val="Special Bold"/>
    <w:basedOn w:val="DefaultParagraphFont"/>
    <w:rsid w:val="00021492"/>
    <w:rPr>
      <w:b/>
      <w:spacing w:val="0"/>
    </w:rPr>
  </w:style>
  <w:style w:type="paragraph" w:styleId="Header">
    <w:name w:val="header"/>
    <w:basedOn w:val="Normal"/>
    <w:link w:val="HeaderChar"/>
    <w:rsid w:val="00021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4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1492"/>
    <w:pPr>
      <w:spacing w:before="240" w:after="120"/>
      <w:outlineLvl w:val="0"/>
    </w:pPr>
    <w:rPr>
      <w:rFonts w:ascii="Times New Roman" w:hAnsi="Times New Roman"/>
      <w:b/>
      <w:sz w:val="28"/>
    </w:rPr>
  </w:style>
  <w:style w:type="paragraph" w:customStyle="1" w:styleId="AllowPageBreak">
    <w:name w:val="AllowPageBreak"/>
    <w:rsid w:val="000214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1492"/>
    <w:pPr>
      <w:tabs>
        <w:tab w:val="left" w:pos="680"/>
      </w:tabs>
      <w:spacing w:before="60" w:after="60"/>
      <w:ind w:left="680" w:hanging="340"/>
    </w:pPr>
  </w:style>
  <w:style w:type="character" w:customStyle="1" w:styleId="Heading2Char">
    <w:name w:val="Heading 2 Char"/>
    <w:basedOn w:val="DefaultParagraphFont"/>
    <w:link w:val="Heading2"/>
    <w:rsid w:val="00021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492"/>
    <w:rPr>
      <w:rFonts w:ascii="Courier New" w:eastAsia="Times New Roman" w:hAnsi="Courier New" w:cs="Times New Roman"/>
      <w:i/>
      <w:szCs w:val="20"/>
      <w:lang w:val="en-US" w:eastAsia="en-US"/>
    </w:rPr>
  </w:style>
  <w:style w:type="paragraph" w:customStyle="1" w:styleId="HeadingBase">
    <w:name w:val="Heading Base"/>
    <w:rsid w:val="00021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492"/>
    <w:pPr>
      <w:tabs>
        <w:tab w:val="right" w:leader="dot" w:pos="9072"/>
      </w:tabs>
      <w:ind w:left="567"/>
    </w:pPr>
    <w:rPr>
      <w:szCs w:val="22"/>
    </w:rPr>
  </w:style>
  <w:style w:type="paragraph" w:customStyle="1" w:styleId="TOCBase">
    <w:name w:val="TOC Base"/>
    <w:rsid w:val="00021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492"/>
    <w:pPr>
      <w:tabs>
        <w:tab w:val="right" w:leader="dot" w:pos="9072"/>
      </w:tabs>
      <w:spacing w:before="40" w:after="40"/>
      <w:ind w:left="284"/>
    </w:pPr>
    <w:rPr>
      <w:rFonts w:ascii="Times New Roman" w:hAnsi="Times New Roman"/>
    </w:rPr>
  </w:style>
  <w:style w:type="paragraph" w:styleId="TOC1">
    <w:name w:val="toc 1"/>
    <w:basedOn w:val="TOCBase"/>
    <w:next w:val="Normal"/>
    <w:rsid w:val="00021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492"/>
    <w:pPr>
      <w:spacing w:before="5040"/>
      <w:jc w:val="center"/>
    </w:pPr>
    <w:rPr>
      <w:sz w:val="48"/>
      <w:szCs w:val="72"/>
      <w:lang w:val="en-US"/>
    </w:rPr>
  </w:style>
  <w:style w:type="character" w:customStyle="1" w:styleId="TitleChar">
    <w:name w:val="Title Char"/>
    <w:basedOn w:val="DefaultParagraphFont"/>
    <w:link w:val="Title"/>
    <w:rsid w:val="00021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492"/>
    <w:pPr>
      <w:tabs>
        <w:tab w:val="left" w:pos="3600"/>
        <w:tab w:val="left" w:pos="3958"/>
      </w:tabs>
    </w:pPr>
  </w:style>
  <w:style w:type="paragraph" w:customStyle="1" w:styleId="Note">
    <w:name w:val="Note"/>
    <w:basedOn w:val="BodyText"/>
    <w:rsid w:val="00021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492"/>
    <w:pPr>
      <w:framePr w:wrap="auto" w:hAnchor="text" w:y="6049"/>
    </w:pPr>
    <w:rPr>
      <w:color w:val="000000"/>
      <w:sz w:val="40"/>
    </w:rPr>
  </w:style>
  <w:style w:type="paragraph" w:customStyle="1" w:styleId="TOCTitle">
    <w:name w:val="TOCTitle"/>
    <w:basedOn w:val="Heading1"/>
    <w:rsid w:val="00021492"/>
    <w:pPr>
      <w:spacing w:after="240"/>
      <w:jc w:val="center"/>
      <w:outlineLvl w:val="9"/>
    </w:pPr>
    <w:rPr>
      <w:caps/>
    </w:rPr>
  </w:style>
  <w:style w:type="paragraph" w:customStyle="1" w:styleId="Version">
    <w:name w:val="Version"/>
    <w:rsid w:val="000214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492"/>
    <w:pPr>
      <w:numPr>
        <w:numId w:val="13"/>
      </w:numPr>
      <w:tabs>
        <w:tab w:val="clear" w:pos="680"/>
      </w:tabs>
    </w:pPr>
  </w:style>
  <w:style w:type="paragraph" w:styleId="Index1">
    <w:name w:val="index 1"/>
    <w:basedOn w:val="Normal"/>
    <w:next w:val="Normal"/>
    <w:semiHidden/>
    <w:rsid w:val="00021492"/>
    <w:pPr>
      <w:keepNext w:val="0"/>
      <w:tabs>
        <w:tab w:val="right" w:pos="4176"/>
      </w:tabs>
      <w:ind w:left="198" w:hanging="198"/>
    </w:pPr>
    <w:rPr>
      <w:rFonts w:ascii="Garamond" w:hAnsi="Garamond"/>
    </w:rPr>
  </w:style>
  <w:style w:type="paragraph" w:styleId="IndexHeading">
    <w:name w:val="index heading"/>
    <w:basedOn w:val="Normal"/>
    <w:next w:val="Index1"/>
    <w:semiHidden/>
    <w:rsid w:val="00021492"/>
    <w:pPr>
      <w:spacing w:before="120" w:after="120"/>
    </w:pPr>
    <w:rPr>
      <w:rFonts w:ascii="Arial" w:hAnsi="Arial"/>
      <w:b/>
      <w:color w:val="918585"/>
      <w:sz w:val="24"/>
    </w:rPr>
  </w:style>
  <w:style w:type="paragraph" w:customStyle="1" w:styleId="Chapter">
    <w:name w:val="Chapter"/>
    <w:basedOn w:val="Normal"/>
    <w:rsid w:val="00021492"/>
    <w:pPr>
      <w:spacing w:before="240"/>
    </w:pPr>
    <w:rPr>
      <w:rFonts w:ascii="Times New Roman" w:hAnsi="Times New Roman"/>
      <w:smallCaps/>
      <w:spacing w:val="80"/>
      <w:sz w:val="28"/>
    </w:rPr>
  </w:style>
  <w:style w:type="paragraph" w:customStyle="1" w:styleId="InChapter">
    <w:name w:val="InChapter"/>
    <w:basedOn w:val="Heading3"/>
    <w:rsid w:val="00021492"/>
    <w:pPr>
      <w:spacing w:after="240"/>
      <w:outlineLvl w:val="9"/>
    </w:pPr>
    <w:rPr>
      <w:noProof/>
    </w:rPr>
  </w:style>
  <w:style w:type="paragraph" w:styleId="Index2">
    <w:name w:val="index 2"/>
    <w:basedOn w:val="Normal"/>
    <w:next w:val="Normal"/>
    <w:semiHidden/>
    <w:rsid w:val="00021492"/>
    <w:pPr>
      <w:tabs>
        <w:tab w:val="right" w:pos="4176"/>
      </w:tabs>
      <w:ind w:left="568" w:hanging="284"/>
    </w:pPr>
    <w:rPr>
      <w:rFonts w:ascii="Garamond" w:hAnsi="Garamond"/>
    </w:rPr>
  </w:style>
  <w:style w:type="paragraph" w:customStyle="1" w:styleId="Byline">
    <w:name w:val="Byline"/>
    <w:rsid w:val="00021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492"/>
    <w:pPr>
      <w:tabs>
        <w:tab w:val="clear" w:pos="3600"/>
        <w:tab w:val="clear" w:pos="3958"/>
      </w:tabs>
      <w:jc w:val="right"/>
    </w:pPr>
  </w:style>
  <w:style w:type="character" w:styleId="Emphasis">
    <w:name w:val="Emphasis"/>
    <w:basedOn w:val="DefaultParagraphFont"/>
    <w:qFormat/>
    <w:rsid w:val="00021492"/>
    <w:rPr>
      <w:i/>
    </w:rPr>
  </w:style>
  <w:style w:type="paragraph" w:styleId="Caption">
    <w:name w:val="caption"/>
    <w:basedOn w:val="BodyText"/>
    <w:next w:val="Normal"/>
    <w:qFormat/>
    <w:rsid w:val="00021492"/>
    <w:pPr>
      <w:framePr w:w="2268" w:hSpace="181" w:vSpace="181" w:wrap="around" w:vAnchor="text" w:hAnchor="page" w:x="1135" w:y="285" w:anchorLock="1"/>
    </w:pPr>
    <w:rPr>
      <w:i/>
    </w:rPr>
  </w:style>
  <w:style w:type="paragraph" w:customStyle="1" w:styleId="MiniTOCTitle">
    <w:name w:val="MiniTOCTitle"/>
    <w:basedOn w:val="Heading4"/>
    <w:rsid w:val="00021492"/>
    <w:pPr>
      <w:spacing w:before="240"/>
      <w:outlineLvl w:val="9"/>
    </w:pPr>
    <w:rPr>
      <w:noProof/>
      <w:sz w:val="24"/>
    </w:rPr>
  </w:style>
  <w:style w:type="paragraph" w:customStyle="1" w:styleId="MiniTOCItem">
    <w:name w:val="MiniTOCItem"/>
    <w:basedOn w:val="ListBullet"/>
    <w:rsid w:val="00021492"/>
    <w:pPr>
      <w:numPr>
        <w:numId w:val="0"/>
      </w:numPr>
      <w:tabs>
        <w:tab w:val="right" w:leader="dot" w:pos="6521"/>
      </w:tabs>
      <w:spacing w:before="0" w:after="0"/>
    </w:pPr>
  </w:style>
  <w:style w:type="paragraph" w:customStyle="1" w:styleId="TOFTitle">
    <w:name w:val="TOFTitle"/>
    <w:basedOn w:val="TOCTitle"/>
    <w:rsid w:val="00021492"/>
  </w:style>
  <w:style w:type="paragraph" w:styleId="TableofFigures">
    <w:name w:val="table of figures"/>
    <w:basedOn w:val="Normal"/>
    <w:next w:val="Normal"/>
    <w:semiHidden/>
    <w:rsid w:val="00021492"/>
    <w:pPr>
      <w:tabs>
        <w:tab w:val="right" w:leader="dot" w:pos="9072"/>
      </w:tabs>
      <w:ind w:left="970" w:hanging="403"/>
    </w:pPr>
    <w:rPr>
      <w:rFonts w:ascii="Times New Roman" w:hAnsi="Times New Roman"/>
      <w:b/>
    </w:rPr>
  </w:style>
  <w:style w:type="paragraph" w:styleId="ListNumber">
    <w:name w:val="List Number"/>
    <w:basedOn w:val="List"/>
    <w:rsid w:val="00021492"/>
    <w:pPr>
      <w:numPr>
        <w:numId w:val="10"/>
      </w:numPr>
    </w:pPr>
  </w:style>
  <w:style w:type="character" w:customStyle="1" w:styleId="WingdingSymbols">
    <w:name w:val="Wingding Symbols"/>
    <w:rsid w:val="00021492"/>
    <w:rPr>
      <w:rFonts w:ascii="Wingdings" w:hAnsi="Wingdings"/>
    </w:rPr>
  </w:style>
  <w:style w:type="paragraph" w:customStyle="1" w:styleId="TableHeading">
    <w:name w:val="Table Heading"/>
    <w:basedOn w:val="HeadingBase"/>
    <w:rsid w:val="00021492"/>
    <w:pPr>
      <w:keepLines/>
      <w:pBdr>
        <w:bottom w:val="single" w:sz="6" w:space="1" w:color="918585"/>
      </w:pBdr>
      <w:spacing w:before="240"/>
    </w:pPr>
  </w:style>
  <w:style w:type="character" w:customStyle="1" w:styleId="HotSpot">
    <w:name w:val="HotSpot"/>
    <w:rsid w:val="00021492"/>
    <w:rPr>
      <w:color w:val="0033CC"/>
      <w:u w:val="none"/>
    </w:rPr>
  </w:style>
  <w:style w:type="paragraph" w:customStyle="1" w:styleId="BodyTextRight">
    <w:name w:val="Body Text Right"/>
    <w:basedOn w:val="BodyText"/>
    <w:rsid w:val="00021492"/>
    <w:pPr>
      <w:spacing w:before="0" w:after="0"/>
      <w:jc w:val="right"/>
    </w:pPr>
  </w:style>
  <w:style w:type="paragraph" w:styleId="Index3">
    <w:name w:val="index 3"/>
    <w:basedOn w:val="ListNumber2"/>
    <w:next w:val="Normal"/>
    <w:semiHidden/>
    <w:rsid w:val="00021492"/>
    <w:pPr>
      <w:numPr>
        <w:numId w:val="0"/>
      </w:numPr>
      <w:tabs>
        <w:tab w:val="right" w:leader="dot" w:pos="4176"/>
      </w:tabs>
    </w:pPr>
  </w:style>
  <w:style w:type="paragraph" w:styleId="ListNumber2">
    <w:name w:val="List Number 2"/>
    <w:basedOn w:val="List2"/>
    <w:rsid w:val="00021492"/>
    <w:pPr>
      <w:numPr>
        <w:numId w:val="9"/>
      </w:numPr>
      <w:tabs>
        <w:tab w:val="clear" w:pos="1060"/>
      </w:tabs>
    </w:pPr>
  </w:style>
  <w:style w:type="paragraph" w:customStyle="1" w:styleId="MarginNote">
    <w:name w:val="Margin Note"/>
    <w:basedOn w:val="BodyText"/>
    <w:rsid w:val="00021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492"/>
    <w:rPr>
      <w:sz w:val="32"/>
    </w:rPr>
  </w:style>
  <w:style w:type="paragraph" w:customStyle="1" w:styleId="HeadingProcedure">
    <w:name w:val="Heading Procedure"/>
    <w:basedOn w:val="HeadingBase"/>
    <w:next w:val="Normal"/>
    <w:rsid w:val="00021492"/>
    <w:pPr>
      <w:tabs>
        <w:tab w:val="left" w:pos="0"/>
      </w:tabs>
      <w:spacing w:before="120" w:after="60"/>
    </w:pPr>
    <w:rPr>
      <w:i/>
      <w:color w:val="918585"/>
      <w:sz w:val="22"/>
    </w:rPr>
  </w:style>
  <w:style w:type="paragraph" w:customStyle="1" w:styleId="TableBodyText">
    <w:name w:val="Table Body Text"/>
    <w:basedOn w:val="BodyText"/>
    <w:rsid w:val="00021492"/>
    <w:pPr>
      <w:spacing w:before="60" w:after="60"/>
    </w:pPr>
  </w:style>
  <w:style w:type="paragraph" w:styleId="ListContinue">
    <w:name w:val="List Continue"/>
    <w:basedOn w:val="List"/>
    <w:rsid w:val="00021492"/>
    <w:pPr>
      <w:ind w:firstLine="0"/>
    </w:pPr>
  </w:style>
  <w:style w:type="paragraph" w:customStyle="1" w:styleId="ListNote">
    <w:name w:val="List Note"/>
    <w:basedOn w:val="List"/>
    <w:rsid w:val="00021492"/>
    <w:pPr>
      <w:pBdr>
        <w:top w:val="single" w:sz="6" w:space="2" w:color="918585"/>
        <w:bottom w:val="single" w:sz="6" w:space="2" w:color="918585"/>
      </w:pBdr>
      <w:tabs>
        <w:tab w:val="left" w:pos="1021"/>
      </w:tabs>
      <w:ind w:firstLine="0"/>
    </w:pPr>
  </w:style>
  <w:style w:type="paragraph" w:customStyle="1" w:styleId="Warning">
    <w:name w:val="Warning"/>
    <w:basedOn w:val="BodyText"/>
    <w:rsid w:val="00021492"/>
    <w:pPr>
      <w:shd w:val="clear" w:color="auto" w:fill="D9D9D9"/>
      <w:tabs>
        <w:tab w:val="left" w:pos="992"/>
      </w:tabs>
      <w:ind w:left="119" w:right="119"/>
    </w:pPr>
    <w:rPr>
      <w:sz w:val="20"/>
    </w:rPr>
  </w:style>
  <w:style w:type="paragraph" w:customStyle="1" w:styleId="MarginIcons">
    <w:name w:val="Margin Icons"/>
    <w:basedOn w:val="BodyText"/>
    <w:rsid w:val="00021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492"/>
    <w:rPr>
      <w:rFonts w:ascii="Courier New" w:hAnsi="Courier New"/>
    </w:rPr>
  </w:style>
  <w:style w:type="paragraph" w:customStyle="1" w:styleId="NoteBullet">
    <w:name w:val="Note Bullet"/>
    <w:basedOn w:val="Note"/>
    <w:rsid w:val="00021492"/>
    <w:pPr>
      <w:tabs>
        <w:tab w:val="clear" w:pos="680"/>
      </w:tabs>
      <w:spacing w:before="60" w:after="60"/>
    </w:pPr>
  </w:style>
  <w:style w:type="paragraph" w:customStyle="1" w:styleId="SubHeading2">
    <w:name w:val="SubHeading2"/>
    <w:basedOn w:val="HeadingBase"/>
    <w:rsid w:val="00021492"/>
    <w:pPr>
      <w:spacing w:before="240" w:after="60"/>
    </w:pPr>
    <w:rPr>
      <w:sz w:val="20"/>
    </w:rPr>
  </w:style>
  <w:style w:type="paragraph" w:customStyle="1" w:styleId="SubHeading1">
    <w:name w:val="SubHeading1"/>
    <w:basedOn w:val="HeadingBase"/>
    <w:rsid w:val="00021492"/>
    <w:pPr>
      <w:spacing w:before="240" w:after="60"/>
    </w:pPr>
    <w:rPr>
      <w:color w:val="918585"/>
      <w:sz w:val="22"/>
    </w:rPr>
  </w:style>
  <w:style w:type="paragraph" w:customStyle="1" w:styleId="SideHeading">
    <w:name w:val="Side Heading"/>
    <w:basedOn w:val="HeadingBase"/>
    <w:rsid w:val="00021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492"/>
    <w:pPr>
      <w:tabs>
        <w:tab w:val="num" w:pos="360"/>
      </w:tabs>
    </w:pPr>
  </w:style>
  <w:style w:type="paragraph" w:styleId="PlainText">
    <w:name w:val="Plain Text"/>
    <w:basedOn w:val="Normal"/>
    <w:link w:val="PlainTextChar"/>
    <w:rsid w:val="00021492"/>
    <w:rPr>
      <w:sz w:val="20"/>
    </w:rPr>
  </w:style>
  <w:style w:type="character" w:customStyle="1" w:styleId="PlainTextChar">
    <w:name w:val="Plain Text Char"/>
    <w:basedOn w:val="DefaultParagraphFont"/>
    <w:link w:val="PlainText"/>
    <w:rsid w:val="00021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1492"/>
    <w:rPr>
      <w:b/>
      <w:smallCaps/>
    </w:rPr>
  </w:style>
  <w:style w:type="paragraph" w:customStyle="1" w:styleId="TableListNumber">
    <w:name w:val="Table List Number"/>
    <w:basedOn w:val="ListNumber"/>
    <w:rsid w:val="00021492"/>
    <w:pPr>
      <w:numPr>
        <w:numId w:val="0"/>
      </w:numPr>
    </w:pPr>
  </w:style>
  <w:style w:type="paragraph" w:styleId="TOC4">
    <w:name w:val="toc 4"/>
    <w:basedOn w:val="TOCBase"/>
    <w:next w:val="Normal"/>
    <w:semiHidden/>
    <w:rsid w:val="00021492"/>
    <w:pPr>
      <w:tabs>
        <w:tab w:val="right" w:leader="dot" w:pos="9071"/>
      </w:tabs>
      <w:ind w:left="1701"/>
    </w:pPr>
  </w:style>
  <w:style w:type="paragraph" w:customStyle="1" w:styleId="ListAlpha">
    <w:name w:val="List Alpha"/>
    <w:basedOn w:val="List"/>
    <w:rsid w:val="00021492"/>
    <w:pPr>
      <w:numPr>
        <w:numId w:val="8"/>
      </w:numPr>
    </w:pPr>
  </w:style>
  <w:style w:type="paragraph" w:customStyle="1" w:styleId="ListAlpha2">
    <w:name w:val="List Alpha 2"/>
    <w:basedOn w:val="List2"/>
    <w:rsid w:val="00021492"/>
    <w:pPr>
      <w:numPr>
        <w:numId w:val="7"/>
      </w:numPr>
    </w:pPr>
  </w:style>
  <w:style w:type="paragraph" w:styleId="List3">
    <w:name w:val="List 3"/>
    <w:basedOn w:val="BodyText"/>
    <w:rsid w:val="00021492"/>
    <w:pPr>
      <w:tabs>
        <w:tab w:val="left" w:pos="1021"/>
      </w:tabs>
      <w:spacing w:before="60" w:after="60"/>
      <w:ind w:left="1020" w:hanging="340"/>
    </w:pPr>
  </w:style>
  <w:style w:type="paragraph" w:styleId="List4">
    <w:name w:val="List 4"/>
    <w:basedOn w:val="BodyText"/>
    <w:rsid w:val="00021492"/>
    <w:pPr>
      <w:tabs>
        <w:tab w:val="left" w:pos="1361"/>
      </w:tabs>
      <w:spacing w:before="60" w:after="60"/>
      <w:ind w:left="1361" w:hanging="340"/>
    </w:pPr>
  </w:style>
  <w:style w:type="paragraph" w:styleId="List5">
    <w:name w:val="List 5"/>
    <w:basedOn w:val="BodyText"/>
    <w:rsid w:val="00021492"/>
    <w:pPr>
      <w:tabs>
        <w:tab w:val="left" w:pos="1701"/>
      </w:tabs>
      <w:spacing w:before="60" w:after="60"/>
      <w:ind w:left="1701" w:hanging="340"/>
    </w:pPr>
  </w:style>
  <w:style w:type="paragraph" w:styleId="ListBullet3">
    <w:name w:val="List Bullet 3"/>
    <w:basedOn w:val="List3"/>
    <w:rsid w:val="00021492"/>
    <w:pPr>
      <w:numPr>
        <w:numId w:val="14"/>
      </w:numPr>
      <w:tabs>
        <w:tab w:val="clear" w:pos="1021"/>
      </w:tabs>
      <w:ind w:left="1037" w:hanging="357"/>
    </w:pPr>
  </w:style>
  <w:style w:type="paragraph" w:styleId="ListBullet4">
    <w:name w:val="List Bullet 4"/>
    <w:basedOn w:val="List4"/>
    <w:rsid w:val="00021492"/>
    <w:pPr>
      <w:numPr>
        <w:numId w:val="2"/>
      </w:numPr>
    </w:pPr>
  </w:style>
  <w:style w:type="paragraph" w:styleId="ListBullet5">
    <w:name w:val="List Bullet 5"/>
    <w:basedOn w:val="List5"/>
    <w:rsid w:val="00021492"/>
    <w:pPr>
      <w:numPr>
        <w:numId w:val="3"/>
      </w:numPr>
    </w:pPr>
  </w:style>
  <w:style w:type="paragraph" w:styleId="ListContinue2">
    <w:name w:val="List Continue 2"/>
    <w:basedOn w:val="List2"/>
    <w:rsid w:val="00021492"/>
    <w:pPr>
      <w:ind w:firstLine="0"/>
    </w:pPr>
  </w:style>
  <w:style w:type="paragraph" w:styleId="ListContinue3">
    <w:name w:val="List Continue 3"/>
    <w:basedOn w:val="List3"/>
    <w:rsid w:val="00021492"/>
    <w:pPr>
      <w:ind w:left="1021" w:firstLine="0"/>
    </w:pPr>
  </w:style>
  <w:style w:type="paragraph" w:styleId="ListContinue4">
    <w:name w:val="List Continue 4"/>
    <w:basedOn w:val="List4"/>
    <w:rsid w:val="00021492"/>
    <w:pPr>
      <w:ind w:firstLine="0"/>
    </w:pPr>
  </w:style>
  <w:style w:type="paragraph" w:styleId="ListContinue5">
    <w:name w:val="List Continue 5"/>
    <w:basedOn w:val="List5"/>
    <w:rsid w:val="00021492"/>
    <w:pPr>
      <w:ind w:firstLine="0"/>
    </w:pPr>
  </w:style>
  <w:style w:type="paragraph" w:styleId="ListNumber3">
    <w:name w:val="List Number 3"/>
    <w:basedOn w:val="List3"/>
    <w:rsid w:val="00021492"/>
    <w:pPr>
      <w:numPr>
        <w:numId w:val="4"/>
      </w:numPr>
    </w:pPr>
  </w:style>
  <w:style w:type="paragraph" w:styleId="ListNumber4">
    <w:name w:val="List Number 4"/>
    <w:basedOn w:val="List4"/>
    <w:rsid w:val="00021492"/>
    <w:pPr>
      <w:numPr>
        <w:numId w:val="5"/>
      </w:numPr>
    </w:pPr>
  </w:style>
  <w:style w:type="paragraph" w:styleId="ListNumber5">
    <w:name w:val="List Number 5"/>
    <w:basedOn w:val="List5"/>
    <w:rsid w:val="00021492"/>
    <w:pPr>
      <w:numPr>
        <w:numId w:val="6"/>
      </w:numPr>
    </w:pPr>
  </w:style>
  <w:style w:type="paragraph" w:styleId="BlockText">
    <w:name w:val="Block Text"/>
    <w:basedOn w:val="Normal"/>
    <w:rsid w:val="00021492"/>
    <w:pPr>
      <w:spacing w:after="120"/>
      <w:ind w:left="1440" w:right="1440"/>
    </w:pPr>
  </w:style>
  <w:style w:type="character" w:customStyle="1" w:styleId="Subscript">
    <w:name w:val="Subscript"/>
    <w:basedOn w:val="DefaultParagraphFont"/>
    <w:rsid w:val="00021492"/>
    <w:rPr>
      <w:sz w:val="16"/>
      <w:vertAlign w:val="subscript"/>
    </w:rPr>
  </w:style>
  <w:style w:type="character" w:customStyle="1" w:styleId="Superscript">
    <w:name w:val="Superscript"/>
    <w:basedOn w:val="DefaultParagraphFont"/>
    <w:rsid w:val="00021492"/>
    <w:rPr>
      <w:sz w:val="16"/>
      <w:vertAlign w:val="superscript"/>
    </w:rPr>
  </w:style>
  <w:style w:type="character" w:customStyle="1" w:styleId="Symbols">
    <w:name w:val="Symbols"/>
    <w:basedOn w:val="DefaultParagraphFont"/>
    <w:rsid w:val="00021492"/>
    <w:rPr>
      <w:rFonts w:ascii="Symbol" w:hAnsi="Symbol"/>
    </w:rPr>
  </w:style>
  <w:style w:type="character" w:customStyle="1" w:styleId="MenuOptions">
    <w:name w:val="Menu Options"/>
    <w:basedOn w:val="DefaultParagraphFont"/>
    <w:rsid w:val="00021492"/>
    <w:rPr>
      <w:rFonts w:ascii="Arial Narrow" w:hAnsi="Arial Narrow"/>
      <w:smallCaps/>
    </w:rPr>
  </w:style>
  <w:style w:type="character" w:customStyle="1" w:styleId="Buttons">
    <w:name w:val="Buttons"/>
    <w:basedOn w:val="DefaultParagraphFont"/>
    <w:rsid w:val="00021492"/>
    <w:rPr>
      <w:b/>
    </w:rPr>
  </w:style>
  <w:style w:type="character" w:customStyle="1" w:styleId="Underlined">
    <w:name w:val="Underlined"/>
    <w:basedOn w:val="DefaultParagraphFont"/>
    <w:rsid w:val="00021492"/>
    <w:rPr>
      <w:u w:val="single"/>
    </w:rPr>
  </w:style>
  <w:style w:type="paragraph" w:customStyle="1" w:styleId="TableBodyTextRight">
    <w:name w:val="Table Body Text Right"/>
    <w:basedOn w:val="TableBodyText"/>
    <w:rsid w:val="00021492"/>
    <w:pPr>
      <w:widowControl w:val="0"/>
      <w:autoSpaceDE w:val="0"/>
      <w:autoSpaceDN w:val="0"/>
      <w:adjustRightInd w:val="0"/>
      <w:jc w:val="right"/>
    </w:pPr>
    <w:rPr>
      <w:rFonts w:cs="Arial"/>
      <w:szCs w:val="18"/>
    </w:rPr>
  </w:style>
  <w:style w:type="paragraph" w:customStyle="1" w:styleId="CopyrightText">
    <w:name w:val="Copyright Text"/>
    <w:basedOn w:val="BodyText"/>
    <w:rsid w:val="00021492"/>
    <w:rPr>
      <w:sz w:val="18"/>
    </w:rPr>
  </w:style>
  <w:style w:type="paragraph" w:customStyle="1" w:styleId="BodySmallRight">
    <w:name w:val="Body Small Right"/>
    <w:basedOn w:val="BodyTextRight"/>
    <w:rsid w:val="00021492"/>
    <w:rPr>
      <w:sz w:val="18"/>
      <w:szCs w:val="18"/>
    </w:rPr>
  </w:style>
  <w:style w:type="paragraph" w:customStyle="1" w:styleId="MarginEdition">
    <w:name w:val="Margin Edition"/>
    <w:basedOn w:val="MarginNote"/>
    <w:rsid w:val="00021492"/>
    <w:pPr>
      <w:spacing w:before="0" w:after="0"/>
    </w:pPr>
    <w:rPr>
      <w:rFonts w:ascii="Times New Roman" w:hAnsi="Times New Roman"/>
      <w:color w:val="999999"/>
    </w:rPr>
  </w:style>
  <w:style w:type="paragraph" w:customStyle="1" w:styleId="Spacer">
    <w:name w:val="Spacer"/>
    <w:basedOn w:val="Normal"/>
    <w:rsid w:val="00021492"/>
    <w:rPr>
      <w:sz w:val="2"/>
      <w:szCs w:val="2"/>
    </w:rPr>
  </w:style>
  <w:style w:type="character" w:customStyle="1" w:styleId="Small">
    <w:name w:val="Small"/>
    <w:basedOn w:val="DefaultParagraphFont"/>
    <w:rsid w:val="00021492"/>
    <w:rPr>
      <w:sz w:val="16"/>
    </w:rPr>
  </w:style>
  <w:style w:type="paragraph" w:customStyle="1" w:styleId="WideTable">
    <w:name w:val="Wide Table"/>
    <w:basedOn w:val="Normal"/>
    <w:rsid w:val="00021492"/>
    <w:pPr>
      <w:ind w:left="-1418"/>
    </w:pPr>
    <w:rPr>
      <w:sz w:val="2"/>
      <w:szCs w:val="2"/>
    </w:rPr>
  </w:style>
  <w:style w:type="character" w:styleId="PageNumber">
    <w:name w:val="page number"/>
    <w:basedOn w:val="DefaultParagraphFont"/>
    <w:rsid w:val="00021492"/>
  </w:style>
  <w:style w:type="paragraph" w:styleId="Quote">
    <w:name w:val="Quote"/>
    <w:basedOn w:val="Heading1"/>
    <w:link w:val="QuoteChar"/>
    <w:qFormat/>
    <w:rsid w:val="00021492"/>
    <w:rPr>
      <w:b w:val="0"/>
      <w:sz w:val="72"/>
      <w:szCs w:val="72"/>
      <w:lang w:val="en-NZ"/>
    </w:rPr>
  </w:style>
  <w:style w:type="character" w:customStyle="1" w:styleId="QuoteChar">
    <w:name w:val="Quote Char"/>
    <w:basedOn w:val="DefaultParagraphFont"/>
    <w:link w:val="Quote"/>
    <w:rsid w:val="00021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492"/>
    <w:pPr>
      <w:pageBreakBefore/>
    </w:pPr>
  </w:style>
  <w:style w:type="paragraph" w:customStyle="1" w:styleId="Border">
    <w:name w:val="Border"/>
    <w:basedOn w:val="Normal"/>
    <w:qFormat/>
    <w:rsid w:val="00021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492"/>
    <w:rPr>
      <w:b/>
      <w:bCs/>
      <w:i/>
      <w:iCs/>
      <w:color w:val="auto"/>
    </w:rPr>
  </w:style>
  <w:style w:type="paragraph" w:styleId="IntenseQuote">
    <w:name w:val="Intense Quote"/>
    <w:basedOn w:val="Normal"/>
    <w:next w:val="Normal"/>
    <w:link w:val="IntenseQuoteChar"/>
    <w:uiPriority w:val="30"/>
    <w:qFormat/>
    <w:rsid w:val="00021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1492"/>
    <w:rPr>
      <w:smallCaps/>
      <w:color w:val="auto"/>
      <w:u w:val="single"/>
    </w:rPr>
  </w:style>
  <w:style w:type="character" w:styleId="IntenseReference">
    <w:name w:val="Intense Reference"/>
    <w:basedOn w:val="DefaultParagraphFont"/>
    <w:uiPriority w:val="32"/>
    <w:qFormat/>
    <w:rsid w:val="00021492"/>
    <w:rPr>
      <w:b/>
      <w:bCs/>
      <w:smallCaps/>
      <w:color w:val="auto"/>
      <w:spacing w:val="5"/>
      <w:u w:val="single"/>
    </w:rPr>
  </w:style>
  <w:style w:type="paragraph" w:customStyle="1" w:styleId="2ColumnHeading">
    <w:name w:val="2Column Heading"/>
    <w:basedOn w:val="BodyText"/>
    <w:qFormat/>
    <w:rsid w:val="00021492"/>
    <w:pPr>
      <w:spacing w:after="60"/>
      <w:ind w:left="-2268"/>
    </w:pPr>
    <w:rPr>
      <w:b/>
    </w:rPr>
  </w:style>
  <w:style w:type="paragraph" w:customStyle="1" w:styleId="Heading1TOC">
    <w:name w:val="Heading1 TOC"/>
    <w:basedOn w:val="Normal"/>
    <w:qFormat/>
    <w:rsid w:val="00021492"/>
    <w:pPr>
      <w:spacing w:before="240" w:after="120"/>
    </w:pPr>
    <w:rPr>
      <w:rFonts w:ascii="Times New Roman" w:hAnsi="Times New Roman"/>
      <w:b/>
      <w:sz w:val="32"/>
    </w:rPr>
  </w:style>
  <w:style w:type="paragraph" w:customStyle="1" w:styleId="Heading2TOC">
    <w:name w:val="Heading2 TOC"/>
    <w:basedOn w:val="Normal"/>
    <w:qFormat/>
    <w:rsid w:val="00021492"/>
    <w:pPr>
      <w:spacing w:before="240" w:after="60"/>
    </w:pPr>
    <w:rPr>
      <w:rFonts w:ascii="Times New Roman" w:hAnsi="Times New Roman"/>
      <w:b/>
      <w:sz w:val="28"/>
    </w:rPr>
  </w:style>
  <w:style w:type="character" w:customStyle="1" w:styleId="Underline">
    <w:name w:val="Underline"/>
    <w:basedOn w:val="DefaultParagraphFont"/>
    <w:qFormat/>
    <w:rsid w:val="00021492"/>
    <w:rPr>
      <w:u w:val="single"/>
    </w:rPr>
  </w:style>
  <w:style w:type="character" w:customStyle="1" w:styleId="BoldandItalics">
    <w:name w:val="Bold and Italics"/>
    <w:qFormat/>
    <w:rsid w:val="00021492"/>
    <w:rPr>
      <w:b/>
      <w:i/>
      <w:u w:val="none"/>
    </w:rPr>
  </w:style>
  <w:style w:type="paragraph" w:styleId="BalloonText">
    <w:name w:val="Balloon Text"/>
    <w:basedOn w:val="Normal"/>
    <w:link w:val="BalloonTextChar"/>
    <w:rsid w:val="00021492"/>
    <w:rPr>
      <w:rFonts w:ascii="Tahoma" w:hAnsi="Tahoma" w:cs="Tahoma"/>
      <w:sz w:val="16"/>
      <w:szCs w:val="16"/>
    </w:rPr>
  </w:style>
  <w:style w:type="character" w:customStyle="1" w:styleId="BalloonTextChar">
    <w:name w:val="Balloon Text Char"/>
    <w:basedOn w:val="DefaultParagraphFont"/>
    <w:link w:val="BalloonText"/>
    <w:rsid w:val="00021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802</Words>
  <Characters>4968</Characters>
  <Application>Microsoft Office Word</Application>
  <DocSecurity>0</DocSecurity>
  <Lines>194</Lines>
  <Paragraphs>84</Paragraphs>
  <ScaleCrop>false</ScaleCrop>
  <Company>Author-it Software Corporation Ltd.</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MEM14002B Undertake basic process planning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