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67F" w:rsidP="0072267F">
      <w:pPr>
        <w:pStyle w:val="Title"/>
      </w:pPr>
      <w:bookmarkStart w:id="0" w:name="_GoBack"/>
      <w:bookmarkEnd w:id="0"/>
      <w:r>
        <w:fldChar w:fldCharType="begin"/>
      </w:r>
      <w:r>
        <w:instrText xml:space="preserve"> TITLE   \* MERGEFORMAT </w:instrText>
      </w:r>
      <w:r>
        <w:fldChar w:fldCharType="separate"/>
      </w:r>
      <w:r>
        <w:t>MEM13006B Collect and evaluate occupational health and safety data for an enterprise or section of an enterprise</w:t>
      </w:r>
      <w:r>
        <w:fldChar w:fldCharType="end"/>
      </w:r>
    </w:p>
    <w:p w:rsidR="0072267F" w:rsidP="0072267F">
      <w:pPr>
        <w:pStyle w:val="Version"/>
        <w:sectPr w:rsidSect="00162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701" w:rsidP="00162701">
      <w:pPr>
        <w:pStyle w:val="SuperHeading"/>
      </w:pPr>
      <w:r w:rsidRPr="00162701">
        <w:t>MEM13006B Collect and evaluate occupational health and safety data for an enterprise or section of an enterprise</w:t>
      </w:r>
    </w:p>
    <w:p w:rsidR="00000000" w:rsidRPr="00162701" w:rsidP="00162701">
      <w:pPr>
        <w:pStyle w:val="Heading1"/>
      </w:pPr>
      <w:bookmarkStart w:id="1" w:name="O_272171"/>
      <w:bookmarkEnd w:id="1"/>
      <w:r w:rsidRPr="00162701">
        <w:t>Modification History</w:t>
      </w:r>
    </w:p>
    <w:p w:rsidR="00000000" w:rsidRPr="00162701" w:rsidP="00162701">
      <w:pPr>
        <w:pStyle w:val="BodyText"/>
      </w:pPr>
      <w:r w:rsidRPr="00162701">
        <w:t>Not Applicable</w:t>
      </w:r>
    </w:p>
    <w:p w:rsidR="00000000" w:rsidRPr="00162701" w:rsidP="00162701">
      <w:pPr>
        <w:pStyle w:val="AllowPageBreak"/>
      </w:pPr>
    </w:p>
    <w:p w:rsidR="00000000" w:rsidRPr="00162701" w:rsidP="00162701">
      <w:pPr>
        <w:pStyle w:val="Heading1"/>
      </w:pPr>
      <w:bookmarkStart w:id="2" w:name="O_211635"/>
      <w:bookmarkEnd w:id="2"/>
      <w:r w:rsidRPr="00162701">
        <w:t>Unit Descriptor</w:t>
      </w:r>
    </w:p>
    <w:tbl>
      <w:tblPr>
        <w:tblW w:w="0" w:type="auto"/>
        <w:tblLayout w:type="fixed"/>
        <w:tblCellMar>
          <w:left w:w="62" w:type="dxa"/>
          <w:right w:w="62" w:type="dxa"/>
        </w:tblCellMar>
        <w:tblLook w:val="0000"/>
      </w:tblPr>
      <w:tblGrid>
        <w:gridCol w:w="2664"/>
        <w:gridCol w:w="5858"/>
      </w:tblGrid>
      <w:tr w:rsidTr="0072267F">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This unit covers carrying out standard OHS measurements, collecting and evaluating data, maintaining records and reporting hazards.</w:t>
            </w:r>
          </w:p>
        </w:tc>
      </w:tr>
    </w:tbl>
    <w:p w:rsidR="0072267F" w:rsidP="00162701">
      <w:pPr>
        <w:pStyle w:val="BodyText"/>
      </w:pPr>
    </w:p>
    <w:p w:rsidR="0072267F" w:rsidP="00162701">
      <w:pPr>
        <w:pStyle w:val="BodyText"/>
      </w:pPr>
    </w:p>
    <w:p w:rsidR="00000000" w:rsidRPr="00162701" w:rsidP="00162701">
      <w:pPr>
        <w:pStyle w:val="Heading1"/>
      </w:pPr>
      <w:bookmarkStart w:id="3" w:name="O_211639"/>
      <w:bookmarkEnd w:id="3"/>
      <w:r w:rsidRPr="00162701">
        <w:t>Application of the Unit</w:t>
      </w:r>
    </w:p>
    <w:tbl>
      <w:tblPr>
        <w:tblW w:w="0" w:type="auto"/>
        <w:tblLayout w:type="fixed"/>
        <w:tblCellMar>
          <w:left w:w="62" w:type="dxa"/>
          <w:right w:w="62" w:type="dxa"/>
        </w:tblCellMar>
        <w:tblLook w:val="0000"/>
      </w:tblPr>
      <w:tblGrid>
        <w:gridCol w:w="2745"/>
        <w:gridCol w:w="5777"/>
      </w:tblGrid>
      <w:tr w:rsidTr="0072267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This unit applies to the taking of routine OHS measurements. Data collected would typically relate to factors associated with temperature, noise (noise meter), dust (draeger tubes).</w:t>
            </w:r>
          </w:p>
          <w:p w:rsidR="00000000" w:rsidRPr="00162701" w:rsidP="00162701">
            <w:pPr>
              <w:pStyle w:val="BodyText"/>
            </w:pPr>
            <w:r w:rsidRPr="00162701">
              <w:t>This unit should not also be selected where Unit MEM15010B (Perform labora</w:t>
            </w:r>
            <w:r w:rsidRPr="00162701">
              <w:t>tory procedures) has been selected.</w:t>
            </w:r>
          </w:p>
          <w:p w:rsidR="00000000" w:rsidRPr="00162701" w:rsidP="00162701">
            <w:pPr>
              <w:pStyle w:val="BodyText"/>
            </w:pPr>
            <w:r w:rsidRPr="00162701">
              <w:t>Where complex procedures or complex analysis are required, the services of an occupational health and safety (OHS) hygienist should be accessed.</w:t>
            </w:r>
          </w:p>
          <w:p w:rsidR="00000000" w:rsidRPr="00162701" w:rsidP="00162701">
            <w:pPr>
              <w:pStyle w:val="BodyText"/>
            </w:pPr>
          </w:p>
          <w:p w:rsidR="00000000" w:rsidRPr="00162701" w:rsidP="00162701">
            <w:pPr>
              <w:pStyle w:val="BodyText"/>
            </w:pPr>
            <w:r w:rsidRPr="00162701">
              <w:rPr>
                <w:rStyle w:val="SpecialBold"/>
              </w:rPr>
              <w:t>Band</w:t>
            </w:r>
            <w:r w:rsidRPr="00162701">
              <w:t>:</w:t>
            </w:r>
            <w:r w:rsidRPr="00162701">
              <w:tab/>
            </w:r>
            <w:r w:rsidRPr="00162701">
              <w:rPr>
                <w:rStyle w:val="SpecialBold"/>
              </w:rPr>
              <w:t>A</w:t>
            </w:r>
          </w:p>
          <w:p w:rsidR="00000000" w:rsidRPr="00162701" w:rsidP="00162701">
            <w:pPr>
              <w:pStyle w:val="BodyText"/>
            </w:pPr>
            <w:r w:rsidRPr="00162701">
              <w:rPr>
                <w:rStyle w:val="SpecialBold"/>
              </w:rPr>
              <w:t>Unit Weight</w:t>
            </w:r>
            <w:r w:rsidRPr="00162701">
              <w:t>:</w:t>
            </w:r>
            <w:r w:rsidRPr="00162701">
              <w:tab/>
            </w:r>
            <w:r w:rsidRPr="00162701">
              <w:rPr>
                <w:rStyle w:val="SpecialBold"/>
              </w:rPr>
              <w:t>4</w:t>
            </w:r>
          </w:p>
        </w:tc>
      </w:tr>
    </w:tbl>
    <w:p w:rsidR="0072267F" w:rsidP="00162701">
      <w:pPr>
        <w:pStyle w:val="BodyText"/>
      </w:pPr>
    </w:p>
    <w:p w:rsidR="0072267F" w:rsidP="00162701">
      <w:pPr>
        <w:pStyle w:val="BodyText"/>
      </w:pPr>
    </w:p>
    <w:p w:rsidR="00000000" w:rsidRPr="00162701" w:rsidP="00162701">
      <w:pPr>
        <w:pStyle w:val="Heading1"/>
      </w:pPr>
      <w:bookmarkStart w:id="4" w:name="O_280431"/>
      <w:bookmarkEnd w:id="4"/>
      <w:r w:rsidRPr="00162701">
        <w:t>Li</w:t>
      </w:r>
      <w:r w:rsidRPr="00162701">
        <w:t>censing/Regulatory Information</w:t>
      </w:r>
    </w:p>
    <w:p w:rsidR="00000000" w:rsidRPr="00162701" w:rsidP="00162701">
      <w:pPr>
        <w:pStyle w:val="BodyText"/>
      </w:pPr>
      <w:r w:rsidRPr="00162701">
        <w:t>Not Applicable</w:t>
      </w:r>
    </w:p>
    <w:p w:rsidR="00000000" w:rsidRPr="00162701" w:rsidP="00162701">
      <w:pPr>
        <w:pStyle w:val="AllowPageBreak"/>
      </w:pPr>
    </w:p>
    <w:p w:rsidR="00000000" w:rsidRPr="00162701" w:rsidP="00162701">
      <w:pPr>
        <w:pStyle w:val="Heading1"/>
      </w:pPr>
      <w:bookmarkStart w:id="5" w:name="O_211637"/>
      <w:bookmarkEnd w:id="5"/>
      <w:r w:rsidRPr="00162701">
        <w:t>Pre-Requisites</w:t>
      </w:r>
    </w:p>
    <w:tbl>
      <w:tblPr>
        <w:tblW w:w="0" w:type="auto"/>
        <w:tblLayout w:type="fixed"/>
        <w:tblCellMar>
          <w:left w:w="62" w:type="dxa"/>
          <w:right w:w="62" w:type="dxa"/>
        </w:tblCellMar>
        <w:tblLook w:val="0000"/>
      </w:tblPr>
      <w:tblGrid>
        <w:gridCol w:w="2775"/>
        <w:gridCol w:w="1295"/>
        <w:gridCol w:w="4452"/>
      </w:tblGrid>
      <w:tr w:rsidTr="007226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p>
        </w:tc>
      </w:tr>
      <w:tr w:rsidTr="007226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p>
        </w:tc>
      </w:tr>
      <w:tr w:rsidTr="007226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p>
        </w:tc>
      </w:tr>
    </w:tbl>
    <w:p w:rsidR="0072267F" w:rsidP="00162701">
      <w:pPr>
        <w:pStyle w:val="BodyText"/>
      </w:pPr>
    </w:p>
    <w:p w:rsidR="0072267F" w:rsidP="00162701">
      <w:pPr>
        <w:pStyle w:val="BodyText"/>
      </w:pPr>
    </w:p>
    <w:p w:rsidR="00000000" w:rsidRPr="00162701" w:rsidP="00162701">
      <w:pPr>
        <w:pStyle w:val="Heading1"/>
      </w:pPr>
      <w:bookmarkStart w:id="6" w:name="O_211636"/>
      <w:bookmarkEnd w:id="6"/>
      <w:r w:rsidRPr="00162701">
        <w:t>Employability Skills Information</w:t>
      </w:r>
    </w:p>
    <w:tbl>
      <w:tblPr>
        <w:tblW w:w="0" w:type="auto"/>
        <w:tblLayout w:type="fixed"/>
        <w:tblCellMar>
          <w:left w:w="62" w:type="dxa"/>
          <w:right w:w="62" w:type="dxa"/>
        </w:tblCellMar>
        <w:tblLook w:val="0000"/>
      </w:tblPr>
      <w:tblGrid>
        <w:gridCol w:w="2802"/>
        <w:gridCol w:w="5720"/>
      </w:tblGrid>
      <w:tr w:rsidTr="007226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This unit contains employability skills.</w:t>
            </w:r>
          </w:p>
        </w:tc>
      </w:tr>
    </w:tbl>
    <w:p w:rsidR="0072267F" w:rsidP="00162701">
      <w:pPr>
        <w:pStyle w:val="BodyText"/>
      </w:pPr>
    </w:p>
    <w:p w:rsidR="0072267F" w:rsidP="00162701">
      <w:pPr>
        <w:pStyle w:val="BodyText"/>
      </w:pPr>
    </w:p>
    <w:p w:rsidR="00000000" w:rsidRPr="00162701" w:rsidP="00162701">
      <w:pPr>
        <w:pStyle w:val="Heading1"/>
      </w:pPr>
      <w:bookmarkStart w:id="7" w:name="O_290217"/>
      <w:bookmarkEnd w:id="7"/>
      <w:r w:rsidRPr="00162701">
        <w:t>Elements and Performance Criteria Pre-Content</w:t>
      </w:r>
    </w:p>
    <w:tbl>
      <w:tblPr>
        <w:tblW w:w="0" w:type="auto"/>
        <w:tblLayout w:type="fixed"/>
        <w:tblCellMar>
          <w:left w:w="62" w:type="dxa"/>
          <w:right w:w="62" w:type="dxa"/>
        </w:tblCellMar>
        <w:tblLook w:val="0000"/>
      </w:tblPr>
      <w:tblGrid>
        <w:gridCol w:w="2584"/>
        <w:gridCol w:w="5938"/>
      </w:tblGrid>
      <w:tr w:rsidTr="0072267F">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Performance criteria describe the performance needed to demonstrate achievement of the element. Where bold italicised text is used, further info</w:t>
            </w:r>
            <w:r w:rsidRPr="00162701">
              <w:t>rmation is detailed in the required skills and knowledge section and the range statement. Assessment of performance is to be consistent with the evidence guide.</w:t>
            </w:r>
          </w:p>
        </w:tc>
      </w:tr>
    </w:tbl>
    <w:p w:rsidR="00000000" w:rsidRPr="00162701" w:rsidP="00162701">
      <w:pPr>
        <w:pStyle w:val="BodyText"/>
      </w:pPr>
    </w:p>
    <w:p w:rsidR="00000000" w:rsidRPr="00162701" w:rsidP="00162701">
      <w:pPr>
        <w:pStyle w:val="AllowPageBreak"/>
      </w:pPr>
    </w:p>
    <w:p w:rsidR="00000000" w:rsidRPr="00162701" w:rsidP="00162701">
      <w:pPr>
        <w:pStyle w:val="Heading1"/>
      </w:pPr>
      <w:bookmarkStart w:id="8" w:name="O_236884"/>
      <w:bookmarkEnd w:id="8"/>
      <w:r w:rsidRPr="00162701">
        <w:t>Elements and Performance Criteria</w:t>
      </w:r>
    </w:p>
    <w:tbl>
      <w:tblPr>
        <w:tblW w:w="0" w:type="auto"/>
        <w:tblLayout w:type="fixed"/>
        <w:tblCellMar>
          <w:left w:w="62" w:type="dxa"/>
          <w:right w:w="62" w:type="dxa"/>
        </w:tblCellMar>
        <w:tblLook w:val="0000"/>
      </w:tblPr>
      <w:tblGrid>
        <w:gridCol w:w="2584"/>
        <w:gridCol w:w="5938"/>
      </w:tblGrid>
      <w:tr w:rsidTr="0072267F">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PERFORMANCE CRITERIA</w:t>
            </w:r>
          </w:p>
        </w:tc>
      </w:tr>
      <w:tr w:rsidTr="0072267F">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
              <w:rPr>
                <w:lang w:val="en-NZ"/>
              </w:rPr>
            </w:pPr>
            <w:r w:rsidRPr="00162701">
              <w:t>1.</w:t>
            </w:r>
            <w:r w:rsidRPr="00162701">
              <w:tab/>
            </w:r>
            <w:r w:rsidRPr="00162701">
              <w:t>Carry out standard OHS measurement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2"/>
              <w:rPr>
                <w:lang w:val="en-NZ"/>
              </w:rPr>
            </w:pPr>
            <w:r w:rsidRPr="00162701">
              <w:t>1.1.</w:t>
            </w:r>
            <w:r w:rsidRPr="00162701">
              <w:tab/>
              <w:t>Data is collected using standard equipment in accordance with manufacturers' specifications.</w:t>
            </w:r>
          </w:p>
        </w:tc>
      </w:tr>
      <w:tr w:rsidTr="0072267F">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
              <w:rPr>
                <w:lang w:val="en-NZ"/>
              </w:rPr>
            </w:pPr>
            <w:r w:rsidRPr="00162701">
              <w:t>2.</w:t>
            </w:r>
            <w:r w:rsidRPr="00162701">
              <w:tab/>
              <w:t>Evaluate data</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2"/>
              <w:rPr>
                <w:lang w:val="en-NZ"/>
              </w:rPr>
            </w:pPr>
            <w:r w:rsidRPr="00162701">
              <w:t>2.1.</w:t>
            </w:r>
            <w:r w:rsidRPr="00162701">
              <w:tab/>
              <w:t>Data from measurements taken is evaluated to identify non-conformance with OHS standards.</w:t>
            </w:r>
          </w:p>
        </w:tc>
      </w:tr>
      <w:tr w:rsidTr="0072267F">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
              <w:rPr>
                <w:lang w:val="en-NZ"/>
              </w:rPr>
            </w:pPr>
            <w:r w:rsidRPr="00162701">
              <w:t>3.</w:t>
            </w:r>
            <w:r w:rsidRPr="00162701">
              <w:tab/>
            </w:r>
            <w:r w:rsidRPr="00162701">
              <w:t xml:space="preserve">Report outcomes of data evaluation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List2"/>
            </w:pPr>
            <w:r w:rsidRPr="00162701">
              <w:t>3.1.</w:t>
            </w:r>
            <w:r w:rsidRPr="00162701">
              <w:tab/>
              <w:t>Results requiring remedial action are reported to appropriate personnel using standard operating procedures.</w:t>
            </w:r>
          </w:p>
          <w:p w:rsidR="00000000" w:rsidRPr="00162701" w:rsidP="00162701">
            <w:pPr>
              <w:pStyle w:val="List2"/>
            </w:pPr>
            <w:r w:rsidRPr="00162701">
              <w:t>3.2.</w:t>
            </w:r>
            <w:r w:rsidRPr="00162701">
              <w:tab/>
              <w:t>Reports are prepared correctly to detail data findings.</w:t>
            </w:r>
          </w:p>
          <w:p w:rsidR="00000000" w:rsidP="00162701">
            <w:pPr>
              <w:pStyle w:val="List2"/>
              <w:rPr>
                <w:lang w:val="en-NZ"/>
              </w:rPr>
            </w:pPr>
            <w:r w:rsidRPr="00162701">
              <w:t>3.3.</w:t>
            </w:r>
            <w:r w:rsidRPr="00162701">
              <w:tab/>
              <w:t>Non-compliances and non-conformances are</w:t>
            </w:r>
            <w:r w:rsidRPr="00162701">
              <w:t xml:space="preserve"> reported and recorded.</w:t>
            </w:r>
          </w:p>
        </w:tc>
      </w:tr>
      <w:tr w:rsidTr="0072267F">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List"/>
              <w:rPr>
                <w:lang w:val="en-NZ"/>
              </w:rPr>
            </w:pPr>
            <w:r w:rsidRPr="00162701">
              <w:t>4.</w:t>
            </w:r>
            <w:r w:rsidRPr="00162701">
              <w:tab/>
              <w:t>Maintain records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List2"/>
            </w:pPr>
            <w:r w:rsidRPr="00162701">
              <w:t>4.1.</w:t>
            </w:r>
            <w:r w:rsidRPr="00162701">
              <w:tab/>
              <w:t>Records are maintained in accordance with standard operating procedures.</w:t>
            </w:r>
          </w:p>
        </w:tc>
      </w:tr>
    </w:tbl>
    <w:p w:rsidR="0072267F" w:rsidP="00162701">
      <w:pPr>
        <w:pStyle w:val="BodyText"/>
      </w:pPr>
    </w:p>
    <w:p w:rsidR="0072267F" w:rsidP="00162701">
      <w:pPr>
        <w:pStyle w:val="BodyText"/>
      </w:pPr>
    </w:p>
    <w:p w:rsidR="00000000" w:rsidRPr="00162701" w:rsidP="00162701">
      <w:pPr>
        <w:pStyle w:val="Heading1"/>
      </w:pPr>
      <w:bookmarkStart w:id="9" w:name="O_260834"/>
      <w:bookmarkEnd w:id="9"/>
      <w:r w:rsidRPr="00162701">
        <w:t>Required Skills and Knowledge</w:t>
      </w:r>
    </w:p>
    <w:tbl>
      <w:tblPr>
        <w:tblW w:w="0" w:type="auto"/>
        <w:tblLayout w:type="fixed"/>
        <w:tblCellMar>
          <w:left w:w="62" w:type="dxa"/>
          <w:right w:w="62" w:type="dxa"/>
        </w:tblCellMar>
        <w:tblLook w:val="0000"/>
      </w:tblPr>
      <w:tblGrid>
        <w:gridCol w:w="8522"/>
      </w:tblGrid>
      <w:tr w:rsidTr="007226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REQUIRED SKILLS AND KNOWLEDGE</w:t>
            </w:r>
          </w:p>
        </w:tc>
      </w:tr>
      <w:tr w:rsidTr="007226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This section describes the skills and knowledge required for this unit.</w:t>
            </w:r>
          </w:p>
        </w:tc>
      </w:tr>
      <w:tr w:rsidTr="00722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Required skills</w:t>
            </w:r>
          </w:p>
        </w:tc>
      </w:tr>
      <w:tr w:rsidTr="00722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Look for evidence that confirms skills in:</w:t>
            </w:r>
          </w:p>
          <w:p w:rsidR="00000000" w:rsidRPr="00162701" w:rsidP="00162701">
            <w:pPr>
              <w:pStyle w:val="ListBullet"/>
            </w:pPr>
            <w:r w:rsidRPr="00162701">
              <w:t>reading, interpreting and following information on written job instructions, specifications, standard operating procedures, charts, lists, drawings, data and other applicable reference documents</w:t>
            </w:r>
          </w:p>
          <w:p w:rsidR="00000000" w:rsidRPr="00162701" w:rsidP="00162701">
            <w:pPr>
              <w:pStyle w:val="ListBullet"/>
            </w:pPr>
            <w:r w:rsidRPr="00162701">
              <w:t>planning and sequencing operations</w:t>
            </w:r>
          </w:p>
          <w:p w:rsidR="00000000" w:rsidRPr="00162701" w:rsidP="00162701">
            <w:pPr>
              <w:pStyle w:val="ListBullet"/>
            </w:pPr>
            <w:r w:rsidRPr="00162701">
              <w:t>checking and clarifying ta</w:t>
            </w:r>
            <w:r w:rsidRPr="00162701">
              <w:t>sk-related information</w:t>
            </w:r>
          </w:p>
          <w:p w:rsidR="00000000" w:rsidRPr="00162701" w:rsidP="00162701">
            <w:pPr>
              <w:pStyle w:val="ListBullet"/>
            </w:pPr>
            <w:r w:rsidRPr="00162701">
              <w:t>preparing reports</w:t>
            </w:r>
          </w:p>
          <w:p w:rsidR="00000000" w:rsidRPr="00162701" w:rsidP="00162701">
            <w:pPr>
              <w:pStyle w:val="ListBullet"/>
            </w:pPr>
            <w:r w:rsidRPr="00162701">
              <w:t>checking conformance to specifications</w:t>
            </w:r>
          </w:p>
          <w:p w:rsidR="00000000" w:rsidRPr="00162701" w:rsidP="00162701">
            <w:pPr>
              <w:pStyle w:val="ListBullet"/>
            </w:pPr>
            <w:r w:rsidRPr="00162701">
              <w:t>using calculations and numerical operations within the scope of this unit</w:t>
            </w:r>
          </w:p>
          <w:p w:rsidR="00000000" w:rsidRPr="00162701" w:rsidP="00162701">
            <w:pPr>
              <w:pStyle w:val="ListBullet"/>
            </w:pPr>
            <w:r w:rsidRPr="00162701">
              <w:t>taking and recording required measurements in accordance with manufacturers' specifications and standa</w:t>
            </w:r>
            <w:r w:rsidRPr="00162701">
              <w:t>rd operating procedures</w:t>
            </w:r>
          </w:p>
          <w:p w:rsidR="00000000" w:rsidRPr="00162701" w:rsidP="00162701">
            <w:pPr>
              <w:pStyle w:val="ListBullet"/>
            </w:pPr>
            <w:r w:rsidRPr="00162701">
              <w:t>maintaining records of the OHS factors monitored in accordance with standard operating procedures</w:t>
            </w:r>
          </w:p>
          <w:p w:rsidR="00000000" w:rsidP="00162701">
            <w:pPr>
              <w:pStyle w:val="ListBullet"/>
              <w:rPr>
                <w:lang w:val="en-NZ"/>
              </w:rPr>
            </w:pPr>
            <w:r w:rsidRPr="00162701">
              <w:t>detecting and reporting hazards in accordance with standard operating procedures</w:t>
            </w:r>
          </w:p>
        </w:tc>
      </w:tr>
      <w:tr w:rsidTr="00722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Required knowledge</w:t>
            </w:r>
          </w:p>
        </w:tc>
      </w:tr>
      <w:tr w:rsidTr="007226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Look for evidence that confirms knowledge of:</w:t>
            </w:r>
          </w:p>
          <w:p w:rsidR="00000000" w:rsidRPr="00162701" w:rsidP="00162701">
            <w:pPr>
              <w:pStyle w:val="ListBullet"/>
            </w:pPr>
            <w:r w:rsidRPr="00162701">
              <w:t xml:space="preserve">the measurements to be taken and recorded </w:t>
            </w:r>
          </w:p>
          <w:p w:rsidR="00000000" w:rsidRPr="00162701" w:rsidP="00162701">
            <w:pPr>
              <w:pStyle w:val="ListBullet"/>
            </w:pPr>
            <w:r w:rsidRPr="00162701">
              <w:t xml:space="preserve">the procedures for taking each type of measurement </w:t>
            </w:r>
          </w:p>
          <w:p w:rsidR="00000000" w:rsidRPr="00162701" w:rsidP="00162701">
            <w:pPr>
              <w:pStyle w:val="ListBullet"/>
            </w:pPr>
            <w:r w:rsidRPr="00162701">
              <w:t>the tools, techniques and equipment required to carry out the measurements</w:t>
            </w:r>
          </w:p>
          <w:p w:rsidR="00000000" w:rsidRPr="00162701" w:rsidP="00162701">
            <w:pPr>
              <w:pStyle w:val="ListBullet"/>
            </w:pPr>
            <w:r w:rsidRPr="00162701">
              <w:t xml:space="preserve">the OHS standards for each factor being </w:t>
            </w:r>
            <w:r w:rsidRPr="00162701">
              <w:t xml:space="preserve">measured </w:t>
            </w:r>
          </w:p>
          <w:p w:rsidR="00000000" w:rsidRPr="00162701" w:rsidP="00162701">
            <w:pPr>
              <w:pStyle w:val="ListBullet"/>
            </w:pPr>
            <w:r w:rsidRPr="00162701">
              <w:t xml:space="preserve">variations between the data collected and the appropriate OHS standard </w:t>
            </w:r>
          </w:p>
          <w:p w:rsidR="00000000" w:rsidRPr="00162701" w:rsidP="00162701">
            <w:pPr>
              <w:pStyle w:val="ListBullet"/>
            </w:pPr>
            <w:r w:rsidRPr="00162701">
              <w:t xml:space="preserve">probable causes of the variation of the data collected from the OHS standard </w:t>
            </w:r>
          </w:p>
          <w:p w:rsidR="00000000" w:rsidRPr="00162701" w:rsidP="00162701">
            <w:pPr>
              <w:pStyle w:val="ListBullet"/>
            </w:pPr>
            <w:r w:rsidRPr="00162701">
              <w:t>the procedures for maintaining records of OHS factors measured</w:t>
            </w:r>
          </w:p>
          <w:p w:rsidR="00000000" w:rsidRPr="00162701" w:rsidP="00162701">
            <w:pPr>
              <w:pStyle w:val="ListBullet"/>
            </w:pPr>
            <w:r w:rsidRPr="00162701">
              <w:t>the procedures for reporting haza</w:t>
            </w:r>
            <w:r w:rsidRPr="00162701">
              <w:t>rds</w:t>
            </w:r>
          </w:p>
          <w:p w:rsidR="00000000" w:rsidRPr="00162701" w:rsidP="00162701">
            <w:pPr>
              <w:pStyle w:val="ListBullet"/>
            </w:pPr>
            <w:r w:rsidRPr="00162701">
              <w:t>the authority to whom hazards are to be reported</w:t>
            </w:r>
          </w:p>
          <w:p w:rsidR="00000000" w:rsidRPr="00162701" w:rsidP="00162701">
            <w:pPr>
              <w:pStyle w:val="ListBullet"/>
            </w:pPr>
            <w:r w:rsidRPr="00162701">
              <w:t>hazards and control measures associated with collecting and evaluating occupational health and safety data for an enterprise or section of an enterprise, including housekeeping</w:t>
            </w:r>
          </w:p>
          <w:p w:rsidR="00000000" w:rsidRPr="00162701" w:rsidP="00162701">
            <w:pPr>
              <w:pStyle w:val="ListBullet"/>
            </w:pPr>
            <w:r w:rsidRPr="00162701">
              <w:t>safe work practices and pr</w:t>
            </w:r>
            <w:r w:rsidRPr="00162701">
              <w:t>ocedures</w:t>
            </w:r>
          </w:p>
        </w:tc>
      </w:tr>
    </w:tbl>
    <w:p w:rsidR="0072267F" w:rsidP="00162701">
      <w:pPr>
        <w:pStyle w:val="BodyText"/>
      </w:pPr>
    </w:p>
    <w:p w:rsidR="0072267F" w:rsidP="00162701">
      <w:pPr>
        <w:pStyle w:val="BodyText"/>
      </w:pPr>
    </w:p>
    <w:p w:rsidR="00000000" w:rsidRPr="00162701" w:rsidP="00162701">
      <w:pPr>
        <w:pStyle w:val="AllowPageBreak"/>
      </w:pPr>
    </w:p>
    <w:p w:rsidR="00000000" w:rsidRPr="00162701" w:rsidP="00162701">
      <w:pPr>
        <w:pStyle w:val="Heading1"/>
      </w:pPr>
      <w:bookmarkStart w:id="10" w:name="O_244868"/>
      <w:bookmarkEnd w:id="10"/>
      <w:r w:rsidRPr="00162701">
        <w:t>Evidence Guide</w:t>
      </w:r>
    </w:p>
    <w:tbl>
      <w:tblPr>
        <w:tblW w:w="9570" w:type="dxa"/>
        <w:tblLayout w:type="fixed"/>
        <w:tblCellMar>
          <w:left w:w="62" w:type="dxa"/>
          <w:right w:w="62" w:type="dxa"/>
        </w:tblCellMar>
        <w:tblLook w:val="0000"/>
      </w:tblPr>
      <w:tblGrid>
        <w:gridCol w:w="3908"/>
        <w:gridCol w:w="5662"/>
      </w:tblGrid>
      <w:tr w:rsidTr="007226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EVIDENCE GUIDE</w:t>
            </w:r>
          </w:p>
        </w:tc>
      </w:tr>
      <w:tr w:rsidTr="007226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 xml:space="preserve">The evidence guide provides advice on assessment and must be read in conjunction with the performance criteria, required skills and knowledge, </w:t>
            </w:r>
            <w:r w:rsidRPr="00162701">
              <w:t>range statement and the Assessment Guidelines for the Training Package.</w:t>
            </w:r>
          </w:p>
        </w:tc>
      </w:tr>
      <w:tr w:rsidTr="00722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 xml:space="preserve">A person who demonstrates competency in this unit must be able to collect and evaluate occupational health and safety data for an enterprise </w:t>
            </w:r>
            <w:r w:rsidRPr="00162701">
              <w:t xml:space="preserve">or section of an enterprise. </w:t>
            </w:r>
          </w:p>
        </w:tc>
      </w:tr>
      <w:tr w:rsidTr="00722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Assessors must be satisfied that the candidate can competently and consistently perform all elements of the unit as specified by the</w:t>
            </w:r>
            <w:r w:rsidRPr="00162701">
              <w:t xml:space="preserve"> criteria, including required knowledge, and be capable of applying the competency in new and different situations and contexts.</w:t>
            </w:r>
          </w:p>
        </w:tc>
      </w:tr>
      <w:tr w:rsidTr="00722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This unit may be assessed on the job, off the job or a combination of both on</w:t>
            </w:r>
            <w:r w:rsidRPr="00162701">
              <w:t xml:space="preserve"> and off the job. Where assessment occurs off the job, that is the candidate is not in productive work, then an appropriate simulation must be used where the range of conditions reflects realistic workplace situations. The competencies covered by this unit</w:t>
            </w:r>
            <w:r w:rsidRPr="00162701">
              <w:t xml:space="preserve"> would be demonstrated by an individual working alone or as part of a team. The assessment environment should not disadvantage the candidate.</w:t>
            </w:r>
          </w:p>
          <w:p w:rsidR="00000000" w:rsidP="00162701">
            <w:pPr>
              <w:pStyle w:val="BodyText"/>
              <w:rPr>
                <w:lang w:val="en-NZ"/>
              </w:rPr>
            </w:pPr>
            <w:r w:rsidRPr="00162701">
              <w:t>This unit could be assessed in conjunction with any other units addressing the safety, quality, communication, mat</w:t>
            </w:r>
            <w:r w:rsidRPr="00162701">
              <w:t>erials handling, recording and reporting associated with collecting and evaluating occupational health and safety data for an enterprise or section of an enterprise or other units requiring the exercise of the skills and knowledge covered by this unit.</w:t>
            </w:r>
          </w:p>
        </w:tc>
      </w:tr>
      <w:tr w:rsidTr="00722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Me</w:t>
            </w:r>
            <w:r w:rsidRPr="00162701">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Assessors should gather a range of evidence that is valid, sufficient, current and authentic. Evidence can be gathered through a variety of ways including direct observation, supervisor's reports, project work, samples and questioning. Q</w:t>
            </w:r>
            <w:r w:rsidRPr="00162701">
              <w:t xml:space="preserve">uestioning should not require language, literacy and numeracy skills beyond those required in this unit. The candidate must have access to all tools, equipment, materials and documentation required. The candidate must be permitted to refer to any relevant </w:t>
            </w:r>
            <w:r w:rsidRPr="00162701">
              <w:t>workplace procedures, product and manufacturing specifications, codes, standards, manuals and reference materials.</w:t>
            </w:r>
          </w:p>
        </w:tc>
      </w:tr>
      <w:tr w:rsidTr="007226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p>
        </w:tc>
      </w:tr>
    </w:tbl>
    <w:p w:rsidR="0072267F" w:rsidP="00162701">
      <w:pPr>
        <w:pStyle w:val="BodyText"/>
      </w:pPr>
    </w:p>
    <w:p w:rsidR="0072267F" w:rsidP="00162701">
      <w:pPr>
        <w:pStyle w:val="BodyText"/>
      </w:pPr>
    </w:p>
    <w:p w:rsidR="00000000" w:rsidRPr="00162701" w:rsidP="00162701">
      <w:pPr>
        <w:pStyle w:val="Heading1"/>
      </w:pPr>
      <w:bookmarkStart w:id="11" w:name="O_252851"/>
      <w:bookmarkEnd w:id="11"/>
      <w:r w:rsidRPr="00162701">
        <w:t>Range Statement</w:t>
      </w:r>
    </w:p>
    <w:tbl>
      <w:tblPr>
        <w:tblW w:w="0" w:type="auto"/>
        <w:tblLayout w:type="fixed"/>
        <w:tblCellMar>
          <w:left w:w="62" w:type="dxa"/>
          <w:right w:w="62" w:type="dxa"/>
        </w:tblCellMar>
        <w:tblLook w:val="0000"/>
      </w:tblPr>
      <w:tblGrid>
        <w:gridCol w:w="3453"/>
        <w:gridCol w:w="5069"/>
      </w:tblGrid>
      <w:tr w:rsidTr="007226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RANGE STATEMENT</w:t>
            </w:r>
          </w:p>
        </w:tc>
      </w:tr>
      <w:tr w:rsidTr="007226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t>The range statement relates to the unit of competency as a whole. It allows for different work environments and situations that may affect performance. Bold italicised wording, if used in the performance criteria, is detailed below. Essential operating con</w:t>
            </w:r>
            <w:r w:rsidRPr="00162701">
              <w:t>ditions that may be present with training and assessment (depending on the work situation, needs of the candidate, accessibility of the item, and local industry and regional contexts) may also be included.</w:t>
            </w:r>
          </w:p>
        </w:tc>
      </w:tr>
      <w:tr w:rsidTr="0072267F">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Data</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Factors associated with temperature, noise (noise meter), dust (draeger tubes)</w:t>
            </w:r>
          </w:p>
        </w:tc>
      </w:tr>
    </w:tbl>
    <w:p w:rsidR="0072267F" w:rsidP="00162701">
      <w:pPr>
        <w:pStyle w:val="BodyText"/>
      </w:pPr>
    </w:p>
    <w:p w:rsidR="0072267F" w:rsidP="00162701">
      <w:pPr>
        <w:pStyle w:val="BodyText"/>
      </w:pPr>
    </w:p>
    <w:p w:rsidR="00000000" w:rsidRPr="00162701" w:rsidP="00162701">
      <w:pPr>
        <w:pStyle w:val="Heading1"/>
      </w:pPr>
      <w:bookmarkStart w:id="12" w:name="O_211641"/>
      <w:bookmarkEnd w:id="12"/>
      <w:r w:rsidRPr="00162701">
        <w:t>Unit Sector(s)</w:t>
      </w:r>
    </w:p>
    <w:tbl>
      <w:tblPr>
        <w:tblW w:w="0" w:type="auto"/>
        <w:tblLayout w:type="fixed"/>
        <w:tblCellMar>
          <w:left w:w="62" w:type="dxa"/>
          <w:right w:w="62" w:type="dxa"/>
        </w:tblCellMar>
        <w:tblLook w:val="0000"/>
      </w:tblPr>
      <w:tblGrid>
        <w:gridCol w:w="2654"/>
        <w:gridCol w:w="5868"/>
      </w:tblGrid>
      <w:tr w:rsidTr="007226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p>
        </w:tc>
      </w:tr>
    </w:tbl>
    <w:p w:rsidR="0072267F" w:rsidP="00162701">
      <w:pPr>
        <w:pStyle w:val="BodyText"/>
      </w:pPr>
    </w:p>
    <w:p w:rsidR="0072267F" w:rsidP="00162701">
      <w:pPr>
        <w:pStyle w:val="BodyText"/>
      </w:pPr>
    </w:p>
    <w:p w:rsidR="00000000" w:rsidRPr="00162701" w:rsidP="00162701">
      <w:pPr>
        <w:pStyle w:val="Heading1"/>
      </w:pPr>
      <w:bookmarkStart w:id="13" w:name="O_211638"/>
      <w:bookmarkEnd w:id="13"/>
      <w:r w:rsidRPr="00162701">
        <w:t>Co-requisite units</w:t>
      </w:r>
    </w:p>
    <w:tbl>
      <w:tblPr>
        <w:tblW w:w="0" w:type="auto"/>
        <w:tblLayout w:type="fixed"/>
        <w:tblCellMar>
          <w:left w:w="62" w:type="dxa"/>
          <w:right w:w="62" w:type="dxa"/>
        </w:tblCellMar>
        <w:tblLook w:val="0000"/>
      </w:tblPr>
      <w:tblGrid>
        <w:gridCol w:w="2641"/>
        <w:gridCol w:w="1322"/>
        <w:gridCol w:w="4559"/>
      </w:tblGrid>
      <w:tr w:rsidTr="007226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p>
        </w:tc>
      </w:tr>
      <w:tr w:rsidTr="007226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p>
        </w:tc>
      </w:tr>
      <w:tr w:rsidTr="007226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p>
        </w:tc>
      </w:tr>
    </w:tbl>
    <w:p w:rsidR="0072267F" w:rsidP="00162701">
      <w:pPr>
        <w:pStyle w:val="BodyText"/>
      </w:pPr>
    </w:p>
    <w:p w:rsidR="0072267F" w:rsidP="00162701">
      <w:pPr>
        <w:pStyle w:val="BodyText"/>
      </w:pPr>
    </w:p>
    <w:p w:rsidR="00000000" w:rsidRPr="00162701" w:rsidP="00162701">
      <w:pPr>
        <w:pStyle w:val="Heading1"/>
      </w:pPr>
      <w:bookmarkStart w:id="14" w:name="O_211640"/>
      <w:bookmarkEnd w:id="14"/>
      <w:r w:rsidRPr="00162701">
        <w:t>Competency field</w:t>
      </w:r>
    </w:p>
    <w:tbl>
      <w:tblPr>
        <w:tblW w:w="0" w:type="auto"/>
        <w:tblLayout w:type="fixed"/>
        <w:tblCellMar>
          <w:left w:w="62" w:type="dxa"/>
          <w:right w:w="62" w:type="dxa"/>
        </w:tblCellMar>
        <w:tblLook w:val="0000"/>
      </w:tblPr>
      <w:tblGrid>
        <w:gridCol w:w="2774"/>
        <w:gridCol w:w="5748"/>
      </w:tblGrid>
      <w:tr w:rsidTr="0072267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701">
            <w:pPr>
              <w:pStyle w:val="BodyText"/>
              <w:rPr>
                <w:lang w:val="en-NZ"/>
              </w:rPr>
            </w:pPr>
            <w:r w:rsidRPr="0016270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701" w:rsidP="00162701">
            <w:pPr>
              <w:pStyle w:val="BodyText"/>
            </w:pPr>
            <w:r w:rsidRPr="00162701">
              <w:t>Occupational health and safety</w:t>
            </w:r>
          </w:p>
        </w:tc>
      </w:tr>
    </w:tbl>
    <w:p w:rsidR="0072267F" w:rsidP="00162701">
      <w:pPr>
        <w:pStyle w:val="BodyText"/>
      </w:pPr>
    </w:p>
    <w:p w:rsidR="0072267F" w:rsidP="00162701">
      <w:pPr>
        <w:pStyle w:val="BodyText"/>
      </w:pPr>
    </w:p>
    <w:p w:rsidR="00000000" w:rsidRPr="00162701" w:rsidP="00162701"/>
    <w:sectPr w:rsidSect="00162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267F" w:rsidP="007226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7F" w:rsidP="001627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2267F" w:rsidP="00162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2267F" w:rsidP="00162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01" w:rsidRPr="0072267F" w:rsidP="007226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67F" w:rsidRPr="002D2AF8" w:rsidP="00162701">
    <w:pPr>
      <w:pStyle w:val="Header"/>
      <w:framePr w:wrap="around"/>
    </w:pPr>
    <w:r>
      <w:fldChar w:fldCharType="begin"/>
    </w:r>
    <w:r>
      <w:instrText xml:space="preserve"> TITLE   \* MERGEFORMAT </w:instrText>
    </w:r>
    <w:r>
      <w:fldChar w:fldCharType="separate"/>
    </w:r>
    <w:r>
      <w:t>MEM13006B Collect and evaluate occupational health and safety data for an enterprise or section of an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2267F" w:rsidP="00162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642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701"/>
    <w:pPr>
      <w:spacing w:before="360" w:after="60"/>
      <w:outlineLvl w:val="0"/>
    </w:pPr>
    <w:rPr>
      <w:sz w:val="32"/>
    </w:rPr>
  </w:style>
  <w:style w:type="paragraph" w:styleId="Heading2">
    <w:name w:val="heading 2"/>
    <w:basedOn w:val="HeadingBase"/>
    <w:next w:val="BodyText"/>
    <w:link w:val="Heading2Char"/>
    <w:qFormat/>
    <w:rsid w:val="00162701"/>
    <w:pPr>
      <w:keepLines/>
      <w:spacing w:before="240" w:after="120"/>
      <w:outlineLvl w:val="1"/>
    </w:pPr>
    <w:rPr>
      <w:sz w:val="28"/>
      <w:szCs w:val="40"/>
    </w:rPr>
  </w:style>
  <w:style w:type="paragraph" w:styleId="Heading3">
    <w:name w:val="heading 3"/>
    <w:basedOn w:val="HeadingBase"/>
    <w:next w:val="BodyText"/>
    <w:link w:val="Heading3Char"/>
    <w:qFormat/>
    <w:rsid w:val="00162701"/>
    <w:pPr>
      <w:spacing w:before="180" w:after="120"/>
      <w:outlineLvl w:val="2"/>
    </w:pPr>
    <w:rPr>
      <w:spacing w:val="-10"/>
      <w:kern w:val="32"/>
    </w:rPr>
  </w:style>
  <w:style w:type="paragraph" w:styleId="Heading4">
    <w:name w:val="heading 4"/>
    <w:basedOn w:val="HeadingBase"/>
    <w:next w:val="BodyText"/>
    <w:link w:val="Heading4Char"/>
    <w:qFormat/>
    <w:rsid w:val="00162701"/>
    <w:pPr>
      <w:spacing w:before="160" w:after="120"/>
      <w:outlineLvl w:val="3"/>
    </w:pPr>
    <w:rPr>
      <w:sz w:val="22"/>
    </w:rPr>
  </w:style>
  <w:style w:type="paragraph" w:styleId="Heading5">
    <w:name w:val="heading 5"/>
    <w:basedOn w:val="HeadingBase"/>
    <w:next w:val="Normal"/>
    <w:link w:val="Heading5Char"/>
    <w:qFormat/>
    <w:rsid w:val="00162701"/>
    <w:pPr>
      <w:spacing w:before="80"/>
      <w:outlineLvl w:val="4"/>
    </w:pPr>
    <w:rPr>
      <w:color w:val="918585"/>
      <w:sz w:val="20"/>
    </w:rPr>
  </w:style>
  <w:style w:type="paragraph" w:styleId="Heading6">
    <w:name w:val="heading 6"/>
    <w:basedOn w:val="HeadingBase"/>
    <w:next w:val="Normal"/>
    <w:link w:val="Heading6Char"/>
    <w:qFormat/>
    <w:rsid w:val="00162701"/>
    <w:pPr>
      <w:spacing w:before="60"/>
      <w:outlineLvl w:val="5"/>
    </w:pPr>
    <w:rPr>
      <w:color w:val="918585"/>
      <w:sz w:val="20"/>
    </w:rPr>
  </w:style>
  <w:style w:type="paragraph" w:styleId="Heading7">
    <w:name w:val="heading 7"/>
    <w:basedOn w:val="Normal"/>
    <w:next w:val="Normal"/>
    <w:link w:val="Heading7Char"/>
    <w:qFormat/>
    <w:rsid w:val="00162701"/>
    <w:pPr>
      <w:ind w:left="720"/>
      <w:outlineLvl w:val="6"/>
    </w:pPr>
    <w:rPr>
      <w:i/>
    </w:rPr>
  </w:style>
  <w:style w:type="paragraph" w:styleId="Heading8">
    <w:name w:val="heading 8"/>
    <w:basedOn w:val="Normal"/>
    <w:next w:val="Normal"/>
    <w:link w:val="Heading8Char"/>
    <w:qFormat/>
    <w:rsid w:val="00162701"/>
    <w:pPr>
      <w:ind w:left="720"/>
      <w:outlineLvl w:val="7"/>
    </w:pPr>
    <w:rPr>
      <w:i/>
    </w:rPr>
  </w:style>
  <w:style w:type="paragraph" w:styleId="Heading9">
    <w:name w:val="heading 9"/>
    <w:basedOn w:val="Normal"/>
    <w:next w:val="Normal"/>
    <w:link w:val="Heading9Char"/>
    <w:qFormat/>
    <w:rsid w:val="00162701"/>
    <w:pPr>
      <w:ind w:left="720"/>
      <w:outlineLvl w:val="8"/>
    </w:pPr>
    <w:rPr>
      <w:i/>
    </w:rPr>
  </w:style>
  <w:style w:type="character" w:default="1" w:styleId="DefaultParagraphFont">
    <w:name w:val="Default Paragraph Font"/>
    <w:uiPriority w:val="1"/>
    <w:unhideWhenUsed/>
    <w:rsid w:val="00162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701"/>
  </w:style>
  <w:style w:type="character" w:customStyle="1" w:styleId="Heading1Char">
    <w:name w:val="Heading 1 Char"/>
    <w:basedOn w:val="DefaultParagraphFont"/>
    <w:link w:val="Heading1"/>
    <w:rsid w:val="00162701"/>
    <w:rPr>
      <w:rFonts w:ascii="Times New Roman" w:eastAsia="Times New Roman" w:hAnsi="Times New Roman" w:cs="Times New Roman"/>
      <w:b/>
      <w:sz w:val="32"/>
      <w:szCs w:val="20"/>
      <w:lang w:eastAsia="en-US"/>
    </w:rPr>
  </w:style>
  <w:style w:type="paragraph" w:styleId="BodyText">
    <w:name w:val="Body Text"/>
    <w:basedOn w:val="Normal"/>
    <w:link w:val="BodyTextChar"/>
    <w:rsid w:val="00162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701"/>
    <w:rPr>
      <w:rFonts w:ascii="Times New Roman" w:eastAsia="Times New Roman" w:hAnsi="Times New Roman" w:cs="Times New Roman"/>
      <w:sz w:val="24"/>
      <w:lang w:eastAsia="en-US"/>
    </w:rPr>
  </w:style>
  <w:style w:type="paragraph" w:styleId="Footer">
    <w:name w:val="footer"/>
    <w:basedOn w:val="Normal"/>
    <w:link w:val="FooterChar"/>
    <w:rsid w:val="00162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701"/>
    <w:rPr>
      <w:rFonts w:ascii="Times New Roman" w:eastAsia="Times New Roman" w:hAnsi="Times New Roman" w:cs="Times New Roman"/>
      <w:sz w:val="16"/>
      <w:lang w:eastAsia="en-US"/>
    </w:rPr>
  </w:style>
  <w:style w:type="paragraph" w:styleId="List">
    <w:name w:val="List"/>
    <w:basedOn w:val="BodyText"/>
    <w:next w:val="BodyText"/>
    <w:rsid w:val="00162701"/>
    <w:pPr>
      <w:tabs>
        <w:tab w:val="left" w:pos="340"/>
      </w:tabs>
      <w:spacing w:before="60" w:after="60"/>
      <w:ind w:left="340" w:hanging="340"/>
    </w:pPr>
  </w:style>
  <w:style w:type="paragraph" w:styleId="ListBullet">
    <w:name w:val="List Bullet"/>
    <w:basedOn w:val="List"/>
    <w:rsid w:val="00162701"/>
    <w:pPr>
      <w:numPr>
        <w:numId w:val="12"/>
      </w:numPr>
      <w:tabs>
        <w:tab w:val="clear" w:pos="340"/>
      </w:tabs>
      <w:spacing w:before="40" w:after="40"/>
    </w:pPr>
  </w:style>
  <w:style w:type="character" w:customStyle="1" w:styleId="SpecialBold">
    <w:name w:val="Special Bold"/>
    <w:basedOn w:val="DefaultParagraphFont"/>
    <w:rsid w:val="00162701"/>
    <w:rPr>
      <w:b/>
      <w:spacing w:val="0"/>
    </w:rPr>
  </w:style>
  <w:style w:type="paragraph" w:customStyle="1" w:styleId="SuperHeading">
    <w:name w:val="SuperHeading"/>
    <w:basedOn w:val="Normal"/>
    <w:rsid w:val="00162701"/>
    <w:pPr>
      <w:spacing w:before="240" w:after="120"/>
      <w:outlineLvl w:val="0"/>
    </w:pPr>
    <w:rPr>
      <w:rFonts w:ascii="Times New Roman" w:hAnsi="Times New Roman"/>
      <w:b/>
      <w:sz w:val="28"/>
    </w:rPr>
  </w:style>
  <w:style w:type="paragraph" w:customStyle="1" w:styleId="AllowPageBreak">
    <w:name w:val="AllowPageBreak"/>
    <w:rsid w:val="001627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701"/>
    <w:pPr>
      <w:tabs>
        <w:tab w:val="left" w:pos="680"/>
      </w:tabs>
      <w:spacing w:before="60" w:after="60"/>
      <w:ind w:left="680" w:hanging="340"/>
    </w:pPr>
  </w:style>
  <w:style w:type="character" w:customStyle="1" w:styleId="Heading2Char">
    <w:name w:val="Heading 2 Char"/>
    <w:basedOn w:val="DefaultParagraphFont"/>
    <w:link w:val="Heading2"/>
    <w:rsid w:val="00162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701"/>
    <w:rPr>
      <w:rFonts w:ascii="Courier New" w:eastAsia="Times New Roman" w:hAnsi="Courier New" w:cs="Times New Roman"/>
      <w:i/>
      <w:szCs w:val="20"/>
      <w:lang w:eastAsia="en-US"/>
    </w:rPr>
  </w:style>
  <w:style w:type="paragraph" w:customStyle="1" w:styleId="HeadingBase">
    <w:name w:val="Heading Base"/>
    <w:rsid w:val="00162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701"/>
    <w:pPr>
      <w:tabs>
        <w:tab w:val="right" w:leader="dot" w:pos="9072"/>
      </w:tabs>
      <w:ind w:left="567"/>
    </w:pPr>
    <w:rPr>
      <w:szCs w:val="22"/>
    </w:rPr>
  </w:style>
  <w:style w:type="paragraph" w:customStyle="1" w:styleId="TOCBase">
    <w:name w:val="TOC Base"/>
    <w:rsid w:val="00162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701"/>
    <w:pPr>
      <w:tabs>
        <w:tab w:val="right" w:leader="dot" w:pos="9072"/>
      </w:tabs>
      <w:spacing w:before="40" w:after="40"/>
      <w:ind w:left="284"/>
    </w:pPr>
    <w:rPr>
      <w:rFonts w:ascii="Times New Roman" w:hAnsi="Times New Roman"/>
    </w:rPr>
  </w:style>
  <w:style w:type="paragraph" w:styleId="TOC1">
    <w:name w:val="toc 1"/>
    <w:basedOn w:val="TOCBase"/>
    <w:next w:val="Normal"/>
    <w:rsid w:val="00162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701"/>
    <w:pPr>
      <w:spacing w:before="5040"/>
      <w:jc w:val="center"/>
    </w:pPr>
    <w:rPr>
      <w:sz w:val="48"/>
      <w:szCs w:val="72"/>
      <w:lang w:val="en-US"/>
    </w:rPr>
  </w:style>
  <w:style w:type="character" w:customStyle="1" w:styleId="TitleChar">
    <w:name w:val="Title Char"/>
    <w:basedOn w:val="DefaultParagraphFont"/>
    <w:link w:val="Title"/>
    <w:rsid w:val="00162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701"/>
    <w:pPr>
      <w:tabs>
        <w:tab w:val="left" w:pos="3600"/>
        <w:tab w:val="left" w:pos="3958"/>
      </w:tabs>
    </w:pPr>
  </w:style>
  <w:style w:type="paragraph" w:customStyle="1" w:styleId="Note">
    <w:name w:val="Note"/>
    <w:basedOn w:val="BodyText"/>
    <w:rsid w:val="00162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701"/>
    <w:pPr>
      <w:framePr w:wrap="auto" w:hAnchor="text" w:y="6049"/>
    </w:pPr>
    <w:rPr>
      <w:color w:val="000000"/>
      <w:sz w:val="40"/>
    </w:rPr>
  </w:style>
  <w:style w:type="paragraph" w:customStyle="1" w:styleId="TOCTitle">
    <w:name w:val="TOCTitle"/>
    <w:basedOn w:val="Heading1"/>
    <w:rsid w:val="00162701"/>
    <w:pPr>
      <w:spacing w:after="240"/>
      <w:jc w:val="center"/>
      <w:outlineLvl w:val="9"/>
    </w:pPr>
    <w:rPr>
      <w:caps/>
    </w:rPr>
  </w:style>
  <w:style w:type="paragraph" w:customStyle="1" w:styleId="Version">
    <w:name w:val="Version"/>
    <w:rsid w:val="001627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701"/>
    <w:pPr>
      <w:numPr>
        <w:numId w:val="13"/>
      </w:numPr>
      <w:tabs>
        <w:tab w:val="clear" w:pos="680"/>
      </w:tabs>
    </w:pPr>
  </w:style>
  <w:style w:type="paragraph" w:styleId="Index1">
    <w:name w:val="index 1"/>
    <w:basedOn w:val="Normal"/>
    <w:next w:val="Normal"/>
    <w:semiHidden/>
    <w:rsid w:val="00162701"/>
    <w:pPr>
      <w:keepNext w:val="0"/>
      <w:tabs>
        <w:tab w:val="right" w:pos="4176"/>
      </w:tabs>
      <w:ind w:left="198" w:hanging="198"/>
    </w:pPr>
    <w:rPr>
      <w:rFonts w:ascii="Garamond" w:hAnsi="Garamond"/>
    </w:rPr>
  </w:style>
  <w:style w:type="paragraph" w:styleId="IndexHeading">
    <w:name w:val="index heading"/>
    <w:basedOn w:val="Normal"/>
    <w:next w:val="Index1"/>
    <w:semiHidden/>
    <w:rsid w:val="00162701"/>
    <w:pPr>
      <w:spacing w:before="120" w:after="120"/>
    </w:pPr>
    <w:rPr>
      <w:rFonts w:ascii="Arial" w:hAnsi="Arial"/>
      <w:b/>
      <w:color w:val="918585"/>
      <w:sz w:val="24"/>
    </w:rPr>
  </w:style>
  <w:style w:type="paragraph" w:styleId="Header">
    <w:name w:val="header"/>
    <w:basedOn w:val="Normal"/>
    <w:link w:val="HeaderChar"/>
    <w:rsid w:val="00162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701"/>
    <w:rPr>
      <w:rFonts w:ascii="Times New Roman" w:eastAsia="Times New Roman" w:hAnsi="Times New Roman" w:cs="Times New Roman"/>
      <w:sz w:val="16"/>
      <w:szCs w:val="20"/>
      <w:lang w:val="en-GB" w:eastAsia="en-US"/>
    </w:rPr>
  </w:style>
  <w:style w:type="paragraph" w:customStyle="1" w:styleId="Chapter">
    <w:name w:val="Chapter"/>
    <w:basedOn w:val="Normal"/>
    <w:rsid w:val="00162701"/>
    <w:pPr>
      <w:spacing w:before="240"/>
    </w:pPr>
    <w:rPr>
      <w:rFonts w:ascii="Times New Roman" w:hAnsi="Times New Roman"/>
      <w:smallCaps/>
      <w:spacing w:val="80"/>
      <w:sz w:val="28"/>
    </w:rPr>
  </w:style>
  <w:style w:type="paragraph" w:customStyle="1" w:styleId="InChapter">
    <w:name w:val="InChapter"/>
    <w:basedOn w:val="Heading3"/>
    <w:rsid w:val="00162701"/>
    <w:pPr>
      <w:spacing w:after="240"/>
      <w:outlineLvl w:val="9"/>
    </w:pPr>
    <w:rPr>
      <w:noProof/>
    </w:rPr>
  </w:style>
  <w:style w:type="paragraph" w:styleId="Index2">
    <w:name w:val="index 2"/>
    <w:basedOn w:val="Normal"/>
    <w:next w:val="Normal"/>
    <w:semiHidden/>
    <w:rsid w:val="00162701"/>
    <w:pPr>
      <w:tabs>
        <w:tab w:val="right" w:pos="4176"/>
      </w:tabs>
      <w:ind w:left="568" w:hanging="284"/>
    </w:pPr>
    <w:rPr>
      <w:rFonts w:ascii="Garamond" w:hAnsi="Garamond"/>
    </w:rPr>
  </w:style>
  <w:style w:type="paragraph" w:customStyle="1" w:styleId="Byline">
    <w:name w:val="Byline"/>
    <w:rsid w:val="00162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701"/>
    <w:pPr>
      <w:tabs>
        <w:tab w:val="clear" w:pos="3600"/>
        <w:tab w:val="clear" w:pos="3958"/>
      </w:tabs>
      <w:jc w:val="right"/>
    </w:pPr>
  </w:style>
  <w:style w:type="character" w:styleId="Emphasis">
    <w:name w:val="Emphasis"/>
    <w:basedOn w:val="DefaultParagraphFont"/>
    <w:qFormat/>
    <w:rsid w:val="00162701"/>
    <w:rPr>
      <w:i/>
    </w:rPr>
  </w:style>
  <w:style w:type="paragraph" w:styleId="Caption">
    <w:name w:val="caption"/>
    <w:basedOn w:val="BodyText"/>
    <w:next w:val="Normal"/>
    <w:qFormat/>
    <w:rsid w:val="00162701"/>
    <w:pPr>
      <w:framePr w:w="2268" w:hSpace="181" w:vSpace="181" w:wrap="around" w:vAnchor="text" w:hAnchor="page" w:x="1135" w:y="285" w:anchorLock="1"/>
    </w:pPr>
    <w:rPr>
      <w:i/>
    </w:rPr>
  </w:style>
  <w:style w:type="paragraph" w:customStyle="1" w:styleId="MiniTOCTitle">
    <w:name w:val="MiniTOCTitle"/>
    <w:basedOn w:val="Heading4"/>
    <w:rsid w:val="00162701"/>
    <w:pPr>
      <w:spacing w:before="240"/>
      <w:outlineLvl w:val="9"/>
    </w:pPr>
    <w:rPr>
      <w:noProof/>
      <w:sz w:val="24"/>
    </w:rPr>
  </w:style>
  <w:style w:type="paragraph" w:customStyle="1" w:styleId="MiniTOCItem">
    <w:name w:val="MiniTOCItem"/>
    <w:basedOn w:val="ListBullet"/>
    <w:rsid w:val="00162701"/>
    <w:pPr>
      <w:numPr>
        <w:numId w:val="0"/>
      </w:numPr>
      <w:tabs>
        <w:tab w:val="right" w:leader="dot" w:pos="6521"/>
      </w:tabs>
      <w:spacing w:before="0" w:after="0"/>
    </w:pPr>
  </w:style>
  <w:style w:type="paragraph" w:customStyle="1" w:styleId="TOFTitle">
    <w:name w:val="TOFTitle"/>
    <w:basedOn w:val="TOCTitle"/>
    <w:rsid w:val="00162701"/>
  </w:style>
  <w:style w:type="paragraph" w:styleId="TableofFigures">
    <w:name w:val="table of figures"/>
    <w:basedOn w:val="Normal"/>
    <w:next w:val="Normal"/>
    <w:semiHidden/>
    <w:rsid w:val="00162701"/>
    <w:pPr>
      <w:tabs>
        <w:tab w:val="right" w:leader="dot" w:pos="9072"/>
      </w:tabs>
      <w:ind w:left="970" w:hanging="403"/>
    </w:pPr>
    <w:rPr>
      <w:rFonts w:ascii="Times New Roman" w:hAnsi="Times New Roman"/>
      <w:b/>
    </w:rPr>
  </w:style>
  <w:style w:type="paragraph" w:styleId="ListNumber">
    <w:name w:val="List Number"/>
    <w:basedOn w:val="List"/>
    <w:rsid w:val="00162701"/>
    <w:pPr>
      <w:numPr>
        <w:numId w:val="10"/>
      </w:numPr>
    </w:pPr>
  </w:style>
  <w:style w:type="character" w:customStyle="1" w:styleId="WingdingSymbols">
    <w:name w:val="Wingding Symbols"/>
    <w:rsid w:val="00162701"/>
    <w:rPr>
      <w:rFonts w:ascii="Wingdings" w:hAnsi="Wingdings"/>
    </w:rPr>
  </w:style>
  <w:style w:type="paragraph" w:customStyle="1" w:styleId="TableHeading">
    <w:name w:val="Table Heading"/>
    <w:basedOn w:val="HeadingBase"/>
    <w:rsid w:val="00162701"/>
    <w:pPr>
      <w:keepLines/>
      <w:pBdr>
        <w:bottom w:val="single" w:sz="6" w:space="1" w:color="918585"/>
      </w:pBdr>
      <w:spacing w:before="240"/>
    </w:pPr>
  </w:style>
  <w:style w:type="character" w:customStyle="1" w:styleId="HotSpot">
    <w:name w:val="HotSpot"/>
    <w:rsid w:val="00162701"/>
    <w:rPr>
      <w:color w:val="0033CC"/>
      <w:u w:val="none"/>
    </w:rPr>
  </w:style>
  <w:style w:type="paragraph" w:customStyle="1" w:styleId="BodyTextRight">
    <w:name w:val="Body Text Right"/>
    <w:basedOn w:val="BodyText"/>
    <w:rsid w:val="00162701"/>
    <w:pPr>
      <w:spacing w:before="0" w:after="0"/>
      <w:jc w:val="right"/>
    </w:pPr>
  </w:style>
  <w:style w:type="paragraph" w:styleId="Index3">
    <w:name w:val="index 3"/>
    <w:basedOn w:val="ListNumber2"/>
    <w:next w:val="Normal"/>
    <w:semiHidden/>
    <w:rsid w:val="00162701"/>
    <w:pPr>
      <w:numPr>
        <w:numId w:val="0"/>
      </w:numPr>
      <w:tabs>
        <w:tab w:val="right" w:leader="dot" w:pos="4176"/>
      </w:tabs>
    </w:pPr>
  </w:style>
  <w:style w:type="paragraph" w:styleId="ListNumber2">
    <w:name w:val="List Number 2"/>
    <w:basedOn w:val="List2"/>
    <w:rsid w:val="00162701"/>
    <w:pPr>
      <w:numPr>
        <w:numId w:val="9"/>
      </w:numPr>
      <w:tabs>
        <w:tab w:val="clear" w:pos="1060"/>
      </w:tabs>
    </w:pPr>
  </w:style>
  <w:style w:type="paragraph" w:customStyle="1" w:styleId="MarginNote">
    <w:name w:val="Margin Note"/>
    <w:basedOn w:val="BodyText"/>
    <w:rsid w:val="00162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701"/>
    <w:rPr>
      <w:sz w:val="32"/>
    </w:rPr>
  </w:style>
  <w:style w:type="paragraph" w:customStyle="1" w:styleId="HeadingProcedure">
    <w:name w:val="Heading Procedure"/>
    <w:basedOn w:val="HeadingBase"/>
    <w:next w:val="Normal"/>
    <w:rsid w:val="00162701"/>
    <w:pPr>
      <w:tabs>
        <w:tab w:val="left" w:pos="0"/>
      </w:tabs>
      <w:spacing w:before="120" w:after="60"/>
    </w:pPr>
    <w:rPr>
      <w:i/>
      <w:color w:val="918585"/>
      <w:sz w:val="22"/>
    </w:rPr>
  </w:style>
  <w:style w:type="paragraph" w:customStyle="1" w:styleId="TableBodyText">
    <w:name w:val="Table Body Text"/>
    <w:basedOn w:val="BodyText"/>
    <w:rsid w:val="00162701"/>
    <w:pPr>
      <w:spacing w:before="60" w:after="60"/>
    </w:pPr>
  </w:style>
  <w:style w:type="paragraph" w:styleId="ListContinue">
    <w:name w:val="List Continue"/>
    <w:basedOn w:val="List"/>
    <w:rsid w:val="00162701"/>
    <w:pPr>
      <w:ind w:firstLine="0"/>
    </w:pPr>
  </w:style>
  <w:style w:type="paragraph" w:customStyle="1" w:styleId="ListNote">
    <w:name w:val="List Note"/>
    <w:basedOn w:val="List"/>
    <w:rsid w:val="00162701"/>
    <w:pPr>
      <w:pBdr>
        <w:top w:val="single" w:sz="6" w:space="2" w:color="918585"/>
        <w:bottom w:val="single" w:sz="6" w:space="2" w:color="918585"/>
      </w:pBdr>
      <w:tabs>
        <w:tab w:val="left" w:pos="1021"/>
      </w:tabs>
      <w:ind w:firstLine="0"/>
    </w:pPr>
  </w:style>
  <w:style w:type="paragraph" w:customStyle="1" w:styleId="Warning">
    <w:name w:val="Warning"/>
    <w:basedOn w:val="BodyText"/>
    <w:rsid w:val="00162701"/>
    <w:pPr>
      <w:shd w:val="clear" w:color="auto" w:fill="D9D9D9"/>
      <w:tabs>
        <w:tab w:val="left" w:pos="992"/>
      </w:tabs>
      <w:ind w:left="119" w:right="119"/>
    </w:pPr>
    <w:rPr>
      <w:sz w:val="20"/>
    </w:rPr>
  </w:style>
  <w:style w:type="paragraph" w:customStyle="1" w:styleId="MarginIcons">
    <w:name w:val="Margin Icons"/>
    <w:basedOn w:val="BodyText"/>
    <w:rsid w:val="00162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701"/>
    <w:rPr>
      <w:rFonts w:ascii="Courier New" w:hAnsi="Courier New"/>
    </w:rPr>
  </w:style>
  <w:style w:type="paragraph" w:customStyle="1" w:styleId="NoteBullet">
    <w:name w:val="Note Bullet"/>
    <w:basedOn w:val="Note"/>
    <w:rsid w:val="00162701"/>
    <w:pPr>
      <w:tabs>
        <w:tab w:val="clear" w:pos="680"/>
      </w:tabs>
      <w:spacing w:before="60" w:after="60"/>
    </w:pPr>
  </w:style>
  <w:style w:type="paragraph" w:customStyle="1" w:styleId="SubHeading2">
    <w:name w:val="SubHeading2"/>
    <w:basedOn w:val="HeadingBase"/>
    <w:rsid w:val="00162701"/>
    <w:pPr>
      <w:spacing w:before="240" w:after="60"/>
    </w:pPr>
    <w:rPr>
      <w:sz w:val="20"/>
    </w:rPr>
  </w:style>
  <w:style w:type="paragraph" w:customStyle="1" w:styleId="SubHeading1">
    <w:name w:val="SubHeading1"/>
    <w:basedOn w:val="HeadingBase"/>
    <w:rsid w:val="00162701"/>
    <w:pPr>
      <w:spacing w:before="240" w:after="60"/>
    </w:pPr>
    <w:rPr>
      <w:color w:val="918585"/>
      <w:sz w:val="22"/>
    </w:rPr>
  </w:style>
  <w:style w:type="paragraph" w:customStyle="1" w:styleId="SideHeading">
    <w:name w:val="Side Heading"/>
    <w:basedOn w:val="HeadingBase"/>
    <w:rsid w:val="00162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701"/>
    <w:pPr>
      <w:tabs>
        <w:tab w:val="num" w:pos="360"/>
      </w:tabs>
    </w:pPr>
  </w:style>
  <w:style w:type="paragraph" w:styleId="PlainText">
    <w:name w:val="Plain Text"/>
    <w:basedOn w:val="Normal"/>
    <w:link w:val="PlainTextChar"/>
    <w:rsid w:val="00162701"/>
    <w:rPr>
      <w:sz w:val="20"/>
    </w:rPr>
  </w:style>
  <w:style w:type="character" w:customStyle="1" w:styleId="PlainTextChar">
    <w:name w:val="Plain Text Char"/>
    <w:basedOn w:val="DefaultParagraphFont"/>
    <w:link w:val="PlainText"/>
    <w:rsid w:val="00162701"/>
    <w:rPr>
      <w:rFonts w:ascii="Courier New" w:eastAsia="Times New Roman" w:hAnsi="Courier New" w:cs="Times New Roman"/>
      <w:sz w:val="20"/>
      <w:szCs w:val="20"/>
      <w:lang w:eastAsia="en-US"/>
    </w:rPr>
  </w:style>
  <w:style w:type="character" w:customStyle="1" w:styleId="MenuOption">
    <w:name w:val="Menu Option"/>
    <w:basedOn w:val="DefaultParagraphFont"/>
    <w:rsid w:val="00162701"/>
    <w:rPr>
      <w:b/>
      <w:smallCaps/>
    </w:rPr>
  </w:style>
  <w:style w:type="paragraph" w:customStyle="1" w:styleId="TableListNumber">
    <w:name w:val="Table List Number"/>
    <w:basedOn w:val="ListNumber"/>
    <w:rsid w:val="00162701"/>
    <w:pPr>
      <w:numPr>
        <w:numId w:val="0"/>
      </w:numPr>
    </w:pPr>
  </w:style>
  <w:style w:type="paragraph" w:styleId="TOC4">
    <w:name w:val="toc 4"/>
    <w:basedOn w:val="TOCBase"/>
    <w:next w:val="Normal"/>
    <w:semiHidden/>
    <w:rsid w:val="00162701"/>
    <w:pPr>
      <w:tabs>
        <w:tab w:val="right" w:leader="dot" w:pos="9071"/>
      </w:tabs>
      <w:ind w:left="1701"/>
    </w:pPr>
  </w:style>
  <w:style w:type="paragraph" w:customStyle="1" w:styleId="ListAlpha">
    <w:name w:val="List Alpha"/>
    <w:basedOn w:val="List"/>
    <w:rsid w:val="00162701"/>
    <w:pPr>
      <w:numPr>
        <w:numId w:val="8"/>
      </w:numPr>
    </w:pPr>
  </w:style>
  <w:style w:type="paragraph" w:customStyle="1" w:styleId="ListAlpha2">
    <w:name w:val="List Alpha 2"/>
    <w:basedOn w:val="List2"/>
    <w:rsid w:val="00162701"/>
    <w:pPr>
      <w:numPr>
        <w:numId w:val="7"/>
      </w:numPr>
    </w:pPr>
  </w:style>
  <w:style w:type="paragraph" w:styleId="List3">
    <w:name w:val="List 3"/>
    <w:basedOn w:val="BodyText"/>
    <w:rsid w:val="00162701"/>
    <w:pPr>
      <w:tabs>
        <w:tab w:val="left" w:pos="1021"/>
      </w:tabs>
      <w:spacing w:before="60" w:after="60"/>
      <w:ind w:left="1020" w:hanging="340"/>
    </w:pPr>
  </w:style>
  <w:style w:type="paragraph" w:styleId="List4">
    <w:name w:val="List 4"/>
    <w:basedOn w:val="BodyText"/>
    <w:rsid w:val="00162701"/>
    <w:pPr>
      <w:tabs>
        <w:tab w:val="left" w:pos="1361"/>
      </w:tabs>
      <w:spacing w:before="60" w:after="60"/>
      <w:ind w:left="1361" w:hanging="340"/>
    </w:pPr>
  </w:style>
  <w:style w:type="paragraph" w:styleId="List5">
    <w:name w:val="List 5"/>
    <w:basedOn w:val="BodyText"/>
    <w:rsid w:val="00162701"/>
    <w:pPr>
      <w:tabs>
        <w:tab w:val="left" w:pos="1701"/>
      </w:tabs>
      <w:spacing w:before="60" w:after="60"/>
      <w:ind w:left="1701" w:hanging="340"/>
    </w:pPr>
  </w:style>
  <w:style w:type="paragraph" w:styleId="ListBullet3">
    <w:name w:val="List Bullet 3"/>
    <w:basedOn w:val="List3"/>
    <w:rsid w:val="00162701"/>
    <w:pPr>
      <w:numPr>
        <w:numId w:val="14"/>
      </w:numPr>
      <w:tabs>
        <w:tab w:val="clear" w:pos="1021"/>
      </w:tabs>
      <w:ind w:left="1037" w:hanging="357"/>
    </w:pPr>
  </w:style>
  <w:style w:type="paragraph" w:styleId="ListBullet4">
    <w:name w:val="List Bullet 4"/>
    <w:basedOn w:val="List4"/>
    <w:rsid w:val="00162701"/>
    <w:pPr>
      <w:numPr>
        <w:numId w:val="2"/>
      </w:numPr>
    </w:pPr>
  </w:style>
  <w:style w:type="paragraph" w:styleId="ListBullet5">
    <w:name w:val="List Bullet 5"/>
    <w:basedOn w:val="List5"/>
    <w:rsid w:val="00162701"/>
    <w:pPr>
      <w:numPr>
        <w:numId w:val="3"/>
      </w:numPr>
    </w:pPr>
  </w:style>
  <w:style w:type="paragraph" w:styleId="ListContinue2">
    <w:name w:val="List Continue 2"/>
    <w:basedOn w:val="List2"/>
    <w:rsid w:val="00162701"/>
    <w:pPr>
      <w:ind w:firstLine="0"/>
    </w:pPr>
  </w:style>
  <w:style w:type="paragraph" w:styleId="ListContinue3">
    <w:name w:val="List Continue 3"/>
    <w:basedOn w:val="List3"/>
    <w:rsid w:val="00162701"/>
    <w:pPr>
      <w:ind w:left="1021" w:firstLine="0"/>
    </w:pPr>
  </w:style>
  <w:style w:type="paragraph" w:styleId="ListContinue4">
    <w:name w:val="List Continue 4"/>
    <w:basedOn w:val="List4"/>
    <w:rsid w:val="00162701"/>
    <w:pPr>
      <w:ind w:firstLine="0"/>
    </w:pPr>
  </w:style>
  <w:style w:type="paragraph" w:styleId="ListContinue5">
    <w:name w:val="List Continue 5"/>
    <w:basedOn w:val="List5"/>
    <w:rsid w:val="00162701"/>
    <w:pPr>
      <w:ind w:firstLine="0"/>
    </w:pPr>
  </w:style>
  <w:style w:type="paragraph" w:styleId="ListNumber3">
    <w:name w:val="List Number 3"/>
    <w:basedOn w:val="List3"/>
    <w:rsid w:val="00162701"/>
    <w:pPr>
      <w:numPr>
        <w:numId w:val="4"/>
      </w:numPr>
    </w:pPr>
  </w:style>
  <w:style w:type="paragraph" w:styleId="ListNumber4">
    <w:name w:val="List Number 4"/>
    <w:basedOn w:val="List4"/>
    <w:rsid w:val="00162701"/>
    <w:pPr>
      <w:numPr>
        <w:numId w:val="5"/>
      </w:numPr>
    </w:pPr>
  </w:style>
  <w:style w:type="paragraph" w:styleId="ListNumber5">
    <w:name w:val="List Number 5"/>
    <w:basedOn w:val="List5"/>
    <w:rsid w:val="00162701"/>
    <w:pPr>
      <w:numPr>
        <w:numId w:val="6"/>
      </w:numPr>
    </w:pPr>
  </w:style>
  <w:style w:type="paragraph" w:styleId="BlockText">
    <w:name w:val="Block Text"/>
    <w:basedOn w:val="Normal"/>
    <w:rsid w:val="00162701"/>
    <w:pPr>
      <w:spacing w:after="120"/>
      <w:ind w:left="1440" w:right="1440"/>
    </w:pPr>
  </w:style>
  <w:style w:type="character" w:customStyle="1" w:styleId="Subscript">
    <w:name w:val="Subscript"/>
    <w:basedOn w:val="DefaultParagraphFont"/>
    <w:rsid w:val="00162701"/>
    <w:rPr>
      <w:sz w:val="16"/>
      <w:vertAlign w:val="subscript"/>
    </w:rPr>
  </w:style>
  <w:style w:type="character" w:customStyle="1" w:styleId="Superscript">
    <w:name w:val="Superscript"/>
    <w:basedOn w:val="DefaultParagraphFont"/>
    <w:rsid w:val="00162701"/>
    <w:rPr>
      <w:sz w:val="16"/>
      <w:vertAlign w:val="superscript"/>
    </w:rPr>
  </w:style>
  <w:style w:type="character" w:customStyle="1" w:styleId="Symbols">
    <w:name w:val="Symbols"/>
    <w:basedOn w:val="DefaultParagraphFont"/>
    <w:rsid w:val="00162701"/>
    <w:rPr>
      <w:rFonts w:ascii="Symbol" w:hAnsi="Symbol"/>
    </w:rPr>
  </w:style>
  <w:style w:type="character" w:customStyle="1" w:styleId="MenuOptions">
    <w:name w:val="Menu Options"/>
    <w:basedOn w:val="DefaultParagraphFont"/>
    <w:rsid w:val="00162701"/>
    <w:rPr>
      <w:rFonts w:ascii="Arial Narrow" w:hAnsi="Arial Narrow"/>
      <w:smallCaps/>
    </w:rPr>
  </w:style>
  <w:style w:type="character" w:customStyle="1" w:styleId="Buttons">
    <w:name w:val="Buttons"/>
    <w:basedOn w:val="DefaultParagraphFont"/>
    <w:rsid w:val="00162701"/>
    <w:rPr>
      <w:b/>
    </w:rPr>
  </w:style>
  <w:style w:type="character" w:customStyle="1" w:styleId="Underlined">
    <w:name w:val="Underlined"/>
    <w:basedOn w:val="DefaultParagraphFont"/>
    <w:rsid w:val="00162701"/>
    <w:rPr>
      <w:u w:val="single"/>
    </w:rPr>
  </w:style>
  <w:style w:type="paragraph" w:customStyle="1" w:styleId="TableBodyTextRight">
    <w:name w:val="Table Body Text Right"/>
    <w:basedOn w:val="TableBodyText"/>
    <w:rsid w:val="00162701"/>
    <w:pPr>
      <w:widowControl w:val="0"/>
      <w:autoSpaceDE w:val="0"/>
      <w:autoSpaceDN w:val="0"/>
      <w:adjustRightInd w:val="0"/>
      <w:jc w:val="right"/>
    </w:pPr>
    <w:rPr>
      <w:rFonts w:cs="Arial"/>
      <w:szCs w:val="18"/>
    </w:rPr>
  </w:style>
  <w:style w:type="paragraph" w:customStyle="1" w:styleId="CopyrightText">
    <w:name w:val="Copyright Text"/>
    <w:basedOn w:val="BodyText"/>
    <w:rsid w:val="00162701"/>
    <w:rPr>
      <w:sz w:val="18"/>
    </w:rPr>
  </w:style>
  <w:style w:type="paragraph" w:customStyle="1" w:styleId="BodySmallRight">
    <w:name w:val="Body Small Right"/>
    <w:basedOn w:val="BodyTextRight"/>
    <w:rsid w:val="00162701"/>
    <w:rPr>
      <w:sz w:val="18"/>
      <w:szCs w:val="18"/>
    </w:rPr>
  </w:style>
  <w:style w:type="paragraph" w:customStyle="1" w:styleId="MarginEdition">
    <w:name w:val="Margin Edition"/>
    <w:basedOn w:val="MarginNote"/>
    <w:rsid w:val="00162701"/>
    <w:pPr>
      <w:spacing w:before="0" w:after="0"/>
    </w:pPr>
    <w:rPr>
      <w:rFonts w:ascii="Times New Roman" w:hAnsi="Times New Roman"/>
      <w:color w:val="999999"/>
    </w:rPr>
  </w:style>
  <w:style w:type="paragraph" w:customStyle="1" w:styleId="Spacer">
    <w:name w:val="Spacer"/>
    <w:basedOn w:val="Normal"/>
    <w:rsid w:val="00162701"/>
    <w:rPr>
      <w:sz w:val="2"/>
      <w:szCs w:val="2"/>
    </w:rPr>
  </w:style>
  <w:style w:type="character" w:customStyle="1" w:styleId="Small">
    <w:name w:val="Small"/>
    <w:basedOn w:val="DefaultParagraphFont"/>
    <w:rsid w:val="00162701"/>
    <w:rPr>
      <w:sz w:val="16"/>
    </w:rPr>
  </w:style>
  <w:style w:type="paragraph" w:customStyle="1" w:styleId="WideTable">
    <w:name w:val="Wide Table"/>
    <w:basedOn w:val="Normal"/>
    <w:rsid w:val="00162701"/>
    <w:pPr>
      <w:ind w:left="-1418"/>
    </w:pPr>
    <w:rPr>
      <w:sz w:val="2"/>
      <w:szCs w:val="2"/>
    </w:rPr>
  </w:style>
  <w:style w:type="character" w:styleId="PageNumber">
    <w:name w:val="page number"/>
    <w:basedOn w:val="DefaultParagraphFont"/>
    <w:rsid w:val="00162701"/>
  </w:style>
  <w:style w:type="paragraph" w:styleId="Quote">
    <w:name w:val="Quote"/>
    <w:basedOn w:val="Heading1"/>
    <w:link w:val="QuoteChar"/>
    <w:qFormat/>
    <w:rsid w:val="00162701"/>
    <w:rPr>
      <w:b w:val="0"/>
      <w:sz w:val="72"/>
      <w:szCs w:val="72"/>
      <w:lang w:val="en-NZ"/>
    </w:rPr>
  </w:style>
  <w:style w:type="character" w:customStyle="1" w:styleId="QuoteChar">
    <w:name w:val="Quote Char"/>
    <w:basedOn w:val="DefaultParagraphFont"/>
    <w:link w:val="Quote"/>
    <w:rsid w:val="00162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701"/>
    <w:pPr>
      <w:pageBreakBefore/>
    </w:pPr>
  </w:style>
  <w:style w:type="paragraph" w:customStyle="1" w:styleId="Border">
    <w:name w:val="Border"/>
    <w:basedOn w:val="Normal"/>
    <w:qFormat/>
    <w:rsid w:val="00162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701"/>
    <w:rPr>
      <w:b/>
      <w:bCs/>
      <w:i/>
      <w:iCs/>
      <w:color w:val="auto"/>
    </w:rPr>
  </w:style>
  <w:style w:type="paragraph" w:styleId="IntenseQuote">
    <w:name w:val="Intense Quote"/>
    <w:basedOn w:val="Normal"/>
    <w:next w:val="Normal"/>
    <w:link w:val="IntenseQuoteChar"/>
    <w:uiPriority w:val="30"/>
    <w:qFormat/>
    <w:rsid w:val="00162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701"/>
    <w:rPr>
      <w:smallCaps/>
      <w:color w:val="auto"/>
      <w:u w:val="single"/>
    </w:rPr>
  </w:style>
  <w:style w:type="character" w:styleId="IntenseReference">
    <w:name w:val="Intense Reference"/>
    <w:basedOn w:val="DefaultParagraphFont"/>
    <w:uiPriority w:val="32"/>
    <w:qFormat/>
    <w:rsid w:val="00162701"/>
    <w:rPr>
      <w:b/>
      <w:bCs/>
      <w:smallCaps/>
      <w:color w:val="auto"/>
      <w:spacing w:val="5"/>
      <w:u w:val="single"/>
    </w:rPr>
  </w:style>
  <w:style w:type="paragraph" w:customStyle="1" w:styleId="2ColumnHeading">
    <w:name w:val="2Column Heading"/>
    <w:basedOn w:val="BodyText"/>
    <w:qFormat/>
    <w:rsid w:val="00162701"/>
    <w:pPr>
      <w:spacing w:after="60"/>
      <w:ind w:left="-2268"/>
    </w:pPr>
    <w:rPr>
      <w:b/>
    </w:rPr>
  </w:style>
  <w:style w:type="paragraph" w:customStyle="1" w:styleId="Heading1TOC">
    <w:name w:val="Heading1 TOC"/>
    <w:basedOn w:val="Normal"/>
    <w:qFormat/>
    <w:rsid w:val="00162701"/>
    <w:pPr>
      <w:spacing w:before="240" w:after="120"/>
    </w:pPr>
    <w:rPr>
      <w:rFonts w:ascii="Times New Roman" w:hAnsi="Times New Roman"/>
      <w:b/>
      <w:sz w:val="32"/>
    </w:rPr>
  </w:style>
  <w:style w:type="paragraph" w:customStyle="1" w:styleId="Heading2TOC">
    <w:name w:val="Heading2 TOC"/>
    <w:basedOn w:val="Normal"/>
    <w:qFormat/>
    <w:rsid w:val="00162701"/>
    <w:pPr>
      <w:spacing w:before="240" w:after="60"/>
    </w:pPr>
    <w:rPr>
      <w:rFonts w:ascii="Times New Roman" w:hAnsi="Times New Roman"/>
      <w:b/>
      <w:sz w:val="28"/>
    </w:rPr>
  </w:style>
  <w:style w:type="character" w:customStyle="1" w:styleId="Underline">
    <w:name w:val="Underline"/>
    <w:basedOn w:val="DefaultParagraphFont"/>
    <w:qFormat/>
    <w:rsid w:val="00162701"/>
    <w:rPr>
      <w:u w:val="single"/>
    </w:rPr>
  </w:style>
  <w:style w:type="character" w:customStyle="1" w:styleId="BoldandItalics">
    <w:name w:val="Bold and Italics"/>
    <w:qFormat/>
    <w:rsid w:val="00162701"/>
    <w:rPr>
      <w:b/>
      <w:i/>
      <w:u w:val="none"/>
    </w:rPr>
  </w:style>
  <w:style w:type="paragraph" w:styleId="BalloonText">
    <w:name w:val="Balloon Text"/>
    <w:basedOn w:val="Normal"/>
    <w:link w:val="BalloonTextChar"/>
    <w:rsid w:val="00162701"/>
    <w:rPr>
      <w:rFonts w:ascii="Tahoma" w:hAnsi="Tahoma" w:cs="Tahoma"/>
      <w:sz w:val="16"/>
      <w:szCs w:val="16"/>
    </w:rPr>
  </w:style>
  <w:style w:type="character" w:customStyle="1" w:styleId="BalloonTextChar">
    <w:name w:val="Balloon Text Char"/>
    <w:basedOn w:val="DefaultParagraphFont"/>
    <w:link w:val="BalloonText"/>
    <w:rsid w:val="00162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701"/>
    <w:rPr>
      <w:b/>
      <w:color w:val="660033"/>
      <w:spacing w:val="0"/>
    </w:rPr>
  </w:style>
  <w:style w:type="paragraph" w:customStyle="1" w:styleId="Nameditemlist">
    <w:name w:val="Named item list"/>
    <w:basedOn w:val="BodyText"/>
    <w:qFormat/>
    <w:rsid w:val="001627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985</Words>
  <Characters>6018</Characters>
  <Application>Microsoft Office Word</Application>
  <DocSecurity>0</DocSecurity>
  <Lines>212</Lines>
  <Paragraphs>90</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MEM13006B Collect and evaluate occupational health and safety data for an enterprise or section of an enterprise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2012-10-05T12:11:00Z</dcterms:created>
  <dcterms:modified xsi:type="dcterms:W3CDTF">2012-10-05T12:11:00Z</dcterms:modified>
</cp:coreProperties>
</file>