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DEC" w:rsidP="002B6DEC">
      <w:pPr>
        <w:pStyle w:val="Title"/>
      </w:pPr>
      <w:r>
        <w:fldChar w:fldCharType="begin"/>
      </w:r>
      <w:r>
        <w:instrText xml:space="preserve"> TITLE   \* MERGEFORMAT </w:instrText>
      </w:r>
      <w:r>
        <w:fldChar w:fldCharType="separate"/>
      </w:r>
      <w:r>
        <w:t>MEM13004B Work safely with molten metals/glass</w:t>
      </w:r>
      <w:r>
        <w:fldChar w:fldCharType="end"/>
      </w:r>
    </w:p>
    <w:p w:rsidR="002B6DEC" w:rsidP="002B6DEC">
      <w:pPr>
        <w:pStyle w:val="Version"/>
        <w:sectPr w:rsidSect="002A3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60F" w:rsidP="002A360F">
      <w:pPr>
        <w:pStyle w:val="SuperHeading"/>
      </w:pPr>
      <w:r w:rsidRPr="002A360F">
        <w:t>MEM13004B Work safely with molten metals/glass</w:t>
      </w:r>
    </w:p>
    <w:p w:rsidR="00000000" w:rsidRPr="002A360F" w:rsidP="002A360F">
      <w:pPr>
        <w:pStyle w:val="Heading1"/>
      </w:pPr>
      <w:bookmarkStart w:id="1" w:name="O_272170"/>
      <w:bookmarkEnd w:id="1"/>
      <w:r w:rsidRPr="002A360F">
        <w:t>Modification History</w:t>
      </w:r>
    </w:p>
    <w:p w:rsidR="00000000" w:rsidRPr="002A360F" w:rsidP="002A360F">
      <w:pPr>
        <w:pStyle w:val="BodyText"/>
      </w:pPr>
      <w:r w:rsidRPr="002A360F">
        <w:t>Not Applicable</w:t>
      </w:r>
    </w:p>
    <w:p w:rsidR="00000000" w:rsidRPr="002A360F" w:rsidP="002A360F">
      <w:pPr>
        <w:pStyle w:val="AllowPageBreak"/>
      </w:pPr>
    </w:p>
    <w:p w:rsidR="00000000" w:rsidRPr="002A360F" w:rsidP="002A360F">
      <w:pPr>
        <w:pStyle w:val="Heading1"/>
      </w:pPr>
      <w:bookmarkStart w:id="2" w:name="O_211628"/>
      <w:bookmarkEnd w:id="2"/>
      <w:r w:rsidRPr="002A360F">
        <w:t>Unit Descriptor</w:t>
      </w:r>
    </w:p>
    <w:tbl>
      <w:tblPr>
        <w:tblW w:w="0" w:type="auto"/>
        <w:tblLayout w:type="fixed"/>
        <w:tblCellMar>
          <w:left w:w="62" w:type="dxa"/>
          <w:right w:w="62" w:type="dxa"/>
        </w:tblCellMar>
        <w:tblLook w:val="0000"/>
      </w:tblPr>
      <w:tblGrid>
        <w:gridCol w:w="2669"/>
        <w:gridCol w:w="5853"/>
      </w:tblGrid>
      <w:tr w:rsidTr="002B6DE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This unit covers working safely with molten metals or glass including the appropriate using personal prot</w:t>
            </w:r>
            <w:r w:rsidRPr="002A360F">
              <w:t>ective equipment (PPE), identifying and responding to emergency procedures, observing safe work practices, and identifying the hazardous conditions in a heavy engineering environment.</w:t>
            </w:r>
          </w:p>
        </w:tc>
      </w:tr>
    </w:tbl>
    <w:p w:rsidR="002B6DEC" w:rsidP="002A360F">
      <w:pPr>
        <w:pStyle w:val="BodyText"/>
      </w:pPr>
    </w:p>
    <w:p w:rsidR="002B6DEC" w:rsidP="002A360F">
      <w:pPr>
        <w:pStyle w:val="BodyText"/>
      </w:pPr>
    </w:p>
    <w:p w:rsidR="00000000" w:rsidRPr="002A360F" w:rsidP="002A360F">
      <w:pPr>
        <w:pStyle w:val="Heading1"/>
      </w:pPr>
      <w:bookmarkStart w:id="3" w:name="O_211632"/>
      <w:bookmarkEnd w:id="3"/>
      <w:r w:rsidRPr="002A360F">
        <w:t>Application of the Unit</w:t>
      </w:r>
    </w:p>
    <w:tbl>
      <w:tblPr>
        <w:tblW w:w="0" w:type="auto"/>
        <w:tblLayout w:type="fixed"/>
        <w:tblCellMar>
          <w:left w:w="62" w:type="dxa"/>
          <w:right w:w="62" w:type="dxa"/>
        </w:tblCellMar>
        <w:tblLook w:val="0000"/>
      </w:tblPr>
      <w:tblGrid>
        <w:gridCol w:w="2745"/>
        <w:gridCol w:w="5777"/>
      </w:tblGrid>
      <w:tr w:rsidTr="002B6DE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This unit may be applied in all workplaces in which there is molten metal or molten glass, for example, in foundries, die casting operations, glass or molten glass operations, explosives manufacture.</w:t>
            </w:r>
          </w:p>
          <w:p w:rsidR="00000000" w:rsidRPr="002A360F" w:rsidP="002A360F">
            <w:pPr>
              <w:pStyle w:val="BodyText"/>
            </w:pPr>
            <w:r w:rsidRPr="002A360F">
              <w:t xml:space="preserve">Evidence of competency is to encompass the satisfactory </w:t>
            </w:r>
            <w:r w:rsidRPr="002A360F">
              <w:t>application of any current State/Territory OHS legislation, standards and codes of practice, and the hierarchy of hazard control measures with elimination, substitution, isolation and engineering control measures being selected before safe work practices a</w:t>
            </w:r>
            <w:r w:rsidRPr="002A360F">
              <w:t>nd personal protective equipment.</w:t>
            </w:r>
          </w:p>
          <w:p w:rsidR="00000000" w:rsidRPr="002A360F" w:rsidP="002A360F">
            <w:pPr>
              <w:pStyle w:val="BodyText"/>
            </w:pPr>
            <w:r w:rsidRPr="002A360F">
              <w:t>This competency is to be exhibited in accordance with all relevant OHS legislation.</w:t>
            </w:r>
          </w:p>
          <w:p w:rsidR="00000000" w:rsidRPr="002A360F" w:rsidP="002A360F">
            <w:pPr>
              <w:pStyle w:val="BodyText"/>
            </w:pPr>
          </w:p>
          <w:p w:rsidR="00000000" w:rsidRPr="002A360F" w:rsidP="002A360F">
            <w:pPr>
              <w:pStyle w:val="BodyText"/>
            </w:pPr>
            <w:r w:rsidRPr="002A360F">
              <w:rPr>
                <w:rStyle w:val="SpecialBold"/>
              </w:rPr>
              <w:t>Band</w:t>
            </w:r>
            <w:r w:rsidRPr="002A360F">
              <w:t>:</w:t>
            </w:r>
            <w:r w:rsidRPr="002A360F">
              <w:tab/>
            </w:r>
            <w:r w:rsidRPr="002A360F">
              <w:rPr>
                <w:rStyle w:val="SpecialBold"/>
              </w:rPr>
              <w:t>A</w:t>
            </w:r>
          </w:p>
          <w:p w:rsidR="00000000" w:rsidRPr="002A360F" w:rsidP="002A360F">
            <w:pPr>
              <w:pStyle w:val="BodyText"/>
            </w:pPr>
            <w:r w:rsidRPr="002A360F">
              <w:rPr>
                <w:rStyle w:val="SpecialBold"/>
              </w:rPr>
              <w:t>Unit Weight</w:t>
            </w:r>
            <w:r w:rsidRPr="002A360F">
              <w:t>:</w:t>
            </w:r>
            <w:r w:rsidRPr="002A360F">
              <w:tab/>
            </w:r>
            <w:r w:rsidRPr="002A360F">
              <w:rPr>
                <w:rStyle w:val="SpecialBold"/>
              </w:rPr>
              <w:t>2</w:t>
            </w:r>
          </w:p>
        </w:tc>
      </w:tr>
    </w:tbl>
    <w:p w:rsidR="002B6DEC" w:rsidP="002A360F">
      <w:pPr>
        <w:pStyle w:val="BodyText"/>
      </w:pPr>
    </w:p>
    <w:p w:rsidR="002B6DEC" w:rsidP="002A360F">
      <w:pPr>
        <w:pStyle w:val="BodyText"/>
      </w:pPr>
    </w:p>
    <w:p w:rsidR="00000000" w:rsidRPr="002A360F" w:rsidP="002A360F">
      <w:pPr>
        <w:pStyle w:val="Heading1"/>
      </w:pPr>
      <w:bookmarkStart w:id="4" w:name="O_280430"/>
      <w:bookmarkEnd w:id="4"/>
      <w:r w:rsidRPr="002A360F">
        <w:t>Licensing/Regulatory Information</w:t>
      </w:r>
    </w:p>
    <w:p w:rsidR="00000000" w:rsidRPr="002A360F" w:rsidP="002A360F">
      <w:pPr>
        <w:pStyle w:val="BodyText"/>
      </w:pPr>
      <w:r w:rsidRPr="002A360F">
        <w:t>Not Applicable</w:t>
      </w:r>
    </w:p>
    <w:p w:rsidR="00000000" w:rsidRPr="002A360F" w:rsidP="002A360F">
      <w:pPr>
        <w:pStyle w:val="AllowPageBreak"/>
      </w:pPr>
    </w:p>
    <w:p w:rsidR="00000000" w:rsidRPr="002A360F" w:rsidP="002A360F">
      <w:pPr>
        <w:pStyle w:val="Heading1"/>
      </w:pPr>
      <w:bookmarkStart w:id="5" w:name="O_211630"/>
      <w:bookmarkEnd w:id="5"/>
      <w:r w:rsidRPr="002A360F">
        <w:t>Pre-Requisites</w:t>
      </w:r>
    </w:p>
    <w:tbl>
      <w:tblPr>
        <w:tblW w:w="0" w:type="auto"/>
        <w:tblLayout w:type="fixed"/>
        <w:tblCellMar>
          <w:left w:w="62" w:type="dxa"/>
          <w:right w:w="62" w:type="dxa"/>
        </w:tblCellMar>
        <w:tblLook w:val="0000"/>
      </w:tblPr>
      <w:tblGrid>
        <w:gridCol w:w="2775"/>
        <w:gridCol w:w="1295"/>
        <w:gridCol w:w="4452"/>
      </w:tblGrid>
      <w:tr w:rsidTr="002B6D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p>
        </w:tc>
      </w:tr>
      <w:tr w:rsidTr="002B6D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p>
        </w:tc>
      </w:tr>
      <w:tr w:rsidTr="002B6D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p>
        </w:tc>
      </w:tr>
    </w:tbl>
    <w:p w:rsidR="002B6DEC" w:rsidP="002A360F">
      <w:pPr>
        <w:pStyle w:val="BodyText"/>
      </w:pPr>
    </w:p>
    <w:p w:rsidR="002B6DEC" w:rsidP="002A360F">
      <w:pPr>
        <w:pStyle w:val="BodyText"/>
      </w:pPr>
    </w:p>
    <w:p w:rsidR="00000000" w:rsidRPr="002A360F" w:rsidP="002A360F">
      <w:pPr>
        <w:pStyle w:val="Heading1"/>
      </w:pPr>
      <w:bookmarkStart w:id="6" w:name="O_211629"/>
      <w:bookmarkEnd w:id="6"/>
      <w:r w:rsidRPr="002A360F">
        <w:t>Employability Skills Information</w:t>
      </w:r>
    </w:p>
    <w:tbl>
      <w:tblPr>
        <w:tblW w:w="0" w:type="auto"/>
        <w:tblLayout w:type="fixed"/>
        <w:tblCellMar>
          <w:left w:w="62" w:type="dxa"/>
          <w:right w:w="62" w:type="dxa"/>
        </w:tblCellMar>
        <w:tblLook w:val="0000"/>
      </w:tblPr>
      <w:tblGrid>
        <w:gridCol w:w="2802"/>
        <w:gridCol w:w="5720"/>
      </w:tblGrid>
      <w:tr w:rsidTr="002B6D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This unit contains employability skills.</w:t>
            </w:r>
          </w:p>
        </w:tc>
      </w:tr>
    </w:tbl>
    <w:p w:rsidR="002B6DEC" w:rsidP="002A360F">
      <w:pPr>
        <w:pStyle w:val="BodyText"/>
      </w:pPr>
    </w:p>
    <w:p w:rsidR="002B6DEC" w:rsidP="002A360F">
      <w:pPr>
        <w:pStyle w:val="BodyText"/>
      </w:pPr>
    </w:p>
    <w:p w:rsidR="00000000" w:rsidRPr="002A360F" w:rsidP="002A360F">
      <w:pPr>
        <w:pStyle w:val="Heading1"/>
      </w:pPr>
      <w:bookmarkStart w:id="7" w:name="O_290216"/>
      <w:bookmarkEnd w:id="7"/>
      <w:r w:rsidRPr="002A360F">
        <w:t>Elements and Performance Criteria Pre-Content</w:t>
      </w:r>
    </w:p>
    <w:tbl>
      <w:tblPr>
        <w:tblW w:w="0" w:type="auto"/>
        <w:tblLayout w:type="fixed"/>
        <w:tblCellMar>
          <w:left w:w="62" w:type="dxa"/>
          <w:right w:w="62" w:type="dxa"/>
        </w:tblCellMar>
        <w:tblLook w:val="0000"/>
      </w:tblPr>
      <w:tblGrid>
        <w:gridCol w:w="2538"/>
        <w:gridCol w:w="5984"/>
      </w:tblGrid>
      <w:tr w:rsidTr="002B6DE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Elements de</w:t>
            </w:r>
            <w:r w:rsidRPr="002A360F">
              <w:t>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 xml:space="preserve">Performance criteria describe the performance needed to demonstrate achievement of the element. Where bold italicised text is used, further information is detailed in the required skills and knowledge </w:t>
            </w:r>
            <w:r w:rsidRPr="002A360F">
              <w:t>section and the range statement. Assessment of performance is to be consistent with the evidence guide.</w:t>
            </w:r>
          </w:p>
        </w:tc>
      </w:tr>
    </w:tbl>
    <w:p w:rsidR="00000000" w:rsidRPr="002A360F" w:rsidP="002A360F">
      <w:pPr>
        <w:pStyle w:val="BodyText"/>
      </w:pPr>
    </w:p>
    <w:p w:rsidR="00000000" w:rsidRPr="002A360F" w:rsidP="002A360F">
      <w:pPr>
        <w:pStyle w:val="AllowPageBreak"/>
      </w:pPr>
    </w:p>
    <w:p w:rsidR="00000000" w:rsidRPr="002A360F" w:rsidP="002A360F">
      <w:pPr>
        <w:pStyle w:val="Heading1"/>
      </w:pPr>
      <w:bookmarkStart w:id="8" w:name="O_236883"/>
      <w:bookmarkEnd w:id="8"/>
      <w:r w:rsidRPr="002A360F">
        <w:t>Elements and Performance Criteria</w:t>
      </w:r>
    </w:p>
    <w:tbl>
      <w:tblPr>
        <w:tblW w:w="0" w:type="auto"/>
        <w:tblLayout w:type="fixed"/>
        <w:tblCellMar>
          <w:left w:w="62" w:type="dxa"/>
          <w:right w:w="62" w:type="dxa"/>
        </w:tblCellMar>
        <w:tblLook w:val="0000"/>
      </w:tblPr>
      <w:tblGrid>
        <w:gridCol w:w="2538"/>
        <w:gridCol w:w="5984"/>
      </w:tblGrid>
      <w:tr w:rsidTr="002B6DEC">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PERFORMANCE CRITERIA</w:t>
            </w:r>
          </w:p>
        </w:tc>
      </w:tr>
      <w:tr w:rsidTr="002B6DE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List"/>
              <w:rPr>
                <w:lang w:val="en-NZ"/>
              </w:rPr>
            </w:pPr>
            <w:r w:rsidRPr="002A360F">
              <w:t>1.</w:t>
            </w:r>
            <w:r w:rsidRPr="002A360F">
              <w:tab/>
              <w:t>Identify the need for the use of personal protective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List2"/>
              <w:rPr>
                <w:lang w:val="en-NZ"/>
              </w:rPr>
            </w:pPr>
            <w:r w:rsidRPr="002A360F">
              <w:t>1.1.</w:t>
            </w:r>
            <w:r w:rsidRPr="002A360F">
              <w:tab/>
              <w:t>Appropriate personal protective equipment is identified and used correctly, as specified in standard operating procedures (SOP) and OHS information relating to the specific hazard(s).</w:t>
            </w:r>
          </w:p>
        </w:tc>
      </w:tr>
      <w:tr w:rsidTr="002B6DE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List"/>
              <w:rPr>
                <w:lang w:val="en-NZ"/>
              </w:rPr>
            </w:pPr>
            <w:r w:rsidRPr="002A360F">
              <w:t>2.</w:t>
            </w:r>
            <w:r w:rsidRPr="002A360F">
              <w:tab/>
              <w:t>Adhere to emergency procedures for working with molten metal an</w:t>
            </w:r>
            <w:r w:rsidRPr="002A360F">
              <w:t>d glass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List2"/>
            </w:pPr>
            <w:r w:rsidRPr="002A360F">
              <w:t>2.1.</w:t>
            </w:r>
            <w:r w:rsidRPr="002A360F">
              <w:tab/>
              <w:t>Emergency equipment is located and used in accordance with workplace policies and procedures.</w:t>
            </w:r>
          </w:p>
          <w:p w:rsidR="00000000" w:rsidP="002A360F">
            <w:pPr>
              <w:pStyle w:val="List2"/>
              <w:rPr>
                <w:lang w:val="en-NZ"/>
              </w:rPr>
            </w:pPr>
            <w:r w:rsidRPr="002A360F">
              <w:t>2.2.</w:t>
            </w:r>
            <w:r w:rsidRPr="002A360F">
              <w:tab/>
              <w:t xml:space="preserve">Responses to emergency procedures are demonstrated as  detailed in approved safety procedures and instructions. </w:t>
            </w:r>
          </w:p>
        </w:tc>
      </w:tr>
      <w:tr w:rsidTr="002B6DE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List"/>
              <w:rPr>
                <w:lang w:val="en-NZ"/>
              </w:rPr>
            </w:pPr>
            <w:r w:rsidRPr="002A360F">
              <w:t>3.</w:t>
            </w:r>
            <w:r w:rsidRPr="002A360F">
              <w:tab/>
            </w:r>
            <w:r w:rsidRPr="002A360F">
              <w:t>Identify, assess and control hazardous conditions operating in a heavy engineering environment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List2"/>
            </w:pPr>
            <w:r w:rsidRPr="002A360F">
              <w:t>3.1.</w:t>
            </w:r>
            <w:r w:rsidRPr="002A360F">
              <w:tab/>
              <w:t>Hazards are identified and reported and planning is undertaken to maintain a healthy and safe work environment.</w:t>
            </w:r>
          </w:p>
          <w:p w:rsidR="00000000" w:rsidP="002A360F">
            <w:pPr>
              <w:pStyle w:val="List2"/>
              <w:rPr>
                <w:lang w:val="en-NZ"/>
              </w:rPr>
            </w:pPr>
            <w:r w:rsidRPr="002A360F">
              <w:t>3.2.</w:t>
            </w:r>
            <w:r w:rsidRPr="002A360F">
              <w:tab/>
              <w:t>Workplace procedures and work instructi</w:t>
            </w:r>
            <w:r w:rsidRPr="002A360F">
              <w:t>ons for controlling risks are followed accurately.</w:t>
            </w:r>
          </w:p>
        </w:tc>
      </w:tr>
      <w:tr w:rsidTr="002B6DE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List"/>
              <w:rPr>
                <w:lang w:val="en-NZ"/>
              </w:rPr>
            </w:pPr>
            <w:r w:rsidRPr="002A360F">
              <w:t>4.</w:t>
            </w:r>
            <w:r w:rsidRPr="002A360F">
              <w:tab/>
              <w:t>Observe good OHS practices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List2"/>
            </w:pPr>
            <w:r w:rsidRPr="002A360F">
              <w:t>4.1.</w:t>
            </w:r>
            <w:r w:rsidRPr="002A360F">
              <w:tab/>
              <w:t>Hazardous areas and materials associated with molten metal/glass are identified and potential risks are identified.</w:t>
            </w:r>
          </w:p>
          <w:p w:rsidR="00000000" w:rsidRPr="002A360F" w:rsidP="002A360F">
            <w:pPr>
              <w:pStyle w:val="List2"/>
            </w:pPr>
            <w:r w:rsidRPr="002A360F">
              <w:t>4.2.</w:t>
            </w:r>
            <w:r w:rsidRPr="002A360F">
              <w:tab/>
              <w:t>Safety signs and symbols are identified and unde</w:t>
            </w:r>
            <w:r w:rsidRPr="002A360F">
              <w:t>rstood.</w:t>
            </w:r>
          </w:p>
          <w:p w:rsidR="00000000" w:rsidRPr="002A360F" w:rsidP="002A360F">
            <w:pPr>
              <w:pStyle w:val="List2"/>
            </w:pPr>
            <w:r w:rsidRPr="002A360F">
              <w:t>4.3.</w:t>
            </w:r>
            <w:r w:rsidRPr="002A360F">
              <w:tab/>
              <w:t>Equipment (including personal protective equipment) is used according to specifications and standard operating procedures.</w:t>
            </w:r>
          </w:p>
          <w:p w:rsidR="00000000" w:rsidRPr="002A360F" w:rsidP="002A360F">
            <w:pPr>
              <w:pStyle w:val="List2"/>
            </w:pPr>
            <w:r w:rsidRPr="002A360F">
              <w:t>4.4.</w:t>
            </w:r>
            <w:r w:rsidRPr="002A360F">
              <w:tab/>
              <w:t>Personal protective equipment is inspected and  maintained in good order and stored for reuse.</w:t>
            </w:r>
          </w:p>
          <w:p w:rsidR="00000000" w:rsidRPr="002A360F" w:rsidP="002A360F">
            <w:pPr>
              <w:pStyle w:val="List2"/>
            </w:pPr>
            <w:r w:rsidRPr="002A360F">
              <w:t>4.5.</w:t>
            </w:r>
            <w:r w:rsidRPr="002A360F">
              <w:tab/>
              <w:t>Hazardous items</w:t>
            </w:r>
            <w:r w:rsidRPr="002A360F">
              <w:t xml:space="preserve"> associated with task are identified and removed from hot material area if required and assessed and controlled.</w:t>
            </w:r>
          </w:p>
          <w:p w:rsidR="00000000" w:rsidRPr="002A360F" w:rsidP="002A360F">
            <w:pPr>
              <w:pStyle w:val="List2"/>
            </w:pPr>
            <w:r w:rsidRPr="002A360F">
              <w:t>4.6.</w:t>
            </w:r>
            <w:r w:rsidRPr="002A360F">
              <w:tab/>
              <w:t>Housekeeping duties are performed according to standard operating procedure to maintain a safe working environment and include the safe us</w:t>
            </w:r>
            <w:r w:rsidRPr="002A360F">
              <w:t>e, accessibility and maintenance of PPEs.</w:t>
            </w:r>
          </w:p>
        </w:tc>
      </w:tr>
    </w:tbl>
    <w:p w:rsidR="002B6DEC" w:rsidP="002A360F">
      <w:pPr>
        <w:pStyle w:val="BodyText"/>
      </w:pPr>
    </w:p>
    <w:p w:rsidR="002B6DEC" w:rsidP="002A360F">
      <w:pPr>
        <w:pStyle w:val="BodyText"/>
      </w:pPr>
    </w:p>
    <w:p w:rsidR="00000000" w:rsidRPr="002A360F" w:rsidP="002A360F">
      <w:pPr>
        <w:pStyle w:val="Heading1"/>
      </w:pPr>
      <w:bookmarkStart w:id="9" w:name="O_260833"/>
      <w:bookmarkEnd w:id="9"/>
      <w:r w:rsidRPr="002A360F">
        <w:t>Required Skills and Knowledge</w:t>
      </w:r>
    </w:p>
    <w:tbl>
      <w:tblPr>
        <w:tblW w:w="0" w:type="auto"/>
        <w:tblLayout w:type="fixed"/>
        <w:tblCellMar>
          <w:left w:w="62" w:type="dxa"/>
          <w:right w:w="62" w:type="dxa"/>
        </w:tblCellMar>
        <w:tblLook w:val="0000"/>
      </w:tblPr>
      <w:tblGrid>
        <w:gridCol w:w="8522"/>
      </w:tblGrid>
      <w:tr w:rsidTr="002B6D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REQUIRED SKILLS AND KNOWLEDGE</w:t>
            </w:r>
          </w:p>
        </w:tc>
      </w:tr>
      <w:tr w:rsidTr="002B6D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This section describes the skills and knowledge required for this unit.</w:t>
            </w:r>
          </w:p>
        </w:tc>
      </w:tr>
      <w:tr w:rsidTr="002B6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Required skills</w:t>
            </w:r>
          </w:p>
        </w:tc>
      </w:tr>
      <w:tr w:rsidTr="002B6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Look for evidence that confirms skills in:</w:t>
            </w:r>
          </w:p>
          <w:p w:rsidR="00000000" w:rsidRPr="002A360F" w:rsidP="002A360F">
            <w:pPr>
              <w:pStyle w:val="ListBullet"/>
            </w:pPr>
            <w:r w:rsidRPr="002A360F">
              <w:t>using appropriate personal protective equipment</w:t>
            </w:r>
          </w:p>
          <w:p w:rsidR="00000000" w:rsidRPr="002A360F" w:rsidP="002A360F">
            <w:pPr>
              <w:pStyle w:val="ListBullet"/>
            </w:pPr>
            <w:r w:rsidRPr="002A360F">
              <w:t>responding to emergency procedures (fires, accidents etc.)</w:t>
            </w:r>
          </w:p>
          <w:p w:rsidR="00000000" w:rsidRPr="002A360F" w:rsidP="002A360F">
            <w:pPr>
              <w:pStyle w:val="ListBullet"/>
            </w:pPr>
            <w:r w:rsidRPr="002A360F">
              <w:t>handling hazardous materials and equipment within the scope of this unit</w:t>
            </w:r>
          </w:p>
          <w:p w:rsidR="00000000" w:rsidRPr="002A360F" w:rsidP="002A360F">
            <w:pPr>
              <w:pStyle w:val="ListBullet"/>
            </w:pPr>
            <w:r w:rsidRPr="002A360F">
              <w:t xml:space="preserve">maintaining equipment </w:t>
            </w:r>
          </w:p>
          <w:p w:rsidR="00000000" w:rsidRPr="002A360F" w:rsidP="002A360F">
            <w:pPr>
              <w:pStyle w:val="ListBullet"/>
            </w:pPr>
            <w:r w:rsidRPr="002A360F">
              <w:t>housekeep</w:t>
            </w:r>
            <w:r w:rsidRPr="002A360F">
              <w:t xml:space="preserve">ing </w:t>
            </w:r>
          </w:p>
          <w:p w:rsidR="00000000" w:rsidRPr="002A360F" w:rsidP="002A360F">
            <w:pPr>
              <w:pStyle w:val="ListBullet"/>
            </w:pPr>
            <w:r w:rsidRPr="002A360F">
              <w:t>identifying and reporting hazardous conditions and taking actions to rectify hazards</w:t>
            </w:r>
          </w:p>
          <w:p w:rsidR="00000000" w:rsidRPr="002A360F" w:rsidP="002A360F">
            <w:pPr>
              <w:pStyle w:val="ListBullet"/>
            </w:pPr>
            <w:r w:rsidRPr="002A360F">
              <w:t>interpreting text and numerical (e.g. quantities, units of measurement) information on material safety data sheets, safety signs, symbols and labels</w:t>
            </w:r>
          </w:p>
          <w:p w:rsidR="00000000" w:rsidP="002A360F">
            <w:pPr>
              <w:pStyle w:val="ListBullet"/>
              <w:rPr>
                <w:lang w:val="en-NZ"/>
              </w:rPr>
            </w:pPr>
            <w:r w:rsidRPr="002A360F">
              <w:t>using manual handling techniques</w:t>
            </w:r>
          </w:p>
        </w:tc>
      </w:tr>
      <w:tr w:rsidTr="002B6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Required knowledge</w:t>
            </w:r>
          </w:p>
        </w:tc>
      </w:tr>
      <w:tr w:rsidTr="002B6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Look for evidence that confirms knowledge of:</w:t>
            </w:r>
          </w:p>
          <w:p w:rsidR="00000000" w:rsidRPr="002A360F" w:rsidP="002A360F">
            <w:pPr>
              <w:pStyle w:val="ListBullet"/>
            </w:pPr>
            <w:r w:rsidRPr="002A360F">
              <w:t>hazards, hazardous areas and materials and hazard control measures associated with molten metal/glass</w:t>
            </w:r>
          </w:p>
          <w:p w:rsidR="00000000" w:rsidRPr="002A360F" w:rsidP="002A360F">
            <w:pPr>
              <w:pStyle w:val="ListBullet"/>
            </w:pPr>
            <w:r w:rsidRPr="002A360F">
              <w:t>hierarchy of control</w:t>
            </w:r>
          </w:p>
          <w:p w:rsidR="00000000" w:rsidRPr="002A360F" w:rsidP="002A360F">
            <w:pPr>
              <w:pStyle w:val="ListBullet"/>
            </w:pPr>
            <w:r w:rsidRPr="002A360F">
              <w:t>procedures relevant to raising O</w:t>
            </w:r>
            <w:r w:rsidRPr="002A360F">
              <w:t>H&amp;S issues</w:t>
            </w:r>
          </w:p>
          <w:p w:rsidR="00000000" w:rsidRPr="002A360F" w:rsidP="002A360F">
            <w:pPr>
              <w:pStyle w:val="ListBullet"/>
            </w:pPr>
            <w:r w:rsidRPr="002A360F">
              <w:t>rights and responsibilities of workplace parties under OH&amp;S acts, regulations, codes of practice etc.</w:t>
            </w:r>
          </w:p>
          <w:p w:rsidR="00000000" w:rsidRPr="002A360F" w:rsidP="002A360F">
            <w:pPr>
              <w:pStyle w:val="ListBullet"/>
            </w:pPr>
            <w:r w:rsidRPr="002A360F">
              <w:t>designated personnel responsible for OH&amp;S</w:t>
            </w:r>
          </w:p>
          <w:p w:rsidR="00000000" w:rsidRPr="002A360F" w:rsidP="002A360F">
            <w:pPr>
              <w:pStyle w:val="ListBullet"/>
            </w:pPr>
            <w:r w:rsidRPr="002A360F">
              <w:t>applicable personal protective equipment</w:t>
            </w:r>
          </w:p>
          <w:p w:rsidR="00000000" w:rsidRPr="002A360F" w:rsidP="002A360F">
            <w:pPr>
              <w:pStyle w:val="ListBullet"/>
            </w:pPr>
            <w:r w:rsidRPr="002A360F">
              <w:t>emergency procedures</w:t>
            </w:r>
          </w:p>
          <w:p w:rsidR="00000000" w:rsidRPr="002A360F" w:rsidP="002A360F">
            <w:pPr>
              <w:pStyle w:val="ListBullet"/>
            </w:pPr>
            <w:r w:rsidRPr="002A360F">
              <w:t>safety signs, symbols and labels</w:t>
            </w:r>
          </w:p>
          <w:p w:rsidR="00000000" w:rsidRPr="002A360F" w:rsidP="002A360F">
            <w:pPr>
              <w:pStyle w:val="ListBullet"/>
            </w:pPr>
            <w:r w:rsidRPr="002A360F">
              <w:t>proced</w:t>
            </w:r>
            <w:r w:rsidRPr="002A360F">
              <w:t>ures for correct inspection and service of equipment including personal protective equipment</w:t>
            </w:r>
          </w:p>
          <w:p w:rsidR="00000000" w:rsidRPr="002A360F" w:rsidP="002A360F">
            <w:pPr>
              <w:pStyle w:val="ListBullet"/>
            </w:pPr>
            <w:r w:rsidRPr="002A360F">
              <w:t xml:space="preserve">routine maintenance procedures for equipment </w:t>
            </w:r>
          </w:p>
          <w:p w:rsidR="00000000" w:rsidRPr="002A360F" w:rsidP="002A360F">
            <w:pPr>
              <w:pStyle w:val="ListBullet"/>
            </w:pPr>
            <w:r w:rsidRPr="002A360F">
              <w:t>workplace procedures for working in hazardous areas</w:t>
            </w:r>
          </w:p>
          <w:p w:rsidR="00000000" w:rsidRPr="002A360F" w:rsidP="002A360F">
            <w:pPr>
              <w:pStyle w:val="ListBullet"/>
            </w:pPr>
            <w:r w:rsidRPr="002A360F">
              <w:t>the consequences of not maintaining a clean and safe working environment</w:t>
            </w:r>
          </w:p>
          <w:p w:rsidR="00000000" w:rsidRPr="002A360F" w:rsidP="002A360F">
            <w:pPr>
              <w:pStyle w:val="ListBullet"/>
            </w:pPr>
            <w:r w:rsidRPr="002A360F">
              <w:t>specific hazards associated with the work environment/industry</w:t>
            </w:r>
          </w:p>
          <w:p w:rsidR="00000000" w:rsidRPr="002A360F" w:rsidP="002A360F">
            <w:pPr>
              <w:pStyle w:val="ListBullet"/>
            </w:pPr>
            <w:r w:rsidRPr="002A360F">
              <w:t>safe manual handling procedures</w:t>
            </w:r>
          </w:p>
          <w:p w:rsidR="00000000" w:rsidRPr="002A360F" w:rsidP="002A360F">
            <w:pPr>
              <w:pStyle w:val="ListBullet"/>
            </w:pPr>
            <w:r w:rsidRPr="002A360F">
              <w:t>location of emergency equipment including first aid facilities</w:t>
            </w:r>
          </w:p>
        </w:tc>
      </w:tr>
    </w:tbl>
    <w:p w:rsidR="002B6DEC" w:rsidP="002A360F">
      <w:pPr>
        <w:pStyle w:val="BodyText"/>
      </w:pPr>
    </w:p>
    <w:p w:rsidR="002B6DEC" w:rsidP="002A360F">
      <w:pPr>
        <w:pStyle w:val="BodyText"/>
      </w:pPr>
    </w:p>
    <w:p w:rsidR="00000000" w:rsidRPr="002A360F" w:rsidP="002A360F">
      <w:pPr>
        <w:pStyle w:val="AllowPageBreak"/>
      </w:pPr>
    </w:p>
    <w:p w:rsidR="00000000" w:rsidRPr="002A360F" w:rsidP="002A360F">
      <w:pPr>
        <w:pStyle w:val="Heading1"/>
      </w:pPr>
      <w:bookmarkStart w:id="10" w:name="O_244867"/>
      <w:bookmarkEnd w:id="10"/>
      <w:r w:rsidRPr="002A360F">
        <w:t>Evidence Guide</w:t>
      </w:r>
    </w:p>
    <w:tbl>
      <w:tblPr>
        <w:tblW w:w="9570" w:type="dxa"/>
        <w:tblLayout w:type="fixed"/>
        <w:tblCellMar>
          <w:left w:w="62" w:type="dxa"/>
          <w:right w:w="62" w:type="dxa"/>
        </w:tblCellMar>
        <w:tblLook w:val="0000"/>
      </w:tblPr>
      <w:tblGrid>
        <w:gridCol w:w="3908"/>
        <w:gridCol w:w="5662"/>
      </w:tblGrid>
      <w:tr w:rsidTr="002B6D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EVIDENCE GUIDE</w:t>
            </w:r>
          </w:p>
        </w:tc>
      </w:tr>
      <w:tr w:rsidTr="002B6D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The evidence guide provides advice on assessment and must be read in conjunction with the performance criteria, required skills and knowledge, range statement and the Assessment Guidelines for the Training Pa</w:t>
            </w:r>
            <w:r w:rsidRPr="002A360F">
              <w:t>ckage.</w:t>
            </w:r>
          </w:p>
        </w:tc>
      </w:tr>
      <w:tr w:rsidTr="002B6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 xml:space="preserve">A person who demonstrates competency in this unit must be able to work safely with molten metals/glass. </w:t>
            </w:r>
          </w:p>
        </w:tc>
      </w:tr>
      <w:tr w:rsidTr="002B6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Assessors must be satisfied that the candidate can competently and consistently perform all elements of the unit as specified by the criteria, including required knowledge, and be capable of applying the competency in new and different situations and conte</w:t>
            </w:r>
            <w:r w:rsidRPr="002A360F">
              <w:t>xts.</w:t>
            </w:r>
          </w:p>
        </w:tc>
      </w:tr>
      <w:tr w:rsidTr="002B6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 xml:space="preserve">This unit may be assessed on the job, off the job or a combination of both on and off the job. Where assessment occurs off the job, that is the candidate is not in productive work, then an appropriate </w:t>
            </w:r>
            <w:r w:rsidRPr="002A360F">
              <w:t>simulation must be used where the range of conditions reflects realistic workplace situations. The competencies covered by this unit would be demonstrated by an individual working alone or as part of a team. The assessment environment should not disadvanta</w:t>
            </w:r>
            <w:r w:rsidRPr="002A360F">
              <w:t xml:space="preserve">ge the candidate. </w:t>
            </w:r>
          </w:p>
          <w:p w:rsidR="00000000" w:rsidP="002A360F">
            <w:pPr>
              <w:pStyle w:val="BodyText"/>
              <w:rPr>
                <w:lang w:val="en-NZ"/>
              </w:rPr>
            </w:pPr>
            <w:r w:rsidRPr="002A360F">
              <w:t>This unit could be assessed in conjunction with any other units addressing the safety, quality, communication, materials handling, recording and reporting associated with working safely with molten metals/glass or other units requiring t</w:t>
            </w:r>
            <w:r w:rsidRPr="002A360F">
              <w:t>he exercise of the skills and knowledge covered by this unit.</w:t>
            </w:r>
          </w:p>
        </w:tc>
      </w:tr>
      <w:tr w:rsidTr="002B6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Assessors should gather a range of evidence that is valid, sufficient, current and authentic. Evidence can be gathered through a variety of ways including direct observatio</w:t>
            </w:r>
            <w:r w:rsidRPr="002A360F">
              <w:t>n, supervisor's reports, project work, samples and questioning. Questioning techniques should not require language, literacy and numeracy skills beyond those required in this unit of competency. The candidate must have access to all tools, equipment, mater</w:t>
            </w:r>
            <w:r w:rsidRPr="002A360F">
              <w:t>ials and documentation required. The candidate must be permitted to refer to any relevant workplace procedures, product and manufacturing specifications, codes, standards, manuals and reference materials.</w:t>
            </w:r>
          </w:p>
        </w:tc>
      </w:tr>
      <w:tr w:rsidTr="002B6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p>
        </w:tc>
      </w:tr>
    </w:tbl>
    <w:p w:rsidR="002B6DEC" w:rsidP="002A360F">
      <w:pPr>
        <w:pStyle w:val="BodyText"/>
      </w:pPr>
    </w:p>
    <w:p w:rsidR="002B6DEC" w:rsidP="002A360F">
      <w:pPr>
        <w:pStyle w:val="BodyText"/>
      </w:pPr>
    </w:p>
    <w:p w:rsidR="00000000" w:rsidRPr="002A360F" w:rsidP="002A360F">
      <w:pPr>
        <w:pStyle w:val="Heading1"/>
      </w:pPr>
      <w:bookmarkStart w:id="11" w:name="O_252850"/>
      <w:bookmarkEnd w:id="11"/>
      <w:r w:rsidRPr="002A360F">
        <w:t>Range Statement</w:t>
      </w:r>
    </w:p>
    <w:tbl>
      <w:tblPr>
        <w:tblW w:w="0" w:type="auto"/>
        <w:tblLayout w:type="fixed"/>
        <w:tblCellMar>
          <w:left w:w="62" w:type="dxa"/>
          <w:right w:w="62" w:type="dxa"/>
        </w:tblCellMar>
        <w:tblLook w:val="0000"/>
      </w:tblPr>
      <w:tblGrid>
        <w:gridCol w:w="3496"/>
        <w:gridCol w:w="5026"/>
      </w:tblGrid>
      <w:tr w:rsidTr="002B6D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RANGE STATEMENT</w:t>
            </w:r>
          </w:p>
        </w:tc>
      </w:tr>
      <w:tr w:rsidTr="002B6D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The range statement relates to the unit of competency as a whole. It allows for different work environments and situations that may affect performance. Bold italicised wording, if used in the performance cr</w:t>
            </w:r>
            <w:r w:rsidRPr="002A360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B6DE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Personal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ListBullet"/>
            </w:pPr>
            <w:r w:rsidRPr="002A360F">
              <w:t>Face protection</w:t>
            </w:r>
          </w:p>
          <w:p w:rsidR="00000000" w:rsidRPr="002A360F" w:rsidP="002A360F">
            <w:pPr>
              <w:pStyle w:val="ListBullet"/>
            </w:pPr>
            <w:r w:rsidRPr="002A360F">
              <w:t>Eye protection</w:t>
            </w:r>
          </w:p>
          <w:p w:rsidR="00000000" w:rsidRPr="002A360F" w:rsidP="002A360F">
            <w:pPr>
              <w:pStyle w:val="ListBullet"/>
            </w:pPr>
            <w:r w:rsidRPr="002A360F">
              <w:t>Respiratory protection</w:t>
            </w:r>
          </w:p>
          <w:p w:rsidR="00000000" w:rsidRPr="002A360F" w:rsidP="002A360F">
            <w:pPr>
              <w:pStyle w:val="ListBullet"/>
            </w:pPr>
            <w:r w:rsidRPr="002A360F">
              <w:t xml:space="preserve">Hearing protection </w:t>
            </w:r>
          </w:p>
          <w:p w:rsidR="00000000" w:rsidRPr="002A360F" w:rsidP="002A360F">
            <w:pPr>
              <w:pStyle w:val="ListBullet"/>
            </w:pPr>
            <w:r w:rsidRPr="002A360F">
              <w:t>Hand protection</w:t>
            </w:r>
          </w:p>
          <w:p w:rsidR="00000000" w:rsidP="002A360F">
            <w:pPr>
              <w:pStyle w:val="ListBullet"/>
              <w:rPr>
                <w:lang w:val="en-NZ"/>
              </w:rPr>
            </w:pPr>
            <w:r w:rsidRPr="002A360F">
              <w:t>Clothing and footwear protection</w:t>
            </w:r>
          </w:p>
        </w:tc>
      </w:tr>
      <w:tr w:rsidTr="002B6DE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Risk</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t>Likelihood and consequences of injury or damage</w:t>
            </w:r>
          </w:p>
        </w:tc>
      </w:tr>
      <w:tr w:rsidTr="002B6DE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Hazardous material</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ListBullet"/>
            </w:pPr>
            <w:r w:rsidRPr="002A360F">
              <w:t>Hot material</w:t>
            </w:r>
          </w:p>
          <w:p w:rsidR="00000000" w:rsidRPr="002A360F" w:rsidP="002A360F">
            <w:pPr>
              <w:pStyle w:val="ListBullet"/>
            </w:pPr>
            <w:r w:rsidRPr="002A360F">
              <w:t xml:space="preserve">Molten metals </w:t>
            </w:r>
          </w:p>
          <w:p w:rsidR="00000000" w:rsidRPr="002A360F" w:rsidP="002A360F">
            <w:pPr>
              <w:pStyle w:val="ListBullet"/>
            </w:pPr>
            <w:r w:rsidRPr="002A360F">
              <w:t>Molten glass and associated products etc.</w:t>
            </w:r>
          </w:p>
          <w:p w:rsidR="00000000" w:rsidRPr="002A360F" w:rsidP="002A360F">
            <w:pPr>
              <w:pStyle w:val="ListBullet"/>
            </w:pPr>
            <w:r w:rsidRPr="002A360F">
              <w:t>Explosive materials</w:t>
            </w:r>
          </w:p>
        </w:tc>
      </w:tr>
    </w:tbl>
    <w:p w:rsidR="002B6DEC" w:rsidP="002A360F">
      <w:pPr>
        <w:pStyle w:val="BodyText"/>
      </w:pPr>
    </w:p>
    <w:p w:rsidR="002B6DEC" w:rsidP="002A360F">
      <w:pPr>
        <w:pStyle w:val="BodyText"/>
      </w:pPr>
    </w:p>
    <w:p w:rsidR="00000000" w:rsidRPr="002A360F" w:rsidP="002A360F">
      <w:pPr>
        <w:pStyle w:val="Heading1"/>
      </w:pPr>
      <w:bookmarkStart w:id="12" w:name="O_211634"/>
      <w:bookmarkEnd w:id="12"/>
      <w:r w:rsidRPr="002A360F">
        <w:t>Unit Sector(s)</w:t>
      </w:r>
    </w:p>
    <w:tbl>
      <w:tblPr>
        <w:tblW w:w="0" w:type="auto"/>
        <w:tblLayout w:type="fixed"/>
        <w:tblCellMar>
          <w:left w:w="62" w:type="dxa"/>
          <w:right w:w="62" w:type="dxa"/>
        </w:tblCellMar>
        <w:tblLook w:val="0000"/>
      </w:tblPr>
      <w:tblGrid>
        <w:gridCol w:w="2654"/>
        <w:gridCol w:w="5868"/>
      </w:tblGrid>
      <w:tr w:rsidTr="002B6D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p>
        </w:tc>
      </w:tr>
    </w:tbl>
    <w:p w:rsidR="002B6DEC" w:rsidP="002A360F">
      <w:pPr>
        <w:pStyle w:val="BodyText"/>
      </w:pPr>
    </w:p>
    <w:p w:rsidR="002B6DEC" w:rsidP="002A360F">
      <w:pPr>
        <w:pStyle w:val="BodyText"/>
      </w:pPr>
    </w:p>
    <w:p w:rsidR="00000000" w:rsidRPr="002A360F" w:rsidP="002A360F">
      <w:pPr>
        <w:pStyle w:val="Heading1"/>
      </w:pPr>
      <w:bookmarkStart w:id="13" w:name="O_211631"/>
      <w:bookmarkEnd w:id="13"/>
      <w:r w:rsidRPr="002A360F">
        <w:t>Co-requisite units</w:t>
      </w:r>
    </w:p>
    <w:tbl>
      <w:tblPr>
        <w:tblW w:w="0" w:type="auto"/>
        <w:tblLayout w:type="fixed"/>
        <w:tblCellMar>
          <w:left w:w="62" w:type="dxa"/>
          <w:right w:w="62" w:type="dxa"/>
        </w:tblCellMar>
        <w:tblLook w:val="0000"/>
      </w:tblPr>
      <w:tblGrid>
        <w:gridCol w:w="2641"/>
        <w:gridCol w:w="1322"/>
        <w:gridCol w:w="4559"/>
      </w:tblGrid>
      <w:tr w:rsidTr="002B6D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p>
        </w:tc>
      </w:tr>
      <w:tr w:rsidTr="002B6D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p>
        </w:tc>
      </w:tr>
      <w:tr w:rsidTr="002B6D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p>
        </w:tc>
      </w:tr>
    </w:tbl>
    <w:p w:rsidR="002B6DEC" w:rsidP="002A360F">
      <w:pPr>
        <w:pStyle w:val="BodyText"/>
      </w:pPr>
    </w:p>
    <w:p w:rsidR="002B6DEC" w:rsidP="002A360F">
      <w:pPr>
        <w:pStyle w:val="BodyText"/>
      </w:pPr>
    </w:p>
    <w:p w:rsidR="00000000" w:rsidRPr="002A360F" w:rsidP="002A360F">
      <w:pPr>
        <w:pStyle w:val="Heading1"/>
      </w:pPr>
      <w:bookmarkStart w:id="14" w:name="O_211633"/>
      <w:bookmarkEnd w:id="14"/>
      <w:r w:rsidRPr="002A360F">
        <w:t>Competency field</w:t>
      </w:r>
    </w:p>
    <w:tbl>
      <w:tblPr>
        <w:tblW w:w="0" w:type="auto"/>
        <w:tblLayout w:type="fixed"/>
        <w:tblCellMar>
          <w:left w:w="62" w:type="dxa"/>
          <w:right w:w="62" w:type="dxa"/>
        </w:tblCellMar>
        <w:tblLook w:val="0000"/>
      </w:tblPr>
      <w:tblGrid>
        <w:gridCol w:w="2774"/>
        <w:gridCol w:w="5748"/>
      </w:tblGrid>
      <w:tr w:rsidTr="002B6DE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60F">
            <w:pPr>
              <w:pStyle w:val="BodyText"/>
              <w:rPr>
                <w:lang w:val="en-NZ"/>
              </w:rPr>
            </w:pPr>
            <w:r w:rsidRPr="002A360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60F" w:rsidP="002A360F">
            <w:pPr>
              <w:pStyle w:val="BodyText"/>
            </w:pPr>
            <w:r w:rsidRPr="002A360F">
              <w:t>Occupational health and safety</w:t>
            </w:r>
          </w:p>
        </w:tc>
      </w:tr>
    </w:tbl>
    <w:p w:rsidR="002B6DEC" w:rsidP="002A360F">
      <w:pPr>
        <w:pStyle w:val="BodyText"/>
      </w:pPr>
    </w:p>
    <w:p w:rsidR="002B6DEC" w:rsidP="002A360F">
      <w:pPr>
        <w:pStyle w:val="BodyText"/>
      </w:pPr>
    </w:p>
    <w:p w:rsidR="00000000" w:rsidRPr="002A360F" w:rsidP="002A360F"/>
    <w:sectPr w:rsidSect="002A3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DEC" w:rsidP="002B6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EC" w:rsidP="002A3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6DEC" w:rsidP="002A3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6DEC" w:rsidP="002A3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DEC" w:rsidP="002B6D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EC" w:rsidP="002A360F">
    <w:pPr>
      <w:pStyle w:val="Header"/>
      <w:framePr w:wrap="around"/>
    </w:pPr>
    <w:r>
      <w:fldChar w:fldCharType="begin"/>
    </w:r>
    <w:r>
      <w:instrText xml:space="preserve"> TITLE   \* MERGEFORMAT </w:instrText>
    </w:r>
    <w:r>
      <w:fldChar w:fldCharType="separate"/>
    </w:r>
    <w:r>
      <w:t>MEM13004B Work safely with molten metals/glass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DEC" w:rsidP="002A36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49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884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6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360F"/>
    <w:pPr>
      <w:spacing w:before="360" w:after="60"/>
      <w:outlineLvl w:val="0"/>
    </w:pPr>
    <w:rPr>
      <w:sz w:val="32"/>
    </w:rPr>
  </w:style>
  <w:style w:type="paragraph" w:styleId="Heading2">
    <w:name w:val="heading 2"/>
    <w:basedOn w:val="HeadingBase"/>
    <w:next w:val="BodyText"/>
    <w:link w:val="Heading2Char"/>
    <w:qFormat/>
    <w:rsid w:val="002A360F"/>
    <w:pPr>
      <w:keepLines/>
      <w:spacing w:before="240" w:after="120"/>
      <w:outlineLvl w:val="1"/>
    </w:pPr>
    <w:rPr>
      <w:sz w:val="28"/>
      <w:szCs w:val="40"/>
    </w:rPr>
  </w:style>
  <w:style w:type="paragraph" w:styleId="Heading3">
    <w:name w:val="heading 3"/>
    <w:basedOn w:val="HeadingBase"/>
    <w:next w:val="BodyText"/>
    <w:link w:val="Heading3Char"/>
    <w:qFormat/>
    <w:rsid w:val="002A360F"/>
    <w:pPr>
      <w:spacing w:before="180" w:after="120"/>
      <w:outlineLvl w:val="2"/>
    </w:pPr>
    <w:rPr>
      <w:spacing w:val="-10"/>
      <w:kern w:val="32"/>
    </w:rPr>
  </w:style>
  <w:style w:type="paragraph" w:styleId="Heading4">
    <w:name w:val="heading 4"/>
    <w:basedOn w:val="HeadingBase"/>
    <w:next w:val="BodyText"/>
    <w:link w:val="Heading4Char"/>
    <w:qFormat/>
    <w:rsid w:val="002A360F"/>
    <w:pPr>
      <w:spacing w:before="160" w:after="120"/>
      <w:outlineLvl w:val="3"/>
    </w:pPr>
    <w:rPr>
      <w:sz w:val="22"/>
    </w:rPr>
  </w:style>
  <w:style w:type="paragraph" w:styleId="Heading5">
    <w:name w:val="heading 5"/>
    <w:basedOn w:val="HeadingBase"/>
    <w:next w:val="Normal"/>
    <w:link w:val="Heading5Char"/>
    <w:qFormat/>
    <w:rsid w:val="002A360F"/>
    <w:pPr>
      <w:spacing w:before="80"/>
      <w:outlineLvl w:val="4"/>
    </w:pPr>
    <w:rPr>
      <w:color w:val="918585"/>
      <w:sz w:val="20"/>
    </w:rPr>
  </w:style>
  <w:style w:type="paragraph" w:styleId="Heading6">
    <w:name w:val="heading 6"/>
    <w:basedOn w:val="HeadingBase"/>
    <w:next w:val="Normal"/>
    <w:link w:val="Heading6Char"/>
    <w:qFormat/>
    <w:rsid w:val="002A360F"/>
    <w:pPr>
      <w:spacing w:before="60"/>
      <w:outlineLvl w:val="5"/>
    </w:pPr>
    <w:rPr>
      <w:color w:val="918585"/>
      <w:sz w:val="20"/>
    </w:rPr>
  </w:style>
  <w:style w:type="paragraph" w:styleId="Heading7">
    <w:name w:val="heading 7"/>
    <w:basedOn w:val="Normal"/>
    <w:next w:val="Normal"/>
    <w:link w:val="Heading7Char"/>
    <w:qFormat/>
    <w:rsid w:val="002A360F"/>
    <w:pPr>
      <w:ind w:left="720"/>
      <w:outlineLvl w:val="6"/>
    </w:pPr>
    <w:rPr>
      <w:i/>
    </w:rPr>
  </w:style>
  <w:style w:type="paragraph" w:styleId="Heading8">
    <w:name w:val="heading 8"/>
    <w:basedOn w:val="Normal"/>
    <w:next w:val="Normal"/>
    <w:link w:val="Heading8Char"/>
    <w:qFormat/>
    <w:rsid w:val="002A360F"/>
    <w:pPr>
      <w:ind w:left="720"/>
      <w:outlineLvl w:val="7"/>
    </w:pPr>
    <w:rPr>
      <w:i/>
    </w:rPr>
  </w:style>
  <w:style w:type="paragraph" w:styleId="Heading9">
    <w:name w:val="heading 9"/>
    <w:basedOn w:val="Normal"/>
    <w:next w:val="Normal"/>
    <w:link w:val="Heading9Char"/>
    <w:qFormat/>
    <w:rsid w:val="002A360F"/>
    <w:pPr>
      <w:ind w:left="720"/>
      <w:outlineLvl w:val="8"/>
    </w:pPr>
    <w:rPr>
      <w:i/>
    </w:rPr>
  </w:style>
  <w:style w:type="character" w:default="1" w:styleId="DefaultParagraphFont">
    <w:name w:val="Default Paragraph Font"/>
    <w:uiPriority w:val="1"/>
    <w:unhideWhenUsed/>
    <w:rsid w:val="002A3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60F"/>
  </w:style>
  <w:style w:type="character" w:customStyle="1" w:styleId="Heading1Char">
    <w:name w:val="Heading 1 Char"/>
    <w:basedOn w:val="DefaultParagraphFont"/>
    <w:link w:val="Heading1"/>
    <w:rsid w:val="002A360F"/>
    <w:rPr>
      <w:rFonts w:ascii="Times New Roman" w:eastAsia="Times New Roman" w:hAnsi="Times New Roman" w:cs="Times New Roman"/>
      <w:b/>
      <w:sz w:val="32"/>
      <w:szCs w:val="20"/>
      <w:lang w:eastAsia="en-US"/>
    </w:rPr>
  </w:style>
  <w:style w:type="paragraph" w:styleId="BodyText">
    <w:name w:val="Body Text"/>
    <w:basedOn w:val="Normal"/>
    <w:link w:val="BodyTextChar"/>
    <w:rsid w:val="002A3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60F"/>
    <w:rPr>
      <w:rFonts w:ascii="Times New Roman" w:eastAsia="Times New Roman" w:hAnsi="Times New Roman" w:cs="Times New Roman"/>
      <w:sz w:val="24"/>
      <w:lang w:val="en-US" w:eastAsia="en-US"/>
    </w:rPr>
  </w:style>
  <w:style w:type="paragraph" w:styleId="Footer">
    <w:name w:val="footer"/>
    <w:basedOn w:val="Normal"/>
    <w:link w:val="FooterChar"/>
    <w:rsid w:val="002A3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60F"/>
    <w:rPr>
      <w:rFonts w:ascii="Times New Roman" w:eastAsia="Times New Roman" w:hAnsi="Times New Roman" w:cs="Times New Roman"/>
      <w:sz w:val="16"/>
      <w:lang w:val="en-US" w:eastAsia="en-US"/>
    </w:rPr>
  </w:style>
  <w:style w:type="paragraph" w:styleId="List">
    <w:name w:val="List"/>
    <w:basedOn w:val="BodyText"/>
    <w:next w:val="BodyText"/>
    <w:rsid w:val="002A360F"/>
    <w:pPr>
      <w:tabs>
        <w:tab w:val="left" w:pos="340"/>
      </w:tabs>
      <w:spacing w:before="60" w:after="60"/>
      <w:ind w:left="340" w:hanging="340"/>
    </w:pPr>
  </w:style>
  <w:style w:type="paragraph" w:styleId="ListBullet">
    <w:name w:val="List Bullet"/>
    <w:basedOn w:val="List"/>
    <w:rsid w:val="002A360F"/>
    <w:pPr>
      <w:numPr>
        <w:numId w:val="12"/>
      </w:numPr>
      <w:tabs>
        <w:tab w:val="clear" w:pos="340"/>
      </w:tabs>
      <w:spacing w:before="40" w:after="40"/>
    </w:pPr>
  </w:style>
  <w:style w:type="character" w:customStyle="1" w:styleId="SpecialBold">
    <w:name w:val="Special Bold"/>
    <w:basedOn w:val="DefaultParagraphFont"/>
    <w:rsid w:val="002A360F"/>
    <w:rPr>
      <w:b/>
      <w:spacing w:val="0"/>
    </w:rPr>
  </w:style>
  <w:style w:type="paragraph" w:styleId="Header">
    <w:name w:val="header"/>
    <w:basedOn w:val="Normal"/>
    <w:link w:val="HeaderChar"/>
    <w:rsid w:val="002A3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6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360F"/>
    <w:pPr>
      <w:spacing w:before="240" w:after="120"/>
      <w:outlineLvl w:val="0"/>
    </w:pPr>
    <w:rPr>
      <w:rFonts w:ascii="Times New Roman" w:hAnsi="Times New Roman"/>
      <w:b/>
      <w:sz w:val="28"/>
    </w:rPr>
  </w:style>
  <w:style w:type="paragraph" w:customStyle="1" w:styleId="AllowPageBreak">
    <w:name w:val="AllowPageBreak"/>
    <w:rsid w:val="002A36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360F"/>
    <w:pPr>
      <w:tabs>
        <w:tab w:val="left" w:pos="680"/>
      </w:tabs>
      <w:spacing w:before="60" w:after="60"/>
      <w:ind w:left="680" w:hanging="340"/>
    </w:pPr>
  </w:style>
  <w:style w:type="character" w:customStyle="1" w:styleId="Heading2Char">
    <w:name w:val="Heading 2 Char"/>
    <w:basedOn w:val="DefaultParagraphFont"/>
    <w:link w:val="Heading2"/>
    <w:rsid w:val="002A3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6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36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360F"/>
    <w:rPr>
      <w:rFonts w:ascii="Courier New" w:eastAsia="Times New Roman" w:hAnsi="Courier New" w:cs="Times New Roman"/>
      <w:i/>
      <w:szCs w:val="20"/>
      <w:lang w:val="en-US" w:eastAsia="en-US"/>
    </w:rPr>
  </w:style>
  <w:style w:type="paragraph" w:customStyle="1" w:styleId="HeadingBase">
    <w:name w:val="Heading Base"/>
    <w:rsid w:val="002A3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60F"/>
    <w:pPr>
      <w:tabs>
        <w:tab w:val="right" w:leader="dot" w:pos="9072"/>
      </w:tabs>
      <w:ind w:left="567"/>
    </w:pPr>
    <w:rPr>
      <w:szCs w:val="22"/>
    </w:rPr>
  </w:style>
  <w:style w:type="paragraph" w:customStyle="1" w:styleId="TOCBase">
    <w:name w:val="TOC Base"/>
    <w:rsid w:val="002A3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60F"/>
    <w:pPr>
      <w:tabs>
        <w:tab w:val="right" w:leader="dot" w:pos="9072"/>
      </w:tabs>
      <w:spacing w:before="40" w:after="40"/>
      <w:ind w:left="284"/>
    </w:pPr>
    <w:rPr>
      <w:rFonts w:ascii="Times New Roman" w:hAnsi="Times New Roman"/>
    </w:rPr>
  </w:style>
  <w:style w:type="paragraph" w:styleId="TOC1">
    <w:name w:val="toc 1"/>
    <w:basedOn w:val="TOCBase"/>
    <w:next w:val="Normal"/>
    <w:rsid w:val="002A3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360F"/>
    <w:pPr>
      <w:spacing w:before="5040"/>
      <w:jc w:val="center"/>
    </w:pPr>
    <w:rPr>
      <w:sz w:val="48"/>
      <w:szCs w:val="72"/>
      <w:lang w:val="en-US"/>
    </w:rPr>
  </w:style>
  <w:style w:type="character" w:customStyle="1" w:styleId="TitleChar">
    <w:name w:val="Title Char"/>
    <w:basedOn w:val="DefaultParagraphFont"/>
    <w:link w:val="Title"/>
    <w:rsid w:val="002A3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60F"/>
    <w:pPr>
      <w:tabs>
        <w:tab w:val="left" w:pos="3600"/>
        <w:tab w:val="left" w:pos="3958"/>
      </w:tabs>
    </w:pPr>
  </w:style>
  <w:style w:type="paragraph" w:customStyle="1" w:styleId="Note">
    <w:name w:val="Note"/>
    <w:basedOn w:val="BodyText"/>
    <w:rsid w:val="002A3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60F"/>
    <w:pPr>
      <w:framePr w:wrap="auto" w:hAnchor="text" w:y="6049"/>
    </w:pPr>
    <w:rPr>
      <w:color w:val="000000"/>
      <w:sz w:val="40"/>
    </w:rPr>
  </w:style>
  <w:style w:type="paragraph" w:customStyle="1" w:styleId="TOCTitle">
    <w:name w:val="TOCTitle"/>
    <w:basedOn w:val="Heading1"/>
    <w:rsid w:val="002A360F"/>
    <w:pPr>
      <w:spacing w:after="240"/>
      <w:jc w:val="center"/>
      <w:outlineLvl w:val="9"/>
    </w:pPr>
    <w:rPr>
      <w:caps/>
    </w:rPr>
  </w:style>
  <w:style w:type="paragraph" w:customStyle="1" w:styleId="Version">
    <w:name w:val="Version"/>
    <w:rsid w:val="002A3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60F"/>
    <w:pPr>
      <w:numPr>
        <w:numId w:val="13"/>
      </w:numPr>
      <w:tabs>
        <w:tab w:val="clear" w:pos="680"/>
      </w:tabs>
    </w:pPr>
  </w:style>
  <w:style w:type="paragraph" w:styleId="Index1">
    <w:name w:val="index 1"/>
    <w:basedOn w:val="Normal"/>
    <w:next w:val="Normal"/>
    <w:semiHidden/>
    <w:rsid w:val="002A360F"/>
    <w:pPr>
      <w:keepNext w:val="0"/>
      <w:tabs>
        <w:tab w:val="right" w:pos="4176"/>
      </w:tabs>
      <w:ind w:left="198" w:hanging="198"/>
    </w:pPr>
    <w:rPr>
      <w:rFonts w:ascii="Garamond" w:hAnsi="Garamond"/>
    </w:rPr>
  </w:style>
  <w:style w:type="paragraph" w:styleId="IndexHeading">
    <w:name w:val="index heading"/>
    <w:basedOn w:val="Normal"/>
    <w:next w:val="Index1"/>
    <w:semiHidden/>
    <w:rsid w:val="002A360F"/>
    <w:pPr>
      <w:spacing w:before="120" w:after="120"/>
    </w:pPr>
    <w:rPr>
      <w:rFonts w:ascii="Arial" w:hAnsi="Arial"/>
      <w:b/>
      <w:color w:val="918585"/>
      <w:sz w:val="24"/>
    </w:rPr>
  </w:style>
  <w:style w:type="paragraph" w:customStyle="1" w:styleId="Chapter">
    <w:name w:val="Chapter"/>
    <w:basedOn w:val="Normal"/>
    <w:rsid w:val="002A360F"/>
    <w:pPr>
      <w:spacing w:before="240"/>
    </w:pPr>
    <w:rPr>
      <w:rFonts w:ascii="Times New Roman" w:hAnsi="Times New Roman"/>
      <w:smallCaps/>
      <w:spacing w:val="80"/>
      <w:sz w:val="28"/>
    </w:rPr>
  </w:style>
  <w:style w:type="paragraph" w:customStyle="1" w:styleId="InChapter">
    <w:name w:val="InChapter"/>
    <w:basedOn w:val="Heading3"/>
    <w:rsid w:val="002A360F"/>
    <w:pPr>
      <w:spacing w:after="240"/>
      <w:outlineLvl w:val="9"/>
    </w:pPr>
    <w:rPr>
      <w:noProof/>
    </w:rPr>
  </w:style>
  <w:style w:type="paragraph" w:styleId="Index2">
    <w:name w:val="index 2"/>
    <w:basedOn w:val="Normal"/>
    <w:next w:val="Normal"/>
    <w:semiHidden/>
    <w:rsid w:val="002A360F"/>
    <w:pPr>
      <w:tabs>
        <w:tab w:val="right" w:pos="4176"/>
      </w:tabs>
      <w:ind w:left="568" w:hanging="284"/>
    </w:pPr>
    <w:rPr>
      <w:rFonts w:ascii="Garamond" w:hAnsi="Garamond"/>
    </w:rPr>
  </w:style>
  <w:style w:type="paragraph" w:customStyle="1" w:styleId="Byline">
    <w:name w:val="Byline"/>
    <w:rsid w:val="002A3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60F"/>
    <w:pPr>
      <w:tabs>
        <w:tab w:val="clear" w:pos="3600"/>
        <w:tab w:val="clear" w:pos="3958"/>
      </w:tabs>
      <w:jc w:val="right"/>
    </w:pPr>
  </w:style>
  <w:style w:type="character" w:styleId="Emphasis">
    <w:name w:val="Emphasis"/>
    <w:basedOn w:val="DefaultParagraphFont"/>
    <w:qFormat/>
    <w:rsid w:val="002A360F"/>
    <w:rPr>
      <w:i/>
    </w:rPr>
  </w:style>
  <w:style w:type="paragraph" w:styleId="Caption">
    <w:name w:val="caption"/>
    <w:basedOn w:val="BodyText"/>
    <w:next w:val="Normal"/>
    <w:qFormat/>
    <w:rsid w:val="002A360F"/>
    <w:pPr>
      <w:framePr w:w="2268" w:hSpace="181" w:vSpace="181" w:wrap="around" w:vAnchor="text" w:hAnchor="page" w:x="1135" w:y="285" w:anchorLock="1"/>
    </w:pPr>
    <w:rPr>
      <w:i/>
    </w:rPr>
  </w:style>
  <w:style w:type="paragraph" w:customStyle="1" w:styleId="MiniTOCTitle">
    <w:name w:val="MiniTOCTitle"/>
    <w:basedOn w:val="Heading4"/>
    <w:rsid w:val="002A360F"/>
    <w:pPr>
      <w:spacing w:before="240"/>
      <w:outlineLvl w:val="9"/>
    </w:pPr>
    <w:rPr>
      <w:noProof/>
      <w:sz w:val="24"/>
    </w:rPr>
  </w:style>
  <w:style w:type="paragraph" w:customStyle="1" w:styleId="MiniTOCItem">
    <w:name w:val="MiniTOCItem"/>
    <w:basedOn w:val="ListBullet"/>
    <w:rsid w:val="002A360F"/>
    <w:pPr>
      <w:numPr>
        <w:numId w:val="0"/>
      </w:numPr>
      <w:tabs>
        <w:tab w:val="right" w:leader="dot" w:pos="6521"/>
      </w:tabs>
      <w:spacing w:before="0" w:after="0"/>
    </w:pPr>
  </w:style>
  <w:style w:type="paragraph" w:customStyle="1" w:styleId="TOFTitle">
    <w:name w:val="TOFTitle"/>
    <w:basedOn w:val="TOCTitle"/>
    <w:rsid w:val="002A360F"/>
  </w:style>
  <w:style w:type="paragraph" w:styleId="TableofFigures">
    <w:name w:val="table of figures"/>
    <w:basedOn w:val="Normal"/>
    <w:next w:val="Normal"/>
    <w:semiHidden/>
    <w:rsid w:val="002A360F"/>
    <w:pPr>
      <w:tabs>
        <w:tab w:val="right" w:leader="dot" w:pos="9072"/>
      </w:tabs>
      <w:ind w:left="970" w:hanging="403"/>
    </w:pPr>
    <w:rPr>
      <w:rFonts w:ascii="Times New Roman" w:hAnsi="Times New Roman"/>
      <w:b/>
    </w:rPr>
  </w:style>
  <w:style w:type="paragraph" w:styleId="ListNumber">
    <w:name w:val="List Number"/>
    <w:basedOn w:val="List"/>
    <w:rsid w:val="002A360F"/>
    <w:pPr>
      <w:numPr>
        <w:numId w:val="10"/>
      </w:numPr>
    </w:pPr>
  </w:style>
  <w:style w:type="character" w:customStyle="1" w:styleId="WingdingSymbols">
    <w:name w:val="Wingding Symbols"/>
    <w:rsid w:val="002A360F"/>
    <w:rPr>
      <w:rFonts w:ascii="Wingdings" w:hAnsi="Wingdings"/>
    </w:rPr>
  </w:style>
  <w:style w:type="paragraph" w:customStyle="1" w:styleId="TableHeading">
    <w:name w:val="Table Heading"/>
    <w:basedOn w:val="HeadingBase"/>
    <w:rsid w:val="002A360F"/>
    <w:pPr>
      <w:keepLines/>
      <w:pBdr>
        <w:bottom w:val="single" w:sz="6" w:space="1" w:color="918585"/>
      </w:pBdr>
      <w:spacing w:before="240"/>
    </w:pPr>
  </w:style>
  <w:style w:type="character" w:customStyle="1" w:styleId="HotSpot">
    <w:name w:val="HotSpot"/>
    <w:rsid w:val="002A360F"/>
    <w:rPr>
      <w:color w:val="0033CC"/>
      <w:u w:val="none"/>
    </w:rPr>
  </w:style>
  <w:style w:type="paragraph" w:customStyle="1" w:styleId="BodyTextRight">
    <w:name w:val="Body Text Right"/>
    <w:basedOn w:val="BodyText"/>
    <w:rsid w:val="002A360F"/>
    <w:pPr>
      <w:spacing w:before="0" w:after="0"/>
      <w:jc w:val="right"/>
    </w:pPr>
  </w:style>
  <w:style w:type="paragraph" w:styleId="Index3">
    <w:name w:val="index 3"/>
    <w:basedOn w:val="ListNumber2"/>
    <w:next w:val="Normal"/>
    <w:semiHidden/>
    <w:rsid w:val="002A360F"/>
    <w:pPr>
      <w:numPr>
        <w:numId w:val="0"/>
      </w:numPr>
      <w:tabs>
        <w:tab w:val="right" w:leader="dot" w:pos="4176"/>
      </w:tabs>
    </w:pPr>
  </w:style>
  <w:style w:type="paragraph" w:styleId="ListNumber2">
    <w:name w:val="List Number 2"/>
    <w:basedOn w:val="List2"/>
    <w:rsid w:val="002A360F"/>
    <w:pPr>
      <w:numPr>
        <w:numId w:val="9"/>
      </w:numPr>
      <w:tabs>
        <w:tab w:val="clear" w:pos="1060"/>
      </w:tabs>
    </w:pPr>
  </w:style>
  <w:style w:type="paragraph" w:customStyle="1" w:styleId="MarginNote">
    <w:name w:val="Margin Note"/>
    <w:basedOn w:val="BodyText"/>
    <w:rsid w:val="002A3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6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360F"/>
    <w:rPr>
      <w:sz w:val="32"/>
    </w:rPr>
  </w:style>
  <w:style w:type="paragraph" w:customStyle="1" w:styleId="HeadingProcedure">
    <w:name w:val="Heading Procedure"/>
    <w:basedOn w:val="HeadingBase"/>
    <w:next w:val="Normal"/>
    <w:rsid w:val="002A360F"/>
    <w:pPr>
      <w:tabs>
        <w:tab w:val="left" w:pos="0"/>
      </w:tabs>
      <w:spacing w:before="120" w:after="60"/>
    </w:pPr>
    <w:rPr>
      <w:i/>
      <w:color w:val="918585"/>
      <w:sz w:val="22"/>
    </w:rPr>
  </w:style>
  <w:style w:type="paragraph" w:customStyle="1" w:styleId="TableBodyText">
    <w:name w:val="Table Body Text"/>
    <w:basedOn w:val="BodyText"/>
    <w:rsid w:val="002A360F"/>
    <w:pPr>
      <w:spacing w:before="60" w:after="60"/>
    </w:pPr>
  </w:style>
  <w:style w:type="paragraph" w:styleId="ListContinue">
    <w:name w:val="List Continue"/>
    <w:basedOn w:val="List"/>
    <w:rsid w:val="002A360F"/>
    <w:pPr>
      <w:ind w:firstLine="0"/>
    </w:pPr>
  </w:style>
  <w:style w:type="paragraph" w:customStyle="1" w:styleId="ListNote">
    <w:name w:val="List Note"/>
    <w:basedOn w:val="List"/>
    <w:rsid w:val="002A360F"/>
    <w:pPr>
      <w:pBdr>
        <w:top w:val="single" w:sz="6" w:space="2" w:color="918585"/>
        <w:bottom w:val="single" w:sz="6" w:space="2" w:color="918585"/>
      </w:pBdr>
      <w:tabs>
        <w:tab w:val="left" w:pos="1021"/>
      </w:tabs>
      <w:ind w:firstLine="0"/>
    </w:pPr>
  </w:style>
  <w:style w:type="paragraph" w:customStyle="1" w:styleId="Warning">
    <w:name w:val="Warning"/>
    <w:basedOn w:val="BodyText"/>
    <w:rsid w:val="002A360F"/>
    <w:pPr>
      <w:shd w:val="clear" w:color="auto" w:fill="D9D9D9"/>
      <w:tabs>
        <w:tab w:val="left" w:pos="992"/>
      </w:tabs>
      <w:ind w:left="119" w:right="119"/>
    </w:pPr>
    <w:rPr>
      <w:sz w:val="20"/>
    </w:rPr>
  </w:style>
  <w:style w:type="paragraph" w:customStyle="1" w:styleId="MarginIcons">
    <w:name w:val="Margin Icons"/>
    <w:basedOn w:val="BodyText"/>
    <w:rsid w:val="002A3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60F"/>
    <w:rPr>
      <w:rFonts w:ascii="Courier New" w:hAnsi="Courier New"/>
    </w:rPr>
  </w:style>
  <w:style w:type="paragraph" w:customStyle="1" w:styleId="NoteBullet">
    <w:name w:val="Note Bullet"/>
    <w:basedOn w:val="Note"/>
    <w:rsid w:val="002A360F"/>
    <w:pPr>
      <w:tabs>
        <w:tab w:val="clear" w:pos="680"/>
      </w:tabs>
      <w:spacing w:before="60" w:after="60"/>
    </w:pPr>
  </w:style>
  <w:style w:type="paragraph" w:customStyle="1" w:styleId="SubHeading2">
    <w:name w:val="SubHeading2"/>
    <w:basedOn w:val="HeadingBase"/>
    <w:rsid w:val="002A360F"/>
    <w:pPr>
      <w:spacing w:before="240" w:after="60"/>
    </w:pPr>
    <w:rPr>
      <w:sz w:val="20"/>
    </w:rPr>
  </w:style>
  <w:style w:type="paragraph" w:customStyle="1" w:styleId="SubHeading1">
    <w:name w:val="SubHeading1"/>
    <w:basedOn w:val="HeadingBase"/>
    <w:rsid w:val="002A360F"/>
    <w:pPr>
      <w:spacing w:before="240" w:after="60"/>
    </w:pPr>
    <w:rPr>
      <w:color w:val="918585"/>
      <w:sz w:val="22"/>
    </w:rPr>
  </w:style>
  <w:style w:type="paragraph" w:customStyle="1" w:styleId="SideHeading">
    <w:name w:val="Side Heading"/>
    <w:basedOn w:val="HeadingBase"/>
    <w:rsid w:val="002A3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60F"/>
    <w:pPr>
      <w:tabs>
        <w:tab w:val="num" w:pos="360"/>
      </w:tabs>
    </w:pPr>
  </w:style>
  <w:style w:type="paragraph" w:styleId="PlainText">
    <w:name w:val="Plain Text"/>
    <w:basedOn w:val="Normal"/>
    <w:link w:val="PlainTextChar"/>
    <w:rsid w:val="002A360F"/>
    <w:rPr>
      <w:sz w:val="20"/>
    </w:rPr>
  </w:style>
  <w:style w:type="character" w:customStyle="1" w:styleId="PlainTextChar">
    <w:name w:val="Plain Text Char"/>
    <w:basedOn w:val="DefaultParagraphFont"/>
    <w:link w:val="PlainText"/>
    <w:rsid w:val="002A36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360F"/>
    <w:rPr>
      <w:b/>
      <w:smallCaps/>
    </w:rPr>
  </w:style>
  <w:style w:type="paragraph" w:customStyle="1" w:styleId="TableListNumber">
    <w:name w:val="Table List Number"/>
    <w:basedOn w:val="ListNumber"/>
    <w:rsid w:val="002A360F"/>
    <w:pPr>
      <w:numPr>
        <w:numId w:val="0"/>
      </w:numPr>
    </w:pPr>
  </w:style>
  <w:style w:type="paragraph" w:styleId="TOC4">
    <w:name w:val="toc 4"/>
    <w:basedOn w:val="TOCBase"/>
    <w:next w:val="Normal"/>
    <w:semiHidden/>
    <w:rsid w:val="002A360F"/>
    <w:pPr>
      <w:tabs>
        <w:tab w:val="right" w:leader="dot" w:pos="9071"/>
      </w:tabs>
      <w:ind w:left="1701"/>
    </w:pPr>
  </w:style>
  <w:style w:type="paragraph" w:customStyle="1" w:styleId="ListAlpha">
    <w:name w:val="List Alpha"/>
    <w:basedOn w:val="List"/>
    <w:rsid w:val="002A360F"/>
    <w:pPr>
      <w:numPr>
        <w:numId w:val="8"/>
      </w:numPr>
    </w:pPr>
  </w:style>
  <w:style w:type="paragraph" w:customStyle="1" w:styleId="ListAlpha2">
    <w:name w:val="List Alpha 2"/>
    <w:basedOn w:val="List2"/>
    <w:rsid w:val="002A360F"/>
    <w:pPr>
      <w:numPr>
        <w:numId w:val="7"/>
      </w:numPr>
    </w:pPr>
  </w:style>
  <w:style w:type="paragraph" w:styleId="List3">
    <w:name w:val="List 3"/>
    <w:basedOn w:val="BodyText"/>
    <w:rsid w:val="002A360F"/>
    <w:pPr>
      <w:tabs>
        <w:tab w:val="left" w:pos="1021"/>
      </w:tabs>
      <w:spacing w:before="60" w:after="60"/>
      <w:ind w:left="1020" w:hanging="340"/>
    </w:pPr>
  </w:style>
  <w:style w:type="paragraph" w:styleId="List4">
    <w:name w:val="List 4"/>
    <w:basedOn w:val="BodyText"/>
    <w:rsid w:val="002A360F"/>
    <w:pPr>
      <w:tabs>
        <w:tab w:val="left" w:pos="1361"/>
      </w:tabs>
      <w:spacing w:before="60" w:after="60"/>
      <w:ind w:left="1361" w:hanging="340"/>
    </w:pPr>
  </w:style>
  <w:style w:type="paragraph" w:styleId="List5">
    <w:name w:val="List 5"/>
    <w:basedOn w:val="BodyText"/>
    <w:rsid w:val="002A360F"/>
    <w:pPr>
      <w:tabs>
        <w:tab w:val="left" w:pos="1701"/>
      </w:tabs>
      <w:spacing w:before="60" w:after="60"/>
      <w:ind w:left="1701" w:hanging="340"/>
    </w:pPr>
  </w:style>
  <w:style w:type="paragraph" w:styleId="ListBullet3">
    <w:name w:val="List Bullet 3"/>
    <w:basedOn w:val="List3"/>
    <w:rsid w:val="002A360F"/>
    <w:pPr>
      <w:numPr>
        <w:numId w:val="14"/>
      </w:numPr>
      <w:tabs>
        <w:tab w:val="clear" w:pos="1021"/>
      </w:tabs>
      <w:ind w:left="1037" w:hanging="357"/>
    </w:pPr>
  </w:style>
  <w:style w:type="paragraph" w:styleId="ListBullet4">
    <w:name w:val="List Bullet 4"/>
    <w:basedOn w:val="List4"/>
    <w:rsid w:val="002A360F"/>
    <w:pPr>
      <w:numPr>
        <w:numId w:val="2"/>
      </w:numPr>
    </w:pPr>
  </w:style>
  <w:style w:type="paragraph" w:styleId="ListBullet5">
    <w:name w:val="List Bullet 5"/>
    <w:basedOn w:val="List5"/>
    <w:rsid w:val="002A360F"/>
    <w:pPr>
      <w:numPr>
        <w:numId w:val="3"/>
      </w:numPr>
    </w:pPr>
  </w:style>
  <w:style w:type="paragraph" w:styleId="ListContinue2">
    <w:name w:val="List Continue 2"/>
    <w:basedOn w:val="List2"/>
    <w:rsid w:val="002A360F"/>
    <w:pPr>
      <w:ind w:firstLine="0"/>
    </w:pPr>
  </w:style>
  <w:style w:type="paragraph" w:styleId="ListContinue3">
    <w:name w:val="List Continue 3"/>
    <w:basedOn w:val="List3"/>
    <w:rsid w:val="002A360F"/>
    <w:pPr>
      <w:ind w:left="1021" w:firstLine="0"/>
    </w:pPr>
  </w:style>
  <w:style w:type="paragraph" w:styleId="ListContinue4">
    <w:name w:val="List Continue 4"/>
    <w:basedOn w:val="List4"/>
    <w:rsid w:val="002A360F"/>
    <w:pPr>
      <w:ind w:firstLine="0"/>
    </w:pPr>
  </w:style>
  <w:style w:type="paragraph" w:styleId="ListContinue5">
    <w:name w:val="List Continue 5"/>
    <w:basedOn w:val="List5"/>
    <w:rsid w:val="002A360F"/>
    <w:pPr>
      <w:ind w:firstLine="0"/>
    </w:pPr>
  </w:style>
  <w:style w:type="paragraph" w:styleId="ListNumber3">
    <w:name w:val="List Number 3"/>
    <w:basedOn w:val="List3"/>
    <w:rsid w:val="002A360F"/>
    <w:pPr>
      <w:numPr>
        <w:numId w:val="4"/>
      </w:numPr>
    </w:pPr>
  </w:style>
  <w:style w:type="paragraph" w:styleId="ListNumber4">
    <w:name w:val="List Number 4"/>
    <w:basedOn w:val="List4"/>
    <w:rsid w:val="002A360F"/>
    <w:pPr>
      <w:numPr>
        <w:numId w:val="5"/>
      </w:numPr>
    </w:pPr>
  </w:style>
  <w:style w:type="paragraph" w:styleId="ListNumber5">
    <w:name w:val="List Number 5"/>
    <w:basedOn w:val="List5"/>
    <w:rsid w:val="002A360F"/>
    <w:pPr>
      <w:numPr>
        <w:numId w:val="6"/>
      </w:numPr>
    </w:pPr>
  </w:style>
  <w:style w:type="paragraph" w:styleId="BlockText">
    <w:name w:val="Block Text"/>
    <w:basedOn w:val="Normal"/>
    <w:rsid w:val="002A360F"/>
    <w:pPr>
      <w:spacing w:after="120"/>
      <w:ind w:left="1440" w:right="1440"/>
    </w:pPr>
  </w:style>
  <w:style w:type="character" w:customStyle="1" w:styleId="Subscript">
    <w:name w:val="Subscript"/>
    <w:basedOn w:val="DefaultParagraphFont"/>
    <w:rsid w:val="002A360F"/>
    <w:rPr>
      <w:sz w:val="16"/>
      <w:vertAlign w:val="subscript"/>
    </w:rPr>
  </w:style>
  <w:style w:type="character" w:customStyle="1" w:styleId="Superscript">
    <w:name w:val="Superscript"/>
    <w:basedOn w:val="DefaultParagraphFont"/>
    <w:rsid w:val="002A360F"/>
    <w:rPr>
      <w:sz w:val="16"/>
      <w:vertAlign w:val="superscript"/>
    </w:rPr>
  </w:style>
  <w:style w:type="character" w:customStyle="1" w:styleId="Symbols">
    <w:name w:val="Symbols"/>
    <w:basedOn w:val="DefaultParagraphFont"/>
    <w:rsid w:val="002A360F"/>
    <w:rPr>
      <w:rFonts w:ascii="Symbol" w:hAnsi="Symbol"/>
    </w:rPr>
  </w:style>
  <w:style w:type="character" w:customStyle="1" w:styleId="MenuOptions">
    <w:name w:val="Menu Options"/>
    <w:basedOn w:val="DefaultParagraphFont"/>
    <w:rsid w:val="002A360F"/>
    <w:rPr>
      <w:rFonts w:ascii="Arial Narrow" w:hAnsi="Arial Narrow"/>
      <w:smallCaps/>
    </w:rPr>
  </w:style>
  <w:style w:type="character" w:customStyle="1" w:styleId="Buttons">
    <w:name w:val="Buttons"/>
    <w:basedOn w:val="DefaultParagraphFont"/>
    <w:rsid w:val="002A360F"/>
    <w:rPr>
      <w:b/>
    </w:rPr>
  </w:style>
  <w:style w:type="character" w:customStyle="1" w:styleId="Underlined">
    <w:name w:val="Underlined"/>
    <w:basedOn w:val="DefaultParagraphFont"/>
    <w:rsid w:val="002A360F"/>
    <w:rPr>
      <w:u w:val="single"/>
    </w:rPr>
  </w:style>
  <w:style w:type="paragraph" w:customStyle="1" w:styleId="TableBodyTextRight">
    <w:name w:val="Table Body Text Right"/>
    <w:basedOn w:val="TableBodyText"/>
    <w:rsid w:val="002A360F"/>
    <w:pPr>
      <w:widowControl w:val="0"/>
      <w:autoSpaceDE w:val="0"/>
      <w:autoSpaceDN w:val="0"/>
      <w:adjustRightInd w:val="0"/>
      <w:jc w:val="right"/>
    </w:pPr>
    <w:rPr>
      <w:rFonts w:cs="Arial"/>
      <w:szCs w:val="18"/>
    </w:rPr>
  </w:style>
  <w:style w:type="paragraph" w:customStyle="1" w:styleId="CopyrightText">
    <w:name w:val="Copyright Text"/>
    <w:basedOn w:val="BodyText"/>
    <w:rsid w:val="002A360F"/>
    <w:rPr>
      <w:sz w:val="18"/>
    </w:rPr>
  </w:style>
  <w:style w:type="paragraph" w:customStyle="1" w:styleId="BodySmallRight">
    <w:name w:val="Body Small Right"/>
    <w:basedOn w:val="BodyTextRight"/>
    <w:rsid w:val="002A360F"/>
    <w:rPr>
      <w:sz w:val="18"/>
      <w:szCs w:val="18"/>
    </w:rPr>
  </w:style>
  <w:style w:type="paragraph" w:customStyle="1" w:styleId="MarginEdition">
    <w:name w:val="Margin Edition"/>
    <w:basedOn w:val="MarginNote"/>
    <w:rsid w:val="002A360F"/>
    <w:pPr>
      <w:spacing w:before="0" w:after="0"/>
    </w:pPr>
    <w:rPr>
      <w:rFonts w:ascii="Times New Roman" w:hAnsi="Times New Roman"/>
      <w:color w:val="999999"/>
    </w:rPr>
  </w:style>
  <w:style w:type="paragraph" w:customStyle="1" w:styleId="Spacer">
    <w:name w:val="Spacer"/>
    <w:basedOn w:val="Normal"/>
    <w:rsid w:val="002A360F"/>
    <w:rPr>
      <w:sz w:val="2"/>
      <w:szCs w:val="2"/>
    </w:rPr>
  </w:style>
  <w:style w:type="character" w:customStyle="1" w:styleId="Small">
    <w:name w:val="Small"/>
    <w:basedOn w:val="DefaultParagraphFont"/>
    <w:rsid w:val="002A360F"/>
    <w:rPr>
      <w:sz w:val="16"/>
    </w:rPr>
  </w:style>
  <w:style w:type="paragraph" w:customStyle="1" w:styleId="WideTable">
    <w:name w:val="Wide Table"/>
    <w:basedOn w:val="Normal"/>
    <w:rsid w:val="002A360F"/>
    <w:pPr>
      <w:ind w:left="-1418"/>
    </w:pPr>
    <w:rPr>
      <w:sz w:val="2"/>
      <w:szCs w:val="2"/>
    </w:rPr>
  </w:style>
  <w:style w:type="character" w:styleId="PageNumber">
    <w:name w:val="page number"/>
    <w:basedOn w:val="DefaultParagraphFont"/>
    <w:rsid w:val="002A360F"/>
  </w:style>
  <w:style w:type="paragraph" w:styleId="Quote">
    <w:name w:val="Quote"/>
    <w:basedOn w:val="Heading1"/>
    <w:link w:val="QuoteChar"/>
    <w:qFormat/>
    <w:rsid w:val="002A360F"/>
    <w:rPr>
      <w:b w:val="0"/>
      <w:sz w:val="72"/>
      <w:szCs w:val="72"/>
      <w:lang w:val="en-NZ"/>
    </w:rPr>
  </w:style>
  <w:style w:type="character" w:customStyle="1" w:styleId="QuoteChar">
    <w:name w:val="Quote Char"/>
    <w:basedOn w:val="DefaultParagraphFont"/>
    <w:link w:val="Quote"/>
    <w:rsid w:val="002A3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60F"/>
    <w:pPr>
      <w:pageBreakBefore/>
    </w:pPr>
  </w:style>
  <w:style w:type="paragraph" w:customStyle="1" w:styleId="Border">
    <w:name w:val="Border"/>
    <w:basedOn w:val="Normal"/>
    <w:qFormat/>
    <w:rsid w:val="002A3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60F"/>
    <w:rPr>
      <w:b/>
      <w:bCs/>
      <w:i/>
      <w:iCs/>
      <w:color w:val="auto"/>
    </w:rPr>
  </w:style>
  <w:style w:type="paragraph" w:styleId="IntenseQuote">
    <w:name w:val="Intense Quote"/>
    <w:basedOn w:val="Normal"/>
    <w:next w:val="Normal"/>
    <w:link w:val="IntenseQuoteChar"/>
    <w:uiPriority w:val="30"/>
    <w:qFormat/>
    <w:rsid w:val="002A3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6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360F"/>
    <w:rPr>
      <w:smallCaps/>
      <w:color w:val="auto"/>
      <w:u w:val="single"/>
    </w:rPr>
  </w:style>
  <w:style w:type="character" w:styleId="IntenseReference">
    <w:name w:val="Intense Reference"/>
    <w:basedOn w:val="DefaultParagraphFont"/>
    <w:uiPriority w:val="32"/>
    <w:qFormat/>
    <w:rsid w:val="002A360F"/>
    <w:rPr>
      <w:b/>
      <w:bCs/>
      <w:smallCaps/>
      <w:color w:val="auto"/>
      <w:spacing w:val="5"/>
      <w:u w:val="single"/>
    </w:rPr>
  </w:style>
  <w:style w:type="paragraph" w:customStyle="1" w:styleId="2ColumnHeading">
    <w:name w:val="2Column Heading"/>
    <w:basedOn w:val="BodyText"/>
    <w:qFormat/>
    <w:rsid w:val="002A360F"/>
    <w:pPr>
      <w:spacing w:after="60"/>
      <w:ind w:left="-2268"/>
    </w:pPr>
    <w:rPr>
      <w:b/>
    </w:rPr>
  </w:style>
  <w:style w:type="paragraph" w:customStyle="1" w:styleId="Heading1TOC">
    <w:name w:val="Heading1 TOC"/>
    <w:basedOn w:val="Normal"/>
    <w:qFormat/>
    <w:rsid w:val="002A360F"/>
    <w:pPr>
      <w:spacing w:before="240" w:after="120"/>
    </w:pPr>
    <w:rPr>
      <w:rFonts w:ascii="Times New Roman" w:hAnsi="Times New Roman"/>
      <w:b/>
      <w:sz w:val="32"/>
    </w:rPr>
  </w:style>
  <w:style w:type="paragraph" w:customStyle="1" w:styleId="Heading2TOC">
    <w:name w:val="Heading2 TOC"/>
    <w:basedOn w:val="Normal"/>
    <w:qFormat/>
    <w:rsid w:val="002A360F"/>
    <w:pPr>
      <w:spacing w:before="240" w:after="60"/>
    </w:pPr>
    <w:rPr>
      <w:rFonts w:ascii="Times New Roman" w:hAnsi="Times New Roman"/>
      <w:b/>
      <w:sz w:val="28"/>
    </w:rPr>
  </w:style>
  <w:style w:type="character" w:customStyle="1" w:styleId="Underline">
    <w:name w:val="Underline"/>
    <w:basedOn w:val="DefaultParagraphFont"/>
    <w:qFormat/>
    <w:rsid w:val="002A360F"/>
    <w:rPr>
      <w:u w:val="single"/>
    </w:rPr>
  </w:style>
  <w:style w:type="character" w:customStyle="1" w:styleId="BoldandItalics">
    <w:name w:val="Bold and Italics"/>
    <w:qFormat/>
    <w:rsid w:val="002A360F"/>
    <w:rPr>
      <w:b/>
      <w:i/>
      <w:u w:val="none"/>
    </w:rPr>
  </w:style>
  <w:style w:type="paragraph" w:styleId="BalloonText">
    <w:name w:val="Balloon Text"/>
    <w:basedOn w:val="Normal"/>
    <w:link w:val="BalloonTextChar"/>
    <w:rsid w:val="002A360F"/>
    <w:rPr>
      <w:rFonts w:ascii="Tahoma" w:hAnsi="Tahoma" w:cs="Tahoma"/>
      <w:sz w:val="16"/>
      <w:szCs w:val="16"/>
    </w:rPr>
  </w:style>
  <w:style w:type="character" w:customStyle="1" w:styleId="BalloonTextChar">
    <w:name w:val="Balloon Text Char"/>
    <w:basedOn w:val="DefaultParagraphFont"/>
    <w:link w:val="BalloonText"/>
    <w:rsid w:val="002A36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3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6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1134</Words>
  <Characters>7076</Characters>
  <Application>Microsoft Office Word</Application>
  <DocSecurity>0</DocSecurity>
  <Lines>253</Lines>
  <Paragraphs>110</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MEM13004B Work safely with molten metals/glass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