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401" w:rsidP="00263401">
      <w:pPr>
        <w:pStyle w:val="Title"/>
      </w:pPr>
      <w:r>
        <w:fldChar w:fldCharType="begin"/>
      </w:r>
      <w:r>
        <w:instrText xml:space="preserve"> TITLE   \* MERGEFORMAT </w:instrText>
      </w:r>
      <w:r>
        <w:fldChar w:fldCharType="separate"/>
      </w:r>
      <w:r>
        <w:t>MEM13003B Work safely with industrial chemicals and materials</w:t>
      </w:r>
      <w:r>
        <w:fldChar w:fldCharType="end"/>
      </w:r>
    </w:p>
    <w:p w:rsidR="00263401" w:rsidP="00263401">
      <w:pPr>
        <w:pStyle w:val="Version"/>
        <w:sectPr w:rsidSect="002916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608" w:rsidP="00291608">
      <w:pPr>
        <w:pStyle w:val="SuperHeading"/>
      </w:pPr>
      <w:r w:rsidRPr="00291608">
        <w:t>MEM13003B Work safely with industrial chemicals and materials</w:t>
      </w:r>
    </w:p>
    <w:p w:rsidR="00000000" w:rsidRPr="00291608" w:rsidP="00291608">
      <w:pPr>
        <w:pStyle w:val="Heading1"/>
      </w:pPr>
      <w:bookmarkStart w:id="1" w:name="O_272169"/>
      <w:bookmarkEnd w:id="1"/>
      <w:r w:rsidRPr="00291608">
        <w:t>Modification History</w:t>
      </w:r>
    </w:p>
    <w:p w:rsidR="00000000" w:rsidRPr="00291608" w:rsidP="00291608">
      <w:pPr>
        <w:pStyle w:val="BodyText"/>
      </w:pPr>
      <w:r w:rsidRPr="00291608">
        <w:t>Not Applicable</w:t>
      </w:r>
    </w:p>
    <w:p w:rsidR="00000000" w:rsidRPr="00291608" w:rsidP="00291608">
      <w:pPr>
        <w:pStyle w:val="AllowPageBreak"/>
      </w:pPr>
    </w:p>
    <w:p w:rsidR="00000000" w:rsidRPr="00291608" w:rsidP="00291608">
      <w:pPr>
        <w:pStyle w:val="Heading1"/>
      </w:pPr>
      <w:bookmarkStart w:id="2" w:name="O_211621"/>
      <w:bookmarkEnd w:id="2"/>
      <w:r w:rsidRPr="00291608">
        <w:t>Unit Descriptor</w:t>
      </w:r>
    </w:p>
    <w:tbl>
      <w:tblPr>
        <w:tblW w:w="0" w:type="auto"/>
        <w:tblLayout w:type="fixed"/>
        <w:tblCellMar>
          <w:left w:w="62" w:type="dxa"/>
          <w:right w:w="62" w:type="dxa"/>
        </w:tblCellMar>
        <w:tblLook w:val="0000"/>
      </w:tblPr>
      <w:tblGrid>
        <w:gridCol w:w="2669"/>
        <w:gridCol w:w="5853"/>
      </w:tblGrid>
      <w:tr w:rsidTr="0026340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This unit covers using personal protective equipment (PPEs), identifying the particular h</w:t>
            </w:r>
            <w:r w:rsidRPr="00291608">
              <w:t>azards and emergency procedures, and observing safe working practices in that environment.</w:t>
            </w:r>
          </w:p>
        </w:tc>
      </w:tr>
    </w:tbl>
    <w:p w:rsidR="00263401" w:rsidP="00291608">
      <w:pPr>
        <w:pStyle w:val="BodyText"/>
      </w:pPr>
    </w:p>
    <w:p w:rsidR="00263401" w:rsidP="00291608">
      <w:pPr>
        <w:pStyle w:val="BodyText"/>
      </w:pPr>
    </w:p>
    <w:p w:rsidR="00000000" w:rsidRPr="00291608" w:rsidP="00291608">
      <w:pPr>
        <w:pStyle w:val="Heading1"/>
      </w:pPr>
      <w:bookmarkStart w:id="3" w:name="O_211625"/>
      <w:bookmarkEnd w:id="3"/>
      <w:r w:rsidRPr="00291608">
        <w:t>Application of the Unit</w:t>
      </w:r>
    </w:p>
    <w:tbl>
      <w:tblPr>
        <w:tblW w:w="0" w:type="auto"/>
        <w:tblLayout w:type="fixed"/>
        <w:tblCellMar>
          <w:left w:w="62" w:type="dxa"/>
          <w:right w:w="62" w:type="dxa"/>
        </w:tblCellMar>
        <w:tblLook w:val="0000"/>
      </w:tblPr>
      <w:tblGrid>
        <w:gridCol w:w="2745"/>
        <w:gridCol w:w="5777"/>
      </w:tblGrid>
      <w:tr w:rsidTr="0026340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 xml:space="preserve">This unit may be applied in a workplace in which materials and chemicals which are subject to codes and regulations are stored and used, for example, chemicals, solvents, dangerous materials, acids, noxious waste products etc. </w:t>
            </w:r>
          </w:p>
          <w:p w:rsidR="00000000" w:rsidRPr="00291608" w:rsidP="00291608">
            <w:pPr>
              <w:pStyle w:val="BodyText"/>
            </w:pPr>
            <w:r w:rsidRPr="00291608">
              <w:t>Evidence of competency is to</w:t>
            </w:r>
            <w:r w:rsidRPr="00291608">
              <w:t xml:space="preserve"> encompass the satisfactory application of current State/Territory OHS legislation, standards and codes of practice, and the hierarchy of hazard control measures with elimination, substitution, isolation and engineering control measures being selected befo</w:t>
            </w:r>
            <w:r w:rsidRPr="00291608">
              <w:t>re safe work practices and PPEs.</w:t>
            </w:r>
          </w:p>
          <w:p w:rsidR="00000000" w:rsidRPr="00291608" w:rsidP="00291608">
            <w:pPr>
              <w:pStyle w:val="BodyText"/>
            </w:pPr>
            <w:r w:rsidRPr="00291608">
              <w:t>This unit describes the competencies which are beyond those safety requirements normally applied in the workplace as described in Unit MEM13014A (Apply principles of occupational health and safety in the work environment) o</w:t>
            </w:r>
            <w:r w:rsidRPr="00291608">
              <w:t>r specifically described in individual units such as welding.</w:t>
            </w:r>
          </w:p>
          <w:p w:rsidR="00000000" w:rsidRPr="00291608" w:rsidP="00291608">
            <w:pPr>
              <w:pStyle w:val="BodyText"/>
            </w:pPr>
          </w:p>
          <w:p w:rsidR="00000000" w:rsidRPr="00291608" w:rsidP="00291608">
            <w:pPr>
              <w:pStyle w:val="BodyText"/>
            </w:pPr>
            <w:r w:rsidRPr="00291608">
              <w:rPr>
                <w:rStyle w:val="SpecialBold"/>
              </w:rPr>
              <w:t>Band</w:t>
            </w:r>
            <w:r w:rsidRPr="00291608">
              <w:t>:</w:t>
            </w:r>
            <w:r w:rsidRPr="00291608">
              <w:tab/>
            </w:r>
            <w:r w:rsidRPr="00291608">
              <w:rPr>
                <w:rStyle w:val="SpecialBold"/>
              </w:rPr>
              <w:t>A</w:t>
            </w:r>
          </w:p>
          <w:p w:rsidR="00000000" w:rsidRPr="00291608" w:rsidP="00291608">
            <w:pPr>
              <w:pStyle w:val="BodyText"/>
            </w:pPr>
            <w:r w:rsidRPr="00291608">
              <w:rPr>
                <w:rStyle w:val="SpecialBold"/>
              </w:rPr>
              <w:t>Unit Weight</w:t>
            </w:r>
            <w:r w:rsidRPr="00291608">
              <w:t>:</w:t>
            </w:r>
            <w:r w:rsidRPr="00291608">
              <w:tab/>
            </w:r>
            <w:r w:rsidRPr="00291608">
              <w:rPr>
                <w:rStyle w:val="SpecialBold"/>
              </w:rPr>
              <w:t>2</w:t>
            </w:r>
          </w:p>
        </w:tc>
      </w:tr>
    </w:tbl>
    <w:p w:rsidR="00263401" w:rsidP="00291608">
      <w:pPr>
        <w:pStyle w:val="BodyText"/>
      </w:pPr>
    </w:p>
    <w:p w:rsidR="00263401" w:rsidP="00291608">
      <w:pPr>
        <w:pStyle w:val="BodyText"/>
      </w:pPr>
    </w:p>
    <w:p w:rsidR="00000000" w:rsidRPr="00291608" w:rsidP="00291608">
      <w:pPr>
        <w:pStyle w:val="Heading1"/>
      </w:pPr>
      <w:bookmarkStart w:id="4" w:name="O_280429"/>
      <w:bookmarkEnd w:id="4"/>
      <w:r w:rsidRPr="00291608">
        <w:t>Licensing/Regulatory Information</w:t>
      </w:r>
    </w:p>
    <w:p w:rsidR="00000000" w:rsidRPr="00291608" w:rsidP="00291608">
      <w:pPr>
        <w:pStyle w:val="BodyText"/>
      </w:pPr>
      <w:r w:rsidRPr="00291608">
        <w:t>Not Applicable</w:t>
      </w:r>
    </w:p>
    <w:p w:rsidR="00000000" w:rsidRPr="00291608" w:rsidP="00291608">
      <w:pPr>
        <w:pStyle w:val="AllowPageBreak"/>
      </w:pPr>
    </w:p>
    <w:p w:rsidR="00000000" w:rsidRPr="00291608" w:rsidP="00291608">
      <w:pPr>
        <w:pStyle w:val="Heading1"/>
      </w:pPr>
      <w:bookmarkStart w:id="5" w:name="O_211623"/>
      <w:bookmarkEnd w:id="5"/>
      <w:r w:rsidRPr="00291608">
        <w:t>Pre-Requisites</w:t>
      </w:r>
    </w:p>
    <w:tbl>
      <w:tblPr>
        <w:tblW w:w="0" w:type="auto"/>
        <w:tblLayout w:type="fixed"/>
        <w:tblCellMar>
          <w:left w:w="62" w:type="dxa"/>
          <w:right w:w="62" w:type="dxa"/>
        </w:tblCellMar>
        <w:tblLook w:val="0000"/>
      </w:tblPr>
      <w:tblGrid>
        <w:gridCol w:w="2775"/>
        <w:gridCol w:w="1295"/>
        <w:gridCol w:w="4452"/>
      </w:tblGrid>
      <w:tr w:rsidTr="002634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p>
        </w:tc>
      </w:tr>
      <w:tr w:rsidTr="002634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p>
        </w:tc>
      </w:tr>
      <w:tr w:rsidTr="002634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p>
        </w:tc>
      </w:tr>
    </w:tbl>
    <w:p w:rsidR="00263401" w:rsidP="00291608">
      <w:pPr>
        <w:pStyle w:val="BodyText"/>
      </w:pPr>
    </w:p>
    <w:p w:rsidR="00263401" w:rsidP="00291608">
      <w:pPr>
        <w:pStyle w:val="BodyText"/>
      </w:pPr>
    </w:p>
    <w:p w:rsidR="00000000" w:rsidRPr="00291608" w:rsidP="00291608">
      <w:pPr>
        <w:pStyle w:val="Heading1"/>
      </w:pPr>
      <w:bookmarkStart w:id="6" w:name="O_211622"/>
      <w:bookmarkEnd w:id="6"/>
      <w:r w:rsidRPr="00291608">
        <w:t>Employability Skills Information</w:t>
      </w:r>
    </w:p>
    <w:tbl>
      <w:tblPr>
        <w:tblW w:w="0" w:type="auto"/>
        <w:tblLayout w:type="fixed"/>
        <w:tblCellMar>
          <w:left w:w="62" w:type="dxa"/>
          <w:right w:w="62" w:type="dxa"/>
        </w:tblCellMar>
        <w:tblLook w:val="0000"/>
      </w:tblPr>
      <w:tblGrid>
        <w:gridCol w:w="2802"/>
        <w:gridCol w:w="5720"/>
      </w:tblGrid>
      <w:tr w:rsidTr="002634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This unit contains employability skills.</w:t>
            </w:r>
          </w:p>
        </w:tc>
      </w:tr>
    </w:tbl>
    <w:p w:rsidR="00263401" w:rsidP="00291608">
      <w:pPr>
        <w:pStyle w:val="BodyText"/>
      </w:pPr>
    </w:p>
    <w:p w:rsidR="00263401" w:rsidP="00291608">
      <w:pPr>
        <w:pStyle w:val="BodyText"/>
      </w:pPr>
    </w:p>
    <w:p w:rsidR="00000000" w:rsidRPr="00291608" w:rsidP="00291608">
      <w:pPr>
        <w:pStyle w:val="Heading1"/>
      </w:pPr>
      <w:bookmarkStart w:id="7" w:name="O_290215"/>
      <w:bookmarkEnd w:id="7"/>
      <w:r w:rsidRPr="00291608">
        <w:t>Elements and Performance Criteria Pre-Content</w:t>
      </w:r>
    </w:p>
    <w:tbl>
      <w:tblPr>
        <w:tblW w:w="0" w:type="auto"/>
        <w:tblLayout w:type="fixed"/>
        <w:tblCellMar>
          <w:left w:w="62" w:type="dxa"/>
          <w:right w:w="62" w:type="dxa"/>
        </w:tblCellMar>
        <w:tblLook w:val="0000"/>
      </w:tblPr>
      <w:tblGrid>
        <w:gridCol w:w="2535"/>
        <w:gridCol w:w="5987"/>
      </w:tblGrid>
      <w:tr w:rsidTr="002634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Performance criteria describe</w:t>
            </w:r>
            <w:r w:rsidRPr="00291608">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291608">
              <w:t>the evidence guide.</w:t>
            </w:r>
          </w:p>
        </w:tc>
      </w:tr>
    </w:tbl>
    <w:p w:rsidR="00000000" w:rsidRPr="00291608" w:rsidP="00291608">
      <w:pPr>
        <w:pStyle w:val="BodyText"/>
      </w:pPr>
    </w:p>
    <w:p w:rsidR="00000000" w:rsidRPr="00291608" w:rsidP="00291608">
      <w:pPr>
        <w:pStyle w:val="AllowPageBreak"/>
      </w:pPr>
    </w:p>
    <w:p w:rsidR="00000000" w:rsidRPr="00291608" w:rsidP="00291608">
      <w:pPr>
        <w:pStyle w:val="Heading1"/>
      </w:pPr>
      <w:bookmarkStart w:id="8" w:name="O_236882"/>
      <w:bookmarkEnd w:id="8"/>
      <w:r w:rsidRPr="00291608">
        <w:t>Elements and Performance Criteria</w:t>
      </w:r>
    </w:p>
    <w:tbl>
      <w:tblPr>
        <w:tblW w:w="0" w:type="auto"/>
        <w:tblLayout w:type="fixed"/>
        <w:tblCellMar>
          <w:left w:w="62" w:type="dxa"/>
          <w:right w:w="62" w:type="dxa"/>
        </w:tblCellMar>
        <w:tblLook w:val="0000"/>
      </w:tblPr>
      <w:tblGrid>
        <w:gridCol w:w="2535"/>
        <w:gridCol w:w="5987"/>
      </w:tblGrid>
      <w:tr w:rsidTr="0026340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PERFORMANCE CRITERIA</w:t>
            </w:r>
          </w:p>
        </w:tc>
      </w:tr>
      <w:tr w:rsidTr="002634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List"/>
              <w:rPr>
                <w:lang w:val="en-NZ"/>
              </w:rPr>
            </w:pPr>
            <w:r w:rsidRPr="00291608">
              <w:t>1.</w:t>
            </w:r>
            <w:r w:rsidRPr="00291608">
              <w:tab/>
              <w:t>Use personal protective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List2"/>
              <w:rPr>
                <w:lang w:val="en-NZ"/>
              </w:rPr>
            </w:pPr>
            <w:r w:rsidRPr="00291608">
              <w:t>1.1.</w:t>
            </w:r>
            <w:r w:rsidRPr="00291608">
              <w:tab/>
            </w:r>
            <w:r w:rsidRPr="00291608">
              <w:t>Correct and appropriate safety clothing including personal protective equipment is selected and used correctly based on information in relevant material safety data sheet (MSDS).</w:t>
            </w:r>
          </w:p>
        </w:tc>
      </w:tr>
      <w:tr w:rsidTr="002634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List"/>
              <w:rPr>
                <w:lang w:val="en-NZ"/>
              </w:rPr>
            </w:pPr>
            <w:r w:rsidRPr="00291608">
              <w:t>2.</w:t>
            </w:r>
            <w:r w:rsidRPr="00291608">
              <w:tab/>
              <w:t>Identify emergency procedures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List2"/>
              <w:rPr>
                <w:lang w:val="en-NZ"/>
              </w:rPr>
            </w:pPr>
            <w:r w:rsidRPr="00291608">
              <w:t>2.1.</w:t>
            </w:r>
            <w:r w:rsidRPr="00291608">
              <w:tab/>
            </w:r>
            <w:r w:rsidRPr="00291608">
              <w:t>Emergency procedures and plan relevant to the particular work environment are documented, understood and demonstrated as laid down in approved safety instructions.</w:t>
            </w:r>
          </w:p>
        </w:tc>
      </w:tr>
      <w:tr w:rsidTr="0026340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List"/>
              <w:rPr>
                <w:lang w:val="en-NZ"/>
              </w:rPr>
            </w:pPr>
            <w:r w:rsidRPr="00291608">
              <w:t>3.</w:t>
            </w:r>
            <w:r w:rsidRPr="00291608">
              <w:tab/>
              <w:t>Observe safe working practices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List2"/>
            </w:pPr>
            <w:r w:rsidRPr="00291608">
              <w:t>3.1.</w:t>
            </w:r>
            <w:r w:rsidRPr="00291608">
              <w:tab/>
              <w:t>Hazardous areas and materials are identified and spe</w:t>
            </w:r>
            <w:r w:rsidRPr="00291608">
              <w:t xml:space="preserve">cial handling procedures are identified and understood. </w:t>
            </w:r>
          </w:p>
          <w:p w:rsidR="00000000" w:rsidRPr="00291608" w:rsidP="00291608">
            <w:pPr>
              <w:pStyle w:val="List2"/>
            </w:pPr>
            <w:r w:rsidRPr="00291608">
              <w:t>3.2.</w:t>
            </w:r>
            <w:r w:rsidRPr="00291608">
              <w:tab/>
              <w:t>Permits to work (if necessary) are obtained.</w:t>
            </w:r>
          </w:p>
          <w:p w:rsidR="00000000" w:rsidRPr="00291608" w:rsidP="00291608">
            <w:pPr>
              <w:pStyle w:val="List2"/>
            </w:pPr>
            <w:r w:rsidRPr="00291608">
              <w:t>3.3.</w:t>
            </w:r>
            <w:r w:rsidRPr="00291608">
              <w:tab/>
              <w:t>All equipment and hazardous materials are used in accordance with relevant OHS legislation, manufacturers' instructions and standard operating p</w:t>
            </w:r>
            <w:r w:rsidRPr="00291608">
              <w:t>rocedures.</w:t>
            </w:r>
          </w:p>
          <w:p w:rsidR="00000000" w:rsidRPr="00291608" w:rsidP="00291608">
            <w:pPr>
              <w:pStyle w:val="List2"/>
            </w:pPr>
            <w:r w:rsidRPr="00291608">
              <w:t>3.4.</w:t>
            </w:r>
            <w:r w:rsidRPr="00291608">
              <w:tab/>
              <w:t>All site-specific safety policies, safety signs, symbols and labels are correctly identified and understood.</w:t>
            </w:r>
          </w:p>
          <w:p w:rsidR="00000000" w:rsidRPr="00291608" w:rsidP="00291608">
            <w:pPr>
              <w:pStyle w:val="List2"/>
            </w:pPr>
            <w:r w:rsidRPr="00291608">
              <w:t>3.5.</w:t>
            </w:r>
            <w:r w:rsidRPr="00291608">
              <w:tab/>
              <w:t>Material safety data sheets are understood and applied.</w:t>
            </w:r>
          </w:p>
          <w:p w:rsidR="00000000" w:rsidRPr="00291608" w:rsidP="00291608">
            <w:pPr>
              <w:pStyle w:val="List2"/>
            </w:pPr>
            <w:r w:rsidRPr="00291608">
              <w:t>3.6.</w:t>
            </w:r>
            <w:r w:rsidRPr="00291608">
              <w:tab/>
              <w:t>Safe manual handling procedures (including equipment) are used.</w:t>
            </w:r>
          </w:p>
          <w:p w:rsidR="00000000" w:rsidRPr="00291608" w:rsidP="00291608">
            <w:pPr>
              <w:pStyle w:val="List2"/>
            </w:pPr>
            <w:r w:rsidRPr="00291608">
              <w:t>3</w:t>
            </w:r>
            <w:r w:rsidRPr="00291608">
              <w:t>.7.</w:t>
            </w:r>
            <w:r w:rsidRPr="00291608">
              <w:tab/>
              <w:t>Decanted chemicals and storage is to State/Territory dangerous goods and OHS legislation and requirements.</w:t>
            </w:r>
          </w:p>
          <w:p w:rsidR="00000000" w:rsidRPr="00291608" w:rsidP="00291608">
            <w:pPr>
              <w:pStyle w:val="List2"/>
            </w:pPr>
            <w:r w:rsidRPr="00291608">
              <w:t>3.8.</w:t>
            </w:r>
            <w:r w:rsidRPr="00291608">
              <w:tab/>
              <w:t>Housekeeping duties are performed according to standard operating procedures to maintain a safe working environment.</w:t>
            </w:r>
          </w:p>
        </w:tc>
      </w:tr>
    </w:tbl>
    <w:p w:rsidR="00263401" w:rsidP="00291608">
      <w:pPr>
        <w:pStyle w:val="BodyText"/>
      </w:pPr>
    </w:p>
    <w:p w:rsidR="00263401" w:rsidP="00291608">
      <w:pPr>
        <w:pStyle w:val="BodyText"/>
      </w:pPr>
    </w:p>
    <w:p w:rsidR="00000000" w:rsidRPr="00291608" w:rsidP="00291608">
      <w:pPr>
        <w:pStyle w:val="Heading1"/>
      </w:pPr>
      <w:bookmarkStart w:id="9" w:name="O_260832"/>
      <w:bookmarkEnd w:id="9"/>
      <w:r w:rsidRPr="00291608">
        <w:t>Required Skills and Knowledge</w:t>
      </w:r>
    </w:p>
    <w:tbl>
      <w:tblPr>
        <w:tblW w:w="0" w:type="auto"/>
        <w:tblLayout w:type="fixed"/>
        <w:tblCellMar>
          <w:left w:w="62" w:type="dxa"/>
          <w:right w:w="62" w:type="dxa"/>
        </w:tblCellMar>
        <w:tblLook w:val="0000"/>
      </w:tblPr>
      <w:tblGrid>
        <w:gridCol w:w="8522"/>
      </w:tblGrid>
      <w:tr w:rsidTr="002634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REQUIRED SKILLS AND KNOWLEDGE</w:t>
            </w:r>
          </w:p>
        </w:tc>
      </w:tr>
      <w:tr w:rsidTr="002634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This section describes the skills and knowledge required for this unit.</w:t>
            </w:r>
          </w:p>
        </w:tc>
      </w:tr>
      <w:tr w:rsidTr="002634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Required skills</w:t>
            </w:r>
          </w:p>
        </w:tc>
      </w:tr>
      <w:tr w:rsidTr="002634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Look for evidence that confirms skills in:</w:t>
            </w:r>
          </w:p>
          <w:p w:rsidR="00000000" w:rsidRPr="00291608" w:rsidP="00291608">
            <w:pPr>
              <w:pStyle w:val="ListBullet"/>
            </w:pPr>
            <w:r w:rsidRPr="00291608">
              <w:t>undertaking risk assessment</w:t>
            </w:r>
          </w:p>
          <w:p w:rsidR="00000000" w:rsidRPr="00291608" w:rsidP="00291608">
            <w:pPr>
              <w:pStyle w:val="ListBullet"/>
            </w:pPr>
            <w:r w:rsidRPr="00291608">
              <w:t>communicating with others</w:t>
            </w:r>
          </w:p>
          <w:p w:rsidR="00000000" w:rsidRPr="00291608" w:rsidP="00291608">
            <w:pPr>
              <w:pStyle w:val="ListBullet"/>
            </w:pPr>
            <w:r w:rsidRPr="00291608">
              <w:t>performing proper manual handling techniques</w:t>
            </w:r>
          </w:p>
          <w:p w:rsidR="00000000" w:rsidP="00291608">
            <w:pPr>
              <w:pStyle w:val="ListBullet"/>
              <w:rPr>
                <w:lang w:val="en-NZ"/>
              </w:rPr>
            </w:pPr>
            <w:r w:rsidRPr="00291608">
              <w:t>interpreting safety signage, labelling and placarding</w:t>
            </w:r>
          </w:p>
        </w:tc>
      </w:tr>
      <w:tr w:rsidTr="002634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Required knowledge</w:t>
            </w:r>
          </w:p>
        </w:tc>
      </w:tr>
      <w:tr w:rsidTr="002634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Look for evidence that confirms knowledge of:</w:t>
            </w:r>
          </w:p>
          <w:p w:rsidR="00000000" w:rsidRPr="00291608" w:rsidP="00291608">
            <w:pPr>
              <w:pStyle w:val="ListBullet"/>
            </w:pPr>
            <w:r w:rsidRPr="00291608">
              <w:t>dangerous goods classification and labelling/placarding</w:t>
            </w:r>
          </w:p>
          <w:p w:rsidR="00000000" w:rsidRPr="00291608" w:rsidP="00291608">
            <w:pPr>
              <w:pStyle w:val="ListBullet"/>
            </w:pPr>
            <w:r w:rsidRPr="00291608">
              <w:t>testin</w:t>
            </w:r>
            <w:r w:rsidRPr="00291608">
              <w:t>g, use and maintenance of PPE</w:t>
            </w:r>
          </w:p>
          <w:p w:rsidR="00000000" w:rsidRPr="00291608" w:rsidP="00291608">
            <w:pPr>
              <w:pStyle w:val="ListBullet"/>
            </w:pPr>
            <w:r w:rsidRPr="00291608">
              <w:t>inherent hazardous properties of the chemicals to be used</w:t>
            </w:r>
          </w:p>
          <w:p w:rsidR="00000000" w:rsidRPr="00291608" w:rsidP="00291608">
            <w:pPr>
              <w:pStyle w:val="ListBullet"/>
            </w:pPr>
            <w:r w:rsidRPr="00291608">
              <w:t>interpretation of the relevant MSDS</w:t>
            </w:r>
          </w:p>
          <w:p w:rsidR="00000000" w:rsidRPr="00291608" w:rsidP="00291608">
            <w:pPr>
              <w:pStyle w:val="ListBullet"/>
            </w:pPr>
            <w:r w:rsidRPr="00291608">
              <w:t>basic fire fighting procedures</w:t>
            </w:r>
          </w:p>
          <w:p w:rsidR="00000000" w:rsidRPr="00291608" w:rsidP="00291608">
            <w:pPr>
              <w:pStyle w:val="ListBullet"/>
            </w:pPr>
            <w:r w:rsidRPr="00291608">
              <w:t>site-specific emergency plan procedures</w:t>
            </w:r>
          </w:p>
          <w:p w:rsidR="00000000" w:rsidRPr="00291608" w:rsidP="00291608">
            <w:pPr>
              <w:pStyle w:val="ListBullet"/>
            </w:pPr>
            <w:r w:rsidRPr="00291608">
              <w:t>chemical spill confinement procedures</w:t>
            </w:r>
          </w:p>
          <w:p w:rsidR="00000000" w:rsidRPr="00291608" w:rsidP="00291608">
            <w:pPr>
              <w:pStyle w:val="ListBullet"/>
            </w:pPr>
            <w:r w:rsidRPr="00291608">
              <w:t>dangerous occurrence (n</w:t>
            </w:r>
            <w:r w:rsidRPr="00291608">
              <w:t>ear miss) reporting procedures</w:t>
            </w:r>
          </w:p>
          <w:p w:rsidR="00000000" w:rsidRPr="00291608" w:rsidP="00291608">
            <w:pPr>
              <w:pStyle w:val="ListBullet"/>
            </w:pPr>
            <w:r w:rsidRPr="00291608">
              <w:t>hierarchy of control</w:t>
            </w:r>
          </w:p>
        </w:tc>
      </w:tr>
    </w:tbl>
    <w:p w:rsidR="00263401" w:rsidP="00291608">
      <w:pPr>
        <w:pStyle w:val="BodyText"/>
      </w:pPr>
    </w:p>
    <w:p w:rsidR="00263401" w:rsidP="00291608">
      <w:pPr>
        <w:pStyle w:val="BodyText"/>
      </w:pPr>
    </w:p>
    <w:p w:rsidR="00000000" w:rsidRPr="00291608" w:rsidP="00291608">
      <w:pPr>
        <w:pStyle w:val="AllowPageBreak"/>
      </w:pPr>
    </w:p>
    <w:p w:rsidR="00000000" w:rsidRPr="00291608" w:rsidP="00291608">
      <w:pPr>
        <w:pStyle w:val="Heading1"/>
      </w:pPr>
      <w:bookmarkStart w:id="10" w:name="O_244866"/>
      <w:bookmarkEnd w:id="10"/>
      <w:r w:rsidRPr="00291608">
        <w:t>Evidence Guide</w:t>
      </w:r>
    </w:p>
    <w:tbl>
      <w:tblPr>
        <w:tblW w:w="9570" w:type="dxa"/>
        <w:tblLayout w:type="fixed"/>
        <w:tblCellMar>
          <w:left w:w="62" w:type="dxa"/>
          <w:right w:w="62" w:type="dxa"/>
        </w:tblCellMar>
        <w:tblLook w:val="0000"/>
      </w:tblPr>
      <w:tblGrid>
        <w:gridCol w:w="3908"/>
        <w:gridCol w:w="5662"/>
      </w:tblGrid>
      <w:tr w:rsidTr="002634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EVIDENCE GUIDE</w:t>
            </w:r>
          </w:p>
        </w:tc>
      </w:tr>
      <w:tr w:rsidTr="002634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The evidence guide provides advice on assessment and must be read in conjunction with the performance criteria, required skills and knowledge, range statement and the Assessment Guidelines for the Training Package.</w:t>
            </w:r>
          </w:p>
        </w:tc>
      </w:tr>
      <w:tr w:rsidTr="002634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A person who dem</w:t>
            </w:r>
            <w:r w:rsidRPr="00291608">
              <w:t xml:space="preserve">onstrates competency in this unit must be able to work safely and efficiently with various chemicals. </w:t>
            </w:r>
          </w:p>
        </w:tc>
      </w:tr>
      <w:tr w:rsidTr="002634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Assessors must be satisfied that the candidate can competen</w:t>
            </w:r>
            <w:r w:rsidRPr="00291608">
              <w:t>tly and consistently perform all elements of the unit as specified by the criteria, including required knowledge, and be capable of applying the competency in new and different situations and contexts.</w:t>
            </w:r>
          </w:p>
        </w:tc>
      </w:tr>
      <w:tr w:rsidTr="002634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This</w:t>
            </w:r>
            <w:r w:rsidRPr="00291608">
              <w:t xml:space="preserve"> unit may be assessed on the job, off the job or a combination of both on and off the job. Where assessment occurs off the job, that is the candidate is not in productive work, then an appropriate simulation must be used where the range of conditions refle</w:t>
            </w:r>
            <w:r w:rsidRPr="00291608">
              <w:t xml:space="preserve">cts realistic workplace situations. The competencies covered by this unit would be demonstrated by an individual working alone or as part of a team. The assessment environment should not disadvantage the candidate. </w:t>
            </w:r>
          </w:p>
          <w:p w:rsidR="00000000" w:rsidP="00291608">
            <w:pPr>
              <w:pStyle w:val="BodyText"/>
              <w:rPr>
                <w:lang w:val="en-NZ"/>
              </w:rPr>
            </w:pPr>
            <w:r w:rsidRPr="00291608">
              <w:t>This unit could be assessed in conjunction with any other units addressing the safety, quality, communication, materials handling, recording and reporting associated with working safely with industrial chemicals and materials or other units requiring the e</w:t>
            </w:r>
            <w:r w:rsidRPr="00291608">
              <w:t>xercise of the skills and knowledge covered by this unit.</w:t>
            </w:r>
          </w:p>
        </w:tc>
      </w:tr>
      <w:tr w:rsidTr="002634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Assessors should gather a range of evidence that is valid, sufficient, current and authentic. Evidence can be gathered through a variety of ways including direct observation, s</w:t>
            </w:r>
            <w:r w:rsidRPr="00291608">
              <w:t>upervisor's reports, project work, samples and questioning. Questioning techniques should not require language, literacy and numeracy skills beyond those required in this unit of competency. The candidate must have access to all tools, equipment, materials</w:t>
            </w:r>
            <w:r w:rsidRPr="00291608">
              <w:t xml:space="preserve"> and documentation required. The candidate must be permitted to refer to any relevant workplace procedures, product and manufacturing specifications, codes, standards, manuals and reference materials.</w:t>
            </w:r>
          </w:p>
        </w:tc>
      </w:tr>
      <w:tr w:rsidTr="002634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p>
        </w:tc>
      </w:tr>
    </w:tbl>
    <w:p w:rsidR="00263401" w:rsidP="00291608">
      <w:pPr>
        <w:pStyle w:val="BodyText"/>
      </w:pPr>
    </w:p>
    <w:p w:rsidR="00263401" w:rsidP="00291608">
      <w:pPr>
        <w:pStyle w:val="BodyText"/>
      </w:pPr>
    </w:p>
    <w:p w:rsidR="00000000" w:rsidRPr="00291608" w:rsidP="00291608">
      <w:pPr>
        <w:pStyle w:val="Heading1"/>
      </w:pPr>
      <w:bookmarkStart w:id="11" w:name="O_252849"/>
      <w:bookmarkEnd w:id="11"/>
      <w:r w:rsidRPr="00291608">
        <w:t>Range Statement</w:t>
      </w:r>
    </w:p>
    <w:tbl>
      <w:tblPr>
        <w:tblW w:w="0" w:type="auto"/>
        <w:tblLayout w:type="fixed"/>
        <w:tblCellMar>
          <w:left w:w="62" w:type="dxa"/>
          <w:right w:w="62" w:type="dxa"/>
        </w:tblCellMar>
        <w:tblLook w:val="0000"/>
      </w:tblPr>
      <w:tblGrid>
        <w:gridCol w:w="3460"/>
        <w:gridCol w:w="5062"/>
      </w:tblGrid>
      <w:tr w:rsidTr="002634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RANGE STATEMENT</w:t>
            </w:r>
          </w:p>
        </w:tc>
      </w:tr>
      <w:tr w:rsidTr="002634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 xml:space="preserve">The range statement relates to the unit of competency as a whole. It allows for different work environments and situations that may affect </w:t>
            </w:r>
            <w:r w:rsidRPr="00291608">
              <w:t>performance. Bold italicised wording, if used in the performance criteria, is detailed below. Essential operating conditions that may be present with training and assessment (depending on the work situation, needs of the candidate, accessibility of the ite</w:t>
            </w:r>
            <w:r w:rsidRPr="00291608">
              <w:t>m, and local industry and regional contexts) may also be included.</w:t>
            </w:r>
          </w:p>
        </w:tc>
      </w:tr>
      <w:tr w:rsidTr="0026340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Personal protective equipment</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Personal protective may include appropriate:</w:t>
            </w:r>
          </w:p>
          <w:p w:rsidR="00000000" w:rsidRPr="00291608" w:rsidP="00291608">
            <w:pPr>
              <w:pStyle w:val="ListBullet"/>
            </w:pPr>
            <w:r w:rsidRPr="00291608">
              <w:t>goggles/face shields</w:t>
            </w:r>
          </w:p>
          <w:p w:rsidR="00000000" w:rsidRPr="00291608" w:rsidP="00291608">
            <w:pPr>
              <w:pStyle w:val="ListBullet"/>
            </w:pPr>
            <w:r w:rsidRPr="00291608">
              <w:t>respirators</w:t>
            </w:r>
          </w:p>
          <w:p w:rsidR="00000000" w:rsidRPr="00291608" w:rsidP="00291608">
            <w:pPr>
              <w:pStyle w:val="ListBullet"/>
            </w:pPr>
            <w:r w:rsidRPr="00291608">
              <w:t>air supplied or self-contained helmets</w:t>
            </w:r>
          </w:p>
          <w:p w:rsidR="00000000" w:rsidP="00291608">
            <w:pPr>
              <w:pStyle w:val="ListBullet"/>
              <w:rPr>
                <w:lang w:val="en-NZ"/>
              </w:rPr>
            </w:pPr>
            <w:r w:rsidRPr="00291608">
              <w:t>safety boots, gloves and appropriate clothes/garments</w:t>
            </w:r>
          </w:p>
        </w:tc>
      </w:tr>
      <w:tr w:rsidTr="0026340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Safe working practices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ListBullet"/>
            </w:pPr>
            <w:r w:rsidRPr="00291608">
              <w:t>Environment is inspected</w:t>
            </w:r>
          </w:p>
          <w:p w:rsidR="00000000" w:rsidRPr="00291608" w:rsidP="00291608">
            <w:pPr>
              <w:pStyle w:val="ListBullet"/>
            </w:pPr>
            <w:r w:rsidRPr="00291608">
              <w:t>Hazards (and chemical reactive hazards) are assessed and controlled using hierarchy of hazard control</w:t>
            </w:r>
          </w:p>
          <w:p w:rsidR="00000000" w:rsidRPr="00291608" w:rsidP="00291608">
            <w:pPr>
              <w:pStyle w:val="ListBullet"/>
            </w:pPr>
            <w:r w:rsidRPr="00291608">
              <w:t>Properly maintained PPE is available</w:t>
            </w:r>
          </w:p>
          <w:p w:rsidR="00000000" w:rsidRPr="00291608" w:rsidP="00291608">
            <w:pPr>
              <w:pStyle w:val="ListBullet"/>
            </w:pPr>
            <w:r w:rsidRPr="00291608">
              <w:t>Emergency man</w:t>
            </w:r>
            <w:r w:rsidRPr="00291608">
              <w:t>agement plan is documented/understood</w:t>
            </w:r>
          </w:p>
          <w:p w:rsidR="00000000" w:rsidP="00291608">
            <w:pPr>
              <w:pStyle w:val="ListBullet"/>
              <w:rPr>
                <w:lang w:val="en-NZ"/>
              </w:rPr>
            </w:pPr>
            <w:r w:rsidRPr="00291608">
              <w:t>Work to be undertaken in safe 'thermal' environments and all possible ignition sources are to be identified and controlled</w:t>
            </w:r>
          </w:p>
        </w:tc>
      </w:tr>
      <w:tr w:rsidTr="0026340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Storage</w:t>
            </w:r>
            <w:r w:rsidRPr="00291608">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t>All storage containers (minor quantities and in consumer packages) are suitable for c</w:t>
            </w:r>
            <w:r w:rsidRPr="00291608">
              <w:t>hemical exposure and are properly labelled and/or placarded. Chemical manifests are updated at completion of work activity</w:t>
            </w:r>
          </w:p>
        </w:tc>
      </w:tr>
      <w:tr w:rsidTr="0026340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State or Territory legislative requirements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 xml:space="preserve">Appropriate OHS, dangerous goods acts and regulations, Australian standards, Australian </w:t>
            </w:r>
            <w:r w:rsidRPr="00291608">
              <w:t>Code for the Transport of Dangerous Goods by Road and Rail (ADGC), NOHSC codes of practice</w:t>
            </w:r>
          </w:p>
        </w:tc>
      </w:tr>
    </w:tbl>
    <w:p w:rsidR="00263401" w:rsidP="00291608">
      <w:pPr>
        <w:pStyle w:val="BodyText"/>
      </w:pPr>
    </w:p>
    <w:p w:rsidR="00263401" w:rsidP="00291608">
      <w:pPr>
        <w:pStyle w:val="BodyText"/>
      </w:pPr>
    </w:p>
    <w:p w:rsidR="00000000" w:rsidRPr="00291608" w:rsidP="00291608">
      <w:pPr>
        <w:pStyle w:val="Heading1"/>
      </w:pPr>
      <w:bookmarkStart w:id="12" w:name="O_211627"/>
      <w:bookmarkEnd w:id="12"/>
      <w:r w:rsidRPr="00291608">
        <w:t>Unit Sector(s)</w:t>
      </w:r>
    </w:p>
    <w:tbl>
      <w:tblPr>
        <w:tblW w:w="0" w:type="auto"/>
        <w:tblLayout w:type="fixed"/>
        <w:tblCellMar>
          <w:left w:w="62" w:type="dxa"/>
          <w:right w:w="62" w:type="dxa"/>
        </w:tblCellMar>
        <w:tblLook w:val="0000"/>
      </w:tblPr>
      <w:tblGrid>
        <w:gridCol w:w="2654"/>
        <w:gridCol w:w="5868"/>
      </w:tblGrid>
      <w:tr w:rsidTr="0026340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p>
        </w:tc>
      </w:tr>
    </w:tbl>
    <w:p w:rsidR="00263401" w:rsidP="00291608">
      <w:pPr>
        <w:pStyle w:val="BodyText"/>
      </w:pPr>
    </w:p>
    <w:p w:rsidR="00263401" w:rsidP="00291608">
      <w:pPr>
        <w:pStyle w:val="BodyText"/>
      </w:pPr>
    </w:p>
    <w:p w:rsidR="00000000" w:rsidRPr="00291608" w:rsidP="00291608">
      <w:pPr>
        <w:pStyle w:val="Heading1"/>
      </w:pPr>
      <w:bookmarkStart w:id="13" w:name="O_211624"/>
      <w:bookmarkEnd w:id="13"/>
      <w:r w:rsidRPr="00291608">
        <w:t>Co-requisite units</w:t>
      </w:r>
    </w:p>
    <w:tbl>
      <w:tblPr>
        <w:tblW w:w="0" w:type="auto"/>
        <w:tblLayout w:type="fixed"/>
        <w:tblCellMar>
          <w:left w:w="62" w:type="dxa"/>
          <w:right w:w="62" w:type="dxa"/>
        </w:tblCellMar>
        <w:tblLook w:val="0000"/>
      </w:tblPr>
      <w:tblGrid>
        <w:gridCol w:w="2641"/>
        <w:gridCol w:w="1322"/>
        <w:gridCol w:w="4559"/>
      </w:tblGrid>
      <w:tr w:rsidTr="002634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p>
        </w:tc>
      </w:tr>
      <w:tr w:rsidTr="002634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p>
        </w:tc>
      </w:tr>
      <w:tr w:rsidTr="002634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p>
        </w:tc>
      </w:tr>
    </w:tbl>
    <w:p w:rsidR="00263401" w:rsidP="00291608">
      <w:pPr>
        <w:pStyle w:val="BodyText"/>
      </w:pPr>
    </w:p>
    <w:p w:rsidR="00263401" w:rsidP="00291608">
      <w:pPr>
        <w:pStyle w:val="BodyText"/>
      </w:pPr>
    </w:p>
    <w:p w:rsidR="00000000" w:rsidRPr="00291608" w:rsidP="00291608">
      <w:pPr>
        <w:pStyle w:val="Heading1"/>
      </w:pPr>
      <w:bookmarkStart w:id="14" w:name="O_211626"/>
      <w:bookmarkEnd w:id="14"/>
      <w:r w:rsidRPr="00291608">
        <w:t>Competency field</w:t>
      </w:r>
    </w:p>
    <w:tbl>
      <w:tblPr>
        <w:tblW w:w="0" w:type="auto"/>
        <w:tblLayout w:type="fixed"/>
        <w:tblCellMar>
          <w:left w:w="62" w:type="dxa"/>
          <w:right w:w="62" w:type="dxa"/>
        </w:tblCellMar>
        <w:tblLook w:val="0000"/>
      </w:tblPr>
      <w:tblGrid>
        <w:gridCol w:w="2774"/>
        <w:gridCol w:w="5748"/>
      </w:tblGrid>
      <w:tr w:rsidTr="0026340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608">
            <w:pPr>
              <w:pStyle w:val="BodyText"/>
              <w:rPr>
                <w:lang w:val="en-NZ"/>
              </w:rPr>
            </w:pPr>
            <w:r w:rsidRPr="0029160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608" w:rsidP="00291608">
            <w:pPr>
              <w:pStyle w:val="BodyText"/>
            </w:pPr>
            <w:r w:rsidRPr="00291608">
              <w:t>Occupational health and safety</w:t>
            </w:r>
          </w:p>
        </w:tc>
      </w:tr>
    </w:tbl>
    <w:p w:rsidR="00263401" w:rsidP="00291608">
      <w:pPr>
        <w:pStyle w:val="BodyText"/>
      </w:pPr>
    </w:p>
    <w:p w:rsidR="00263401" w:rsidP="00291608">
      <w:pPr>
        <w:pStyle w:val="BodyText"/>
      </w:pPr>
    </w:p>
    <w:p w:rsidR="00000000" w:rsidRPr="00291608" w:rsidP="00291608"/>
    <w:sectPr w:rsidSect="002916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401" w:rsidP="00263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01" w:rsidP="00291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3401" w:rsidP="002916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3401" w:rsidP="002916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401" w:rsidP="002634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401" w:rsidP="00291608">
    <w:pPr>
      <w:pStyle w:val="Header"/>
      <w:framePr w:wrap="around"/>
    </w:pPr>
    <w:r>
      <w:fldChar w:fldCharType="begin"/>
    </w:r>
    <w:r>
      <w:instrText xml:space="preserve"> TITLE   \* MERGEFORMAT </w:instrText>
    </w:r>
    <w:r>
      <w:fldChar w:fldCharType="separate"/>
    </w:r>
    <w:r>
      <w:t>MEM13003B Work safely with industrial chemicals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3401" w:rsidP="002916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E06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3C7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6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608"/>
    <w:pPr>
      <w:spacing w:before="360" w:after="60"/>
      <w:outlineLvl w:val="0"/>
    </w:pPr>
    <w:rPr>
      <w:sz w:val="32"/>
    </w:rPr>
  </w:style>
  <w:style w:type="paragraph" w:styleId="Heading2">
    <w:name w:val="heading 2"/>
    <w:basedOn w:val="HeadingBase"/>
    <w:next w:val="BodyText"/>
    <w:link w:val="Heading2Char"/>
    <w:qFormat/>
    <w:rsid w:val="00291608"/>
    <w:pPr>
      <w:keepLines/>
      <w:spacing w:before="240" w:after="120"/>
      <w:outlineLvl w:val="1"/>
    </w:pPr>
    <w:rPr>
      <w:sz w:val="28"/>
      <w:szCs w:val="40"/>
    </w:rPr>
  </w:style>
  <w:style w:type="paragraph" w:styleId="Heading3">
    <w:name w:val="heading 3"/>
    <w:basedOn w:val="HeadingBase"/>
    <w:next w:val="BodyText"/>
    <w:link w:val="Heading3Char"/>
    <w:qFormat/>
    <w:rsid w:val="00291608"/>
    <w:pPr>
      <w:spacing w:before="180" w:after="120"/>
      <w:outlineLvl w:val="2"/>
    </w:pPr>
    <w:rPr>
      <w:spacing w:val="-10"/>
      <w:kern w:val="32"/>
    </w:rPr>
  </w:style>
  <w:style w:type="paragraph" w:styleId="Heading4">
    <w:name w:val="heading 4"/>
    <w:basedOn w:val="HeadingBase"/>
    <w:next w:val="BodyText"/>
    <w:link w:val="Heading4Char"/>
    <w:qFormat/>
    <w:rsid w:val="00291608"/>
    <w:pPr>
      <w:spacing w:before="160" w:after="120"/>
      <w:outlineLvl w:val="3"/>
    </w:pPr>
    <w:rPr>
      <w:sz w:val="22"/>
    </w:rPr>
  </w:style>
  <w:style w:type="paragraph" w:styleId="Heading5">
    <w:name w:val="heading 5"/>
    <w:basedOn w:val="HeadingBase"/>
    <w:next w:val="Normal"/>
    <w:link w:val="Heading5Char"/>
    <w:qFormat/>
    <w:rsid w:val="00291608"/>
    <w:pPr>
      <w:spacing w:before="80"/>
      <w:outlineLvl w:val="4"/>
    </w:pPr>
    <w:rPr>
      <w:color w:val="918585"/>
      <w:sz w:val="20"/>
    </w:rPr>
  </w:style>
  <w:style w:type="paragraph" w:styleId="Heading6">
    <w:name w:val="heading 6"/>
    <w:basedOn w:val="HeadingBase"/>
    <w:next w:val="Normal"/>
    <w:link w:val="Heading6Char"/>
    <w:qFormat/>
    <w:rsid w:val="00291608"/>
    <w:pPr>
      <w:spacing w:before="60"/>
      <w:outlineLvl w:val="5"/>
    </w:pPr>
    <w:rPr>
      <w:color w:val="918585"/>
      <w:sz w:val="20"/>
    </w:rPr>
  </w:style>
  <w:style w:type="paragraph" w:styleId="Heading7">
    <w:name w:val="heading 7"/>
    <w:basedOn w:val="Normal"/>
    <w:next w:val="Normal"/>
    <w:link w:val="Heading7Char"/>
    <w:qFormat/>
    <w:rsid w:val="00291608"/>
    <w:pPr>
      <w:ind w:left="720"/>
      <w:outlineLvl w:val="6"/>
    </w:pPr>
    <w:rPr>
      <w:i/>
    </w:rPr>
  </w:style>
  <w:style w:type="paragraph" w:styleId="Heading8">
    <w:name w:val="heading 8"/>
    <w:basedOn w:val="Normal"/>
    <w:next w:val="Normal"/>
    <w:link w:val="Heading8Char"/>
    <w:qFormat/>
    <w:rsid w:val="00291608"/>
    <w:pPr>
      <w:ind w:left="720"/>
      <w:outlineLvl w:val="7"/>
    </w:pPr>
    <w:rPr>
      <w:i/>
    </w:rPr>
  </w:style>
  <w:style w:type="paragraph" w:styleId="Heading9">
    <w:name w:val="heading 9"/>
    <w:basedOn w:val="Normal"/>
    <w:next w:val="Normal"/>
    <w:link w:val="Heading9Char"/>
    <w:qFormat/>
    <w:rsid w:val="00291608"/>
    <w:pPr>
      <w:ind w:left="720"/>
      <w:outlineLvl w:val="8"/>
    </w:pPr>
    <w:rPr>
      <w:i/>
    </w:rPr>
  </w:style>
  <w:style w:type="character" w:default="1" w:styleId="DefaultParagraphFont">
    <w:name w:val="Default Paragraph Font"/>
    <w:uiPriority w:val="1"/>
    <w:unhideWhenUsed/>
    <w:rsid w:val="00291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608"/>
  </w:style>
  <w:style w:type="character" w:customStyle="1" w:styleId="Heading1Char">
    <w:name w:val="Heading 1 Char"/>
    <w:basedOn w:val="DefaultParagraphFont"/>
    <w:link w:val="Heading1"/>
    <w:rsid w:val="00291608"/>
    <w:rPr>
      <w:rFonts w:ascii="Times New Roman" w:eastAsia="Times New Roman" w:hAnsi="Times New Roman" w:cs="Times New Roman"/>
      <w:b/>
      <w:sz w:val="32"/>
      <w:szCs w:val="20"/>
      <w:lang w:eastAsia="en-US"/>
    </w:rPr>
  </w:style>
  <w:style w:type="paragraph" w:styleId="BodyText">
    <w:name w:val="Body Text"/>
    <w:basedOn w:val="Normal"/>
    <w:link w:val="BodyTextChar"/>
    <w:rsid w:val="002916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608"/>
    <w:rPr>
      <w:rFonts w:ascii="Times New Roman" w:eastAsia="Times New Roman" w:hAnsi="Times New Roman" w:cs="Times New Roman"/>
      <w:sz w:val="24"/>
      <w:lang w:val="en-US" w:eastAsia="en-US"/>
    </w:rPr>
  </w:style>
  <w:style w:type="paragraph" w:styleId="Footer">
    <w:name w:val="footer"/>
    <w:basedOn w:val="Normal"/>
    <w:link w:val="FooterChar"/>
    <w:rsid w:val="00291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608"/>
    <w:rPr>
      <w:rFonts w:ascii="Times New Roman" w:eastAsia="Times New Roman" w:hAnsi="Times New Roman" w:cs="Times New Roman"/>
      <w:sz w:val="16"/>
      <w:lang w:val="en-US" w:eastAsia="en-US"/>
    </w:rPr>
  </w:style>
  <w:style w:type="paragraph" w:styleId="List">
    <w:name w:val="List"/>
    <w:basedOn w:val="BodyText"/>
    <w:next w:val="BodyText"/>
    <w:rsid w:val="00291608"/>
    <w:pPr>
      <w:tabs>
        <w:tab w:val="left" w:pos="340"/>
      </w:tabs>
      <w:spacing w:before="60" w:after="60"/>
      <w:ind w:left="340" w:hanging="340"/>
    </w:pPr>
  </w:style>
  <w:style w:type="paragraph" w:styleId="ListBullet">
    <w:name w:val="List Bullet"/>
    <w:basedOn w:val="List"/>
    <w:rsid w:val="00291608"/>
    <w:pPr>
      <w:numPr>
        <w:numId w:val="12"/>
      </w:numPr>
      <w:tabs>
        <w:tab w:val="clear" w:pos="340"/>
      </w:tabs>
      <w:spacing w:before="40" w:after="40"/>
    </w:pPr>
  </w:style>
  <w:style w:type="character" w:customStyle="1" w:styleId="SpecialBold">
    <w:name w:val="Special Bold"/>
    <w:basedOn w:val="DefaultParagraphFont"/>
    <w:rsid w:val="00291608"/>
    <w:rPr>
      <w:b/>
      <w:spacing w:val="0"/>
    </w:rPr>
  </w:style>
  <w:style w:type="paragraph" w:styleId="Header">
    <w:name w:val="header"/>
    <w:basedOn w:val="Normal"/>
    <w:link w:val="HeaderChar"/>
    <w:rsid w:val="00291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6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608"/>
    <w:pPr>
      <w:spacing w:before="240" w:after="120"/>
      <w:outlineLvl w:val="0"/>
    </w:pPr>
    <w:rPr>
      <w:rFonts w:ascii="Times New Roman" w:hAnsi="Times New Roman"/>
      <w:b/>
      <w:sz w:val="28"/>
    </w:rPr>
  </w:style>
  <w:style w:type="paragraph" w:customStyle="1" w:styleId="AllowPageBreak">
    <w:name w:val="AllowPageBreak"/>
    <w:rsid w:val="002916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608"/>
    <w:pPr>
      <w:tabs>
        <w:tab w:val="left" w:pos="680"/>
      </w:tabs>
      <w:spacing w:before="60" w:after="60"/>
      <w:ind w:left="680" w:hanging="340"/>
    </w:pPr>
  </w:style>
  <w:style w:type="character" w:customStyle="1" w:styleId="Heading2Char">
    <w:name w:val="Heading 2 Char"/>
    <w:basedOn w:val="DefaultParagraphFont"/>
    <w:link w:val="Heading2"/>
    <w:rsid w:val="00291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6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6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608"/>
    <w:rPr>
      <w:rFonts w:ascii="Courier New" w:eastAsia="Times New Roman" w:hAnsi="Courier New" w:cs="Times New Roman"/>
      <w:i/>
      <w:szCs w:val="20"/>
      <w:lang w:val="en-US" w:eastAsia="en-US"/>
    </w:rPr>
  </w:style>
  <w:style w:type="paragraph" w:customStyle="1" w:styleId="HeadingBase">
    <w:name w:val="Heading Base"/>
    <w:rsid w:val="00291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608"/>
    <w:pPr>
      <w:tabs>
        <w:tab w:val="right" w:leader="dot" w:pos="9072"/>
      </w:tabs>
      <w:ind w:left="567"/>
    </w:pPr>
    <w:rPr>
      <w:szCs w:val="22"/>
    </w:rPr>
  </w:style>
  <w:style w:type="paragraph" w:customStyle="1" w:styleId="TOCBase">
    <w:name w:val="TOC Base"/>
    <w:rsid w:val="00291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608"/>
    <w:pPr>
      <w:tabs>
        <w:tab w:val="right" w:leader="dot" w:pos="9072"/>
      </w:tabs>
      <w:spacing w:before="40" w:after="40"/>
      <w:ind w:left="284"/>
    </w:pPr>
    <w:rPr>
      <w:rFonts w:ascii="Times New Roman" w:hAnsi="Times New Roman"/>
    </w:rPr>
  </w:style>
  <w:style w:type="paragraph" w:styleId="TOC1">
    <w:name w:val="toc 1"/>
    <w:basedOn w:val="TOCBase"/>
    <w:next w:val="Normal"/>
    <w:rsid w:val="002916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608"/>
    <w:pPr>
      <w:spacing w:before="5040"/>
      <w:jc w:val="center"/>
    </w:pPr>
    <w:rPr>
      <w:sz w:val="48"/>
      <w:szCs w:val="72"/>
      <w:lang w:val="en-US"/>
    </w:rPr>
  </w:style>
  <w:style w:type="character" w:customStyle="1" w:styleId="TitleChar">
    <w:name w:val="Title Char"/>
    <w:basedOn w:val="DefaultParagraphFont"/>
    <w:link w:val="Title"/>
    <w:rsid w:val="00291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608"/>
    <w:pPr>
      <w:tabs>
        <w:tab w:val="left" w:pos="3600"/>
        <w:tab w:val="left" w:pos="3958"/>
      </w:tabs>
    </w:pPr>
  </w:style>
  <w:style w:type="paragraph" w:customStyle="1" w:styleId="Note">
    <w:name w:val="Note"/>
    <w:basedOn w:val="BodyText"/>
    <w:rsid w:val="00291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608"/>
    <w:pPr>
      <w:framePr w:wrap="auto" w:hAnchor="text" w:y="6049"/>
    </w:pPr>
    <w:rPr>
      <w:color w:val="000000"/>
      <w:sz w:val="40"/>
    </w:rPr>
  </w:style>
  <w:style w:type="paragraph" w:customStyle="1" w:styleId="TOCTitle">
    <w:name w:val="TOCTitle"/>
    <w:basedOn w:val="Heading1"/>
    <w:rsid w:val="00291608"/>
    <w:pPr>
      <w:spacing w:after="240"/>
      <w:jc w:val="center"/>
      <w:outlineLvl w:val="9"/>
    </w:pPr>
    <w:rPr>
      <w:caps/>
    </w:rPr>
  </w:style>
  <w:style w:type="paragraph" w:customStyle="1" w:styleId="Version">
    <w:name w:val="Version"/>
    <w:rsid w:val="002916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608"/>
    <w:pPr>
      <w:numPr>
        <w:numId w:val="13"/>
      </w:numPr>
      <w:tabs>
        <w:tab w:val="clear" w:pos="680"/>
      </w:tabs>
    </w:pPr>
  </w:style>
  <w:style w:type="paragraph" w:styleId="Index1">
    <w:name w:val="index 1"/>
    <w:basedOn w:val="Normal"/>
    <w:next w:val="Normal"/>
    <w:semiHidden/>
    <w:rsid w:val="00291608"/>
    <w:pPr>
      <w:keepNext w:val="0"/>
      <w:tabs>
        <w:tab w:val="right" w:pos="4176"/>
      </w:tabs>
      <w:ind w:left="198" w:hanging="198"/>
    </w:pPr>
    <w:rPr>
      <w:rFonts w:ascii="Garamond" w:hAnsi="Garamond"/>
    </w:rPr>
  </w:style>
  <w:style w:type="paragraph" w:styleId="IndexHeading">
    <w:name w:val="index heading"/>
    <w:basedOn w:val="Normal"/>
    <w:next w:val="Index1"/>
    <w:semiHidden/>
    <w:rsid w:val="00291608"/>
    <w:pPr>
      <w:spacing w:before="120" w:after="120"/>
    </w:pPr>
    <w:rPr>
      <w:rFonts w:ascii="Arial" w:hAnsi="Arial"/>
      <w:b/>
      <w:color w:val="918585"/>
      <w:sz w:val="24"/>
    </w:rPr>
  </w:style>
  <w:style w:type="paragraph" w:customStyle="1" w:styleId="Chapter">
    <w:name w:val="Chapter"/>
    <w:basedOn w:val="Normal"/>
    <w:rsid w:val="00291608"/>
    <w:pPr>
      <w:spacing w:before="240"/>
    </w:pPr>
    <w:rPr>
      <w:rFonts w:ascii="Times New Roman" w:hAnsi="Times New Roman"/>
      <w:smallCaps/>
      <w:spacing w:val="80"/>
      <w:sz w:val="28"/>
    </w:rPr>
  </w:style>
  <w:style w:type="paragraph" w:customStyle="1" w:styleId="InChapter">
    <w:name w:val="InChapter"/>
    <w:basedOn w:val="Heading3"/>
    <w:rsid w:val="00291608"/>
    <w:pPr>
      <w:spacing w:after="240"/>
      <w:outlineLvl w:val="9"/>
    </w:pPr>
    <w:rPr>
      <w:noProof/>
    </w:rPr>
  </w:style>
  <w:style w:type="paragraph" w:styleId="Index2">
    <w:name w:val="index 2"/>
    <w:basedOn w:val="Normal"/>
    <w:next w:val="Normal"/>
    <w:semiHidden/>
    <w:rsid w:val="00291608"/>
    <w:pPr>
      <w:tabs>
        <w:tab w:val="right" w:pos="4176"/>
      </w:tabs>
      <w:ind w:left="568" w:hanging="284"/>
    </w:pPr>
    <w:rPr>
      <w:rFonts w:ascii="Garamond" w:hAnsi="Garamond"/>
    </w:rPr>
  </w:style>
  <w:style w:type="paragraph" w:customStyle="1" w:styleId="Byline">
    <w:name w:val="Byline"/>
    <w:rsid w:val="00291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608"/>
    <w:pPr>
      <w:tabs>
        <w:tab w:val="clear" w:pos="3600"/>
        <w:tab w:val="clear" w:pos="3958"/>
      </w:tabs>
      <w:jc w:val="right"/>
    </w:pPr>
  </w:style>
  <w:style w:type="character" w:styleId="Emphasis">
    <w:name w:val="Emphasis"/>
    <w:basedOn w:val="DefaultParagraphFont"/>
    <w:qFormat/>
    <w:rsid w:val="00291608"/>
    <w:rPr>
      <w:i/>
    </w:rPr>
  </w:style>
  <w:style w:type="paragraph" w:styleId="Caption">
    <w:name w:val="caption"/>
    <w:basedOn w:val="BodyText"/>
    <w:next w:val="Normal"/>
    <w:qFormat/>
    <w:rsid w:val="00291608"/>
    <w:pPr>
      <w:framePr w:w="2268" w:hSpace="181" w:vSpace="181" w:wrap="around" w:vAnchor="text" w:hAnchor="page" w:x="1135" w:y="285" w:anchorLock="1"/>
    </w:pPr>
    <w:rPr>
      <w:i/>
    </w:rPr>
  </w:style>
  <w:style w:type="paragraph" w:customStyle="1" w:styleId="MiniTOCTitle">
    <w:name w:val="MiniTOCTitle"/>
    <w:basedOn w:val="Heading4"/>
    <w:rsid w:val="00291608"/>
    <w:pPr>
      <w:spacing w:before="240"/>
      <w:outlineLvl w:val="9"/>
    </w:pPr>
    <w:rPr>
      <w:noProof/>
      <w:sz w:val="24"/>
    </w:rPr>
  </w:style>
  <w:style w:type="paragraph" w:customStyle="1" w:styleId="MiniTOCItem">
    <w:name w:val="MiniTOCItem"/>
    <w:basedOn w:val="ListBullet"/>
    <w:rsid w:val="00291608"/>
    <w:pPr>
      <w:numPr>
        <w:numId w:val="0"/>
      </w:numPr>
      <w:tabs>
        <w:tab w:val="right" w:leader="dot" w:pos="6521"/>
      </w:tabs>
      <w:spacing w:before="0" w:after="0"/>
    </w:pPr>
  </w:style>
  <w:style w:type="paragraph" w:customStyle="1" w:styleId="TOFTitle">
    <w:name w:val="TOFTitle"/>
    <w:basedOn w:val="TOCTitle"/>
    <w:rsid w:val="00291608"/>
  </w:style>
  <w:style w:type="paragraph" w:styleId="TableofFigures">
    <w:name w:val="table of figures"/>
    <w:basedOn w:val="Normal"/>
    <w:next w:val="Normal"/>
    <w:semiHidden/>
    <w:rsid w:val="00291608"/>
    <w:pPr>
      <w:tabs>
        <w:tab w:val="right" w:leader="dot" w:pos="9072"/>
      </w:tabs>
      <w:ind w:left="970" w:hanging="403"/>
    </w:pPr>
    <w:rPr>
      <w:rFonts w:ascii="Times New Roman" w:hAnsi="Times New Roman"/>
      <w:b/>
    </w:rPr>
  </w:style>
  <w:style w:type="paragraph" w:styleId="ListNumber">
    <w:name w:val="List Number"/>
    <w:basedOn w:val="List"/>
    <w:rsid w:val="00291608"/>
    <w:pPr>
      <w:numPr>
        <w:numId w:val="10"/>
      </w:numPr>
    </w:pPr>
  </w:style>
  <w:style w:type="character" w:customStyle="1" w:styleId="WingdingSymbols">
    <w:name w:val="Wingding Symbols"/>
    <w:rsid w:val="00291608"/>
    <w:rPr>
      <w:rFonts w:ascii="Wingdings" w:hAnsi="Wingdings"/>
    </w:rPr>
  </w:style>
  <w:style w:type="paragraph" w:customStyle="1" w:styleId="TableHeading">
    <w:name w:val="Table Heading"/>
    <w:basedOn w:val="HeadingBase"/>
    <w:rsid w:val="00291608"/>
    <w:pPr>
      <w:keepLines/>
      <w:pBdr>
        <w:bottom w:val="single" w:sz="6" w:space="1" w:color="918585"/>
      </w:pBdr>
      <w:spacing w:before="240"/>
    </w:pPr>
  </w:style>
  <w:style w:type="character" w:customStyle="1" w:styleId="HotSpot">
    <w:name w:val="HotSpot"/>
    <w:rsid w:val="00291608"/>
    <w:rPr>
      <w:color w:val="0033CC"/>
      <w:u w:val="none"/>
    </w:rPr>
  </w:style>
  <w:style w:type="paragraph" w:customStyle="1" w:styleId="BodyTextRight">
    <w:name w:val="Body Text Right"/>
    <w:basedOn w:val="BodyText"/>
    <w:rsid w:val="00291608"/>
    <w:pPr>
      <w:spacing w:before="0" w:after="0"/>
      <w:jc w:val="right"/>
    </w:pPr>
  </w:style>
  <w:style w:type="paragraph" w:styleId="Index3">
    <w:name w:val="index 3"/>
    <w:basedOn w:val="ListNumber2"/>
    <w:next w:val="Normal"/>
    <w:semiHidden/>
    <w:rsid w:val="00291608"/>
    <w:pPr>
      <w:numPr>
        <w:numId w:val="0"/>
      </w:numPr>
      <w:tabs>
        <w:tab w:val="right" w:leader="dot" w:pos="4176"/>
      </w:tabs>
    </w:pPr>
  </w:style>
  <w:style w:type="paragraph" w:styleId="ListNumber2">
    <w:name w:val="List Number 2"/>
    <w:basedOn w:val="List2"/>
    <w:rsid w:val="00291608"/>
    <w:pPr>
      <w:numPr>
        <w:numId w:val="9"/>
      </w:numPr>
      <w:tabs>
        <w:tab w:val="clear" w:pos="1060"/>
      </w:tabs>
    </w:pPr>
  </w:style>
  <w:style w:type="paragraph" w:customStyle="1" w:styleId="MarginNote">
    <w:name w:val="Margin Note"/>
    <w:basedOn w:val="BodyText"/>
    <w:rsid w:val="00291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6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608"/>
    <w:rPr>
      <w:sz w:val="32"/>
    </w:rPr>
  </w:style>
  <w:style w:type="paragraph" w:customStyle="1" w:styleId="HeadingProcedure">
    <w:name w:val="Heading Procedure"/>
    <w:basedOn w:val="HeadingBase"/>
    <w:next w:val="Normal"/>
    <w:rsid w:val="00291608"/>
    <w:pPr>
      <w:tabs>
        <w:tab w:val="left" w:pos="0"/>
      </w:tabs>
      <w:spacing w:before="120" w:after="60"/>
    </w:pPr>
    <w:rPr>
      <w:i/>
      <w:color w:val="918585"/>
      <w:sz w:val="22"/>
    </w:rPr>
  </w:style>
  <w:style w:type="paragraph" w:customStyle="1" w:styleId="TableBodyText">
    <w:name w:val="Table Body Text"/>
    <w:basedOn w:val="BodyText"/>
    <w:rsid w:val="00291608"/>
    <w:pPr>
      <w:spacing w:before="60" w:after="60"/>
    </w:pPr>
  </w:style>
  <w:style w:type="paragraph" w:styleId="ListContinue">
    <w:name w:val="List Continue"/>
    <w:basedOn w:val="List"/>
    <w:rsid w:val="00291608"/>
    <w:pPr>
      <w:ind w:firstLine="0"/>
    </w:pPr>
  </w:style>
  <w:style w:type="paragraph" w:customStyle="1" w:styleId="ListNote">
    <w:name w:val="List Note"/>
    <w:basedOn w:val="List"/>
    <w:rsid w:val="00291608"/>
    <w:pPr>
      <w:pBdr>
        <w:top w:val="single" w:sz="6" w:space="2" w:color="918585"/>
        <w:bottom w:val="single" w:sz="6" w:space="2" w:color="918585"/>
      </w:pBdr>
      <w:tabs>
        <w:tab w:val="left" w:pos="1021"/>
      </w:tabs>
      <w:ind w:firstLine="0"/>
    </w:pPr>
  </w:style>
  <w:style w:type="paragraph" w:customStyle="1" w:styleId="Warning">
    <w:name w:val="Warning"/>
    <w:basedOn w:val="BodyText"/>
    <w:rsid w:val="00291608"/>
    <w:pPr>
      <w:shd w:val="clear" w:color="auto" w:fill="D9D9D9"/>
      <w:tabs>
        <w:tab w:val="left" w:pos="992"/>
      </w:tabs>
      <w:ind w:left="119" w:right="119"/>
    </w:pPr>
    <w:rPr>
      <w:sz w:val="20"/>
    </w:rPr>
  </w:style>
  <w:style w:type="paragraph" w:customStyle="1" w:styleId="MarginIcons">
    <w:name w:val="Margin Icons"/>
    <w:basedOn w:val="BodyText"/>
    <w:rsid w:val="00291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608"/>
    <w:rPr>
      <w:rFonts w:ascii="Courier New" w:hAnsi="Courier New"/>
    </w:rPr>
  </w:style>
  <w:style w:type="paragraph" w:customStyle="1" w:styleId="NoteBullet">
    <w:name w:val="Note Bullet"/>
    <w:basedOn w:val="Note"/>
    <w:rsid w:val="00291608"/>
    <w:pPr>
      <w:tabs>
        <w:tab w:val="clear" w:pos="680"/>
      </w:tabs>
      <w:spacing w:before="60" w:after="60"/>
    </w:pPr>
  </w:style>
  <w:style w:type="paragraph" w:customStyle="1" w:styleId="SubHeading2">
    <w:name w:val="SubHeading2"/>
    <w:basedOn w:val="HeadingBase"/>
    <w:rsid w:val="00291608"/>
    <w:pPr>
      <w:spacing w:before="240" w:after="60"/>
    </w:pPr>
    <w:rPr>
      <w:sz w:val="20"/>
    </w:rPr>
  </w:style>
  <w:style w:type="paragraph" w:customStyle="1" w:styleId="SubHeading1">
    <w:name w:val="SubHeading1"/>
    <w:basedOn w:val="HeadingBase"/>
    <w:rsid w:val="00291608"/>
    <w:pPr>
      <w:spacing w:before="240" w:after="60"/>
    </w:pPr>
    <w:rPr>
      <w:color w:val="918585"/>
      <w:sz w:val="22"/>
    </w:rPr>
  </w:style>
  <w:style w:type="paragraph" w:customStyle="1" w:styleId="SideHeading">
    <w:name w:val="Side Heading"/>
    <w:basedOn w:val="HeadingBase"/>
    <w:rsid w:val="00291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608"/>
    <w:pPr>
      <w:tabs>
        <w:tab w:val="num" w:pos="360"/>
      </w:tabs>
    </w:pPr>
  </w:style>
  <w:style w:type="paragraph" w:styleId="PlainText">
    <w:name w:val="Plain Text"/>
    <w:basedOn w:val="Normal"/>
    <w:link w:val="PlainTextChar"/>
    <w:rsid w:val="00291608"/>
    <w:rPr>
      <w:sz w:val="20"/>
    </w:rPr>
  </w:style>
  <w:style w:type="character" w:customStyle="1" w:styleId="PlainTextChar">
    <w:name w:val="Plain Text Char"/>
    <w:basedOn w:val="DefaultParagraphFont"/>
    <w:link w:val="PlainText"/>
    <w:rsid w:val="002916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1608"/>
    <w:rPr>
      <w:b/>
      <w:smallCaps/>
    </w:rPr>
  </w:style>
  <w:style w:type="paragraph" w:customStyle="1" w:styleId="TableListNumber">
    <w:name w:val="Table List Number"/>
    <w:basedOn w:val="ListNumber"/>
    <w:rsid w:val="00291608"/>
    <w:pPr>
      <w:numPr>
        <w:numId w:val="0"/>
      </w:numPr>
    </w:pPr>
  </w:style>
  <w:style w:type="paragraph" w:styleId="TOC4">
    <w:name w:val="toc 4"/>
    <w:basedOn w:val="TOCBase"/>
    <w:next w:val="Normal"/>
    <w:semiHidden/>
    <w:rsid w:val="00291608"/>
    <w:pPr>
      <w:tabs>
        <w:tab w:val="right" w:leader="dot" w:pos="9071"/>
      </w:tabs>
      <w:ind w:left="1701"/>
    </w:pPr>
  </w:style>
  <w:style w:type="paragraph" w:customStyle="1" w:styleId="ListAlpha">
    <w:name w:val="List Alpha"/>
    <w:basedOn w:val="List"/>
    <w:rsid w:val="00291608"/>
    <w:pPr>
      <w:numPr>
        <w:numId w:val="8"/>
      </w:numPr>
    </w:pPr>
  </w:style>
  <w:style w:type="paragraph" w:customStyle="1" w:styleId="ListAlpha2">
    <w:name w:val="List Alpha 2"/>
    <w:basedOn w:val="List2"/>
    <w:rsid w:val="00291608"/>
    <w:pPr>
      <w:numPr>
        <w:numId w:val="7"/>
      </w:numPr>
    </w:pPr>
  </w:style>
  <w:style w:type="paragraph" w:styleId="List3">
    <w:name w:val="List 3"/>
    <w:basedOn w:val="BodyText"/>
    <w:rsid w:val="00291608"/>
    <w:pPr>
      <w:tabs>
        <w:tab w:val="left" w:pos="1021"/>
      </w:tabs>
      <w:spacing w:before="60" w:after="60"/>
      <w:ind w:left="1020" w:hanging="340"/>
    </w:pPr>
  </w:style>
  <w:style w:type="paragraph" w:styleId="List4">
    <w:name w:val="List 4"/>
    <w:basedOn w:val="BodyText"/>
    <w:rsid w:val="00291608"/>
    <w:pPr>
      <w:tabs>
        <w:tab w:val="left" w:pos="1361"/>
      </w:tabs>
      <w:spacing w:before="60" w:after="60"/>
      <w:ind w:left="1361" w:hanging="340"/>
    </w:pPr>
  </w:style>
  <w:style w:type="paragraph" w:styleId="List5">
    <w:name w:val="List 5"/>
    <w:basedOn w:val="BodyText"/>
    <w:rsid w:val="00291608"/>
    <w:pPr>
      <w:tabs>
        <w:tab w:val="left" w:pos="1701"/>
      </w:tabs>
      <w:spacing w:before="60" w:after="60"/>
      <w:ind w:left="1701" w:hanging="340"/>
    </w:pPr>
  </w:style>
  <w:style w:type="paragraph" w:styleId="ListBullet3">
    <w:name w:val="List Bullet 3"/>
    <w:basedOn w:val="List3"/>
    <w:rsid w:val="00291608"/>
    <w:pPr>
      <w:numPr>
        <w:numId w:val="14"/>
      </w:numPr>
      <w:tabs>
        <w:tab w:val="clear" w:pos="1021"/>
      </w:tabs>
      <w:ind w:left="1037" w:hanging="357"/>
    </w:pPr>
  </w:style>
  <w:style w:type="paragraph" w:styleId="ListBullet4">
    <w:name w:val="List Bullet 4"/>
    <w:basedOn w:val="List4"/>
    <w:rsid w:val="00291608"/>
    <w:pPr>
      <w:numPr>
        <w:numId w:val="2"/>
      </w:numPr>
    </w:pPr>
  </w:style>
  <w:style w:type="paragraph" w:styleId="ListBullet5">
    <w:name w:val="List Bullet 5"/>
    <w:basedOn w:val="List5"/>
    <w:rsid w:val="00291608"/>
    <w:pPr>
      <w:numPr>
        <w:numId w:val="3"/>
      </w:numPr>
    </w:pPr>
  </w:style>
  <w:style w:type="paragraph" w:styleId="ListContinue2">
    <w:name w:val="List Continue 2"/>
    <w:basedOn w:val="List2"/>
    <w:rsid w:val="00291608"/>
    <w:pPr>
      <w:ind w:firstLine="0"/>
    </w:pPr>
  </w:style>
  <w:style w:type="paragraph" w:styleId="ListContinue3">
    <w:name w:val="List Continue 3"/>
    <w:basedOn w:val="List3"/>
    <w:rsid w:val="00291608"/>
    <w:pPr>
      <w:ind w:left="1021" w:firstLine="0"/>
    </w:pPr>
  </w:style>
  <w:style w:type="paragraph" w:styleId="ListContinue4">
    <w:name w:val="List Continue 4"/>
    <w:basedOn w:val="List4"/>
    <w:rsid w:val="00291608"/>
    <w:pPr>
      <w:ind w:firstLine="0"/>
    </w:pPr>
  </w:style>
  <w:style w:type="paragraph" w:styleId="ListContinue5">
    <w:name w:val="List Continue 5"/>
    <w:basedOn w:val="List5"/>
    <w:rsid w:val="00291608"/>
    <w:pPr>
      <w:ind w:firstLine="0"/>
    </w:pPr>
  </w:style>
  <w:style w:type="paragraph" w:styleId="ListNumber3">
    <w:name w:val="List Number 3"/>
    <w:basedOn w:val="List3"/>
    <w:rsid w:val="00291608"/>
    <w:pPr>
      <w:numPr>
        <w:numId w:val="4"/>
      </w:numPr>
    </w:pPr>
  </w:style>
  <w:style w:type="paragraph" w:styleId="ListNumber4">
    <w:name w:val="List Number 4"/>
    <w:basedOn w:val="List4"/>
    <w:rsid w:val="00291608"/>
    <w:pPr>
      <w:numPr>
        <w:numId w:val="5"/>
      </w:numPr>
    </w:pPr>
  </w:style>
  <w:style w:type="paragraph" w:styleId="ListNumber5">
    <w:name w:val="List Number 5"/>
    <w:basedOn w:val="List5"/>
    <w:rsid w:val="00291608"/>
    <w:pPr>
      <w:numPr>
        <w:numId w:val="6"/>
      </w:numPr>
    </w:pPr>
  </w:style>
  <w:style w:type="paragraph" w:styleId="BlockText">
    <w:name w:val="Block Text"/>
    <w:basedOn w:val="Normal"/>
    <w:rsid w:val="00291608"/>
    <w:pPr>
      <w:spacing w:after="120"/>
      <w:ind w:left="1440" w:right="1440"/>
    </w:pPr>
  </w:style>
  <w:style w:type="character" w:customStyle="1" w:styleId="Subscript">
    <w:name w:val="Subscript"/>
    <w:basedOn w:val="DefaultParagraphFont"/>
    <w:rsid w:val="00291608"/>
    <w:rPr>
      <w:sz w:val="16"/>
      <w:vertAlign w:val="subscript"/>
    </w:rPr>
  </w:style>
  <w:style w:type="character" w:customStyle="1" w:styleId="Superscript">
    <w:name w:val="Superscript"/>
    <w:basedOn w:val="DefaultParagraphFont"/>
    <w:rsid w:val="00291608"/>
    <w:rPr>
      <w:sz w:val="16"/>
      <w:vertAlign w:val="superscript"/>
    </w:rPr>
  </w:style>
  <w:style w:type="character" w:customStyle="1" w:styleId="Symbols">
    <w:name w:val="Symbols"/>
    <w:basedOn w:val="DefaultParagraphFont"/>
    <w:rsid w:val="00291608"/>
    <w:rPr>
      <w:rFonts w:ascii="Symbol" w:hAnsi="Symbol"/>
    </w:rPr>
  </w:style>
  <w:style w:type="character" w:customStyle="1" w:styleId="MenuOptions">
    <w:name w:val="Menu Options"/>
    <w:basedOn w:val="DefaultParagraphFont"/>
    <w:rsid w:val="00291608"/>
    <w:rPr>
      <w:rFonts w:ascii="Arial Narrow" w:hAnsi="Arial Narrow"/>
      <w:smallCaps/>
    </w:rPr>
  </w:style>
  <w:style w:type="character" w:customStyle="1" w:styleId="Buttons">
    <w:name w:val="Buttons"/>
    <w:basedOn w:val="DefaultParagraphFont"/>
    <w:rsid w:val="00291608"/>
    <w:rPr>
      <w:b/>
    </w:rPr>
  </w:style>
  <w:style w:type="character" w:customStyle="1" w:styleId="Underlined">
    <w:name w:val="Underlined"/>
    <w:basedOn w:val="DefaultParagraphFont"/>
    <w:rsid w:val="00291608"/>
    <w:rPr>
      <w:u w:val="single"/>
    </w:rPr>
  </w:style>
  <w:style w:type="paragraph" w:customStyle="1" w:styleId="TableBodyTextRight">
    <w:name w:val="Table Body Text Right"/>
    <w:basedOn w:val="TableBodyText"/>
    <w:rsid w:val="00291608"/>
    <w:pPr>
      <w:widowControl w:val="0"/>
      <w:autoSpaceDE w:val="0"/>
      <w:autoSpaceDN w:val="0"/>
      <w:adjustRightInd w:val="0"/>
      <w:jc w:val="right"/>
    </w:pPr>
    <w:rPr>
      <w:rFonts w:cs="Arial"/>
      <w:szCs w:val="18"/>
    </w:rPr>
  </w:style>
  <w:style w:type="paragraph" w:customStyle="1" w:styleId="CopyrightText">
    <w:name w:val="Copyright Text"/>
    <w:basedOn w:val="BodyText"/>
    <w:rsid w:val="00291608"/>
    <w:rPr>
      <w:sz w:val="18"/>
    </w:rPr>
  </w:style>
  <w:style w:type="paragraph" w:customStyle="1" w:styleId="BodySmallRight">
    <w:name w:val="Body Small Right"/>
    <w:basedOn w:val="BodyTextRight"/>
    <w:rsid w:val="00291608"/>
    <w:rPr>
      <w:sz w:val="18"/>
      <w:szCs w:val="18"/>
    </w:rPr>
  </w:style>
  <w:style w:type="paragraph" w:customStyle="1" w:styleId="MarginEdition">
    <w:name w:val="Margin Edition"/>
    <w:basedOn w:val="MarginNote"/>
    <w:rsid w:val="00291608"/>
    <w:pPr>
      <w:spacing w:before="0" w:after="0"/>
    </w:pPr>
    <w:rPr>
      <w:rFonts w:ascii="Times New Roman" w:hAnsi="Times New Roman"/>
      <w:color w:val="999999"/>
    </w:rPr>
  </w:style>
  <w:style w:type="paragraph" w:customStyle="1" w:styleId="Spacer">
    <w:name w:val="Spacer"/>
    <w:basedOn w:val="Normal"/>
    <w:rsid w:val="00291608"/>
    <w:rPr>
      <w:sz w:val="2"/>
      <w:szCs w:val="2"/>
    </w:rPr>
  </w:style>
  <w:style w:type="character" w:customStyle="1" w:styleId="Small">
    <w:name w:val="Small"/>
    <w:basedOn w:val="DefaultParagraphFont"/>
    <w:rsid w:val="00291608"/>
    <w:rPr>
      <w:sz w:val="16"/>
    </w:rPr>
  </w:style>
  <w:style w:type="paragraph" w:customStyle="1" w:styleId="WideTable">
    <w:name w:val="Wide Table"/>
    <w:basedOn w:val="Normal"/>
    <w:rsid w:val="00291608"/>
    <w:pPr>
      <w:ind w:left="-1418"/>
    </w:pPr>
    <w:rPr>
      <w:sz w:val="2"/>
      <w:szCs w:val="2"/>
    </w:rPr>
  </w:style>
  <w:style w:type="character" w:styleId="PageNumber">
    <w:name w:val="page number"/>
    <w:basedOn w:val="DefaultParagraphFont"/>
    <w:rsid w:val="00291608"/>
  </w:style>
  <w:style w:type="paragraph" w:styleId="Quote">
    <w:name w:val="Quote"/>
    <w:basedOn w:val="Heading1"/>
    <w:link w:val="QuoteChar"/>
    <w:qFormat/>
    <w:rsid w:val="00291608"/>
    <w:rPr>
      <w:b w:val="0"/>
      <w:sz w:val="72"/>
      <w:szCs w:val="72"/>
      <w:lang w:val="en-NZ"/>
    </w:rPr>
  </w:style>
  <w:style w:type="character" w:customStyle="1" w:styleId="QuoteChar">
    <w:name w:val="Quote Char"/>
    <w:basedOn w:val="DefaultParagraphFont"/>
    <w:link w:val="Quote"/>
    <w:rsid w:val="00291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608"/>
    <w:pPr>
      <w:pageBreakBefore/>
    </w:pPr>
  </w:style>
  <w:style w:type="paragraph" w:customStyle="1" w:styleId="Border">
    <w:name w:val="Border"/>
    <w:basedOn w:val="Normal"/>
    <w:qFormat/>
    <w:rsid w:val="00291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608"/>
    <w:rPr>
      <w:b/>
      <w:bCs/>
      <w:i/>
      <w:iCs/>
      <w:color w:val="auto"/>
    </w:rPr>
  </w:style>
  <w:style w:type="paragraph" w:styleId="IntenseQuote">
    <w:name w:val="Intense Quote"/>
    <w:basedOn w:val="Normal"/>
    <w:next w:val="Normal"/>
    <w:link w:val="IntenseQuoteChar"/>
    <w:uiPriority w:val="30"/>
    <w:qFormat/>
    <w:rsid w:val="00291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6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1608"/>
    <w:rPr>
      <w:smallCaps/>
      <w:color w:val="auto"/>
      <w:u w:val="single"/>
    </w:rPr>
  </w:style>
  <w:style w:type="character" w:styleId="IntenseReference">
    <w:name w:val="Intense Reference"/>
    <w:basedOn w:val="DefaultParagraphFont"/>
    <w:uiPriority w:val="32"/>
    <w:qFormat/>
    <w:rsid w:val="00291608"/>
    <w:rPr>
      <w:b/>
      <w:bCs/>
      <w:smallCaps/>
      <w:color w:val="auto"/>
      <w:spacing w:val="5"/>
      <w:u w:val="single"/>
    </w:rPr>
  </w:style>
  <w:style w:type="paragraph" w:customStyle="1" w:styleId="2ColumnHeading">
    <w:name w:val="2Column Heading"/>
    <w:basedOn w:val="BodyText"/>
    <w:qFormat/>
    <w:rsid w:val="00291608"/>
    <w:pPr>
      <w:spacing w:after="60"/>
      <w:ind w:left="-2268"/>
    </w:pPr>
    <w:rPr>
      <w:b/>
    </w:rPr>
  </w:style>
  <w:style w:type="paragraph" w:customStyle="1" w:styleId="Heading1TOC">
    <w:name w:val="Heading1 TOC"/>
    <w:basedOn w:val="Normal"/>
    <w:qFormat/>
    <w:rsid w:val="00291608"/>
    <w:pPr>
      <w:spacing w:before="240" w:after="120"/>
    </w:pPr>
    <w:rPr>
      <w:rFonts w:ascii="Times New Roman" w:hAnsi="Times New Roman"/>
      <w:b/>
      <w:sz w:val="32"/>
    </w:rPr>
  </w:style>
  <w:style w:type="paragraph" w:customStyle="1" w:styleId="Heading2TOC">
    <w:name w:val="Heading2 TOC"/>
    <w:basedOn w:val="Normal"/>
    <w:qFormat/>
    <w:rsid w:val="00291608"/>
    <w:pPr>
      <w:spacing w:before="240" w:after="60"/>
    </w:pPr>
    <w:rPr>
      <w:rFonts w:ascii="Times New Roman" w:hAnsi="Times New Roman"/>
      <w:b/>
      <w:sz w:val="28"/>
    </w:rPr>
  </w:style>
  <w:style w:type="character" w:customStyle="1" w:styleId="Underline">
    <w:name w:val="Underline"/>
    <w:basedOn w:val="DefaultParagraphFont"/>
    <w:qFormat/>
    <w:rsid w:val="00291608"/>
    <w:rPr>
      <w:u w:val="single"/>
    </w:rPr>
  </w:style>
  <w:style w:type="character" w:customStyle="1" w:styleId="BoldandItalics">
    <w:name w:val="Bold and Italics"/>
    <w:qFormat/>
    <w:rsid w:val="00291608"/>
    <w:rPr>
      <w:b/>
      <w:i/>
      <w:u w:val="none"/>
    </w:rPr>
  </w:style>
  <w:style w:type="paragraph" w:styleId="BalloonText">
    <w:name w:val="Balloon Text"/>
    <w:basedOn w:val="Normal"/>
    <w:link w:val="BalloonTextChar"/>
    <w:rsid w:val="00291608"/>
    <w:rPr>
      <w:rFonts w:ascii="Tahoma" w:hAnsi="Tahoma" w:cs="Tahoma"/>
      <w:sz w:val="16"/>
      <w:szCs w:val="16"/>
    </w:rPr>
  </w:style>
  <w:style w:type="character" w:customStyle="1" w:styleId="BalloonTextChar">
    <w:name w:val="Balloon Text Char"/>
    <w:basedOn w:val="DefaultParagraphFont"/>
    <w:link w:val="BalloonText"/>
    <w:rsid w:val="002916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6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6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6804</Characters>
  <Application>Microsoft Office Word</Application>
  <DocSecurity>0</DocSecurity>
  <Lines>246</Lines>
  <Paragraphs>100</Paragraphs>
  <ScaleCrop>false</ScaleCrop>
  <Company>Author-it Software Corporation Ltd.</Company>
  <LinksUpToDate>false</LinksUpToDate>
  <CharactersWithSpaces>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MEM13003B Work safely with industrial chemicals and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2012-05-27T01:45:00Z</dcterms:created>
  <dcterms:modified xsi:type="dcterms:W3CDTF">2012-05-27T01:45:00Z</dcterms:modified>
</cp:coreProperties>
</file>