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547" w:rsidP="00103547">
      <w:pPr>
        <w:pStyle w:val="Title"/>
      </w:pPr>
      <w:r>
        <w:fldChar w:fldCharType="begin"/>
      </w:r>
      <w:r>
        <w:instrText xml:space="preserve"> TITLE   \* MERGEFORMAT </w:instrText>
      </w:r>
      <w:r>
        <w:fldChar w:fldCharType="separate"/>
      </w:r>
      <w:r>
        <w:t>MEM12005B Calibrate measuring equipment</w:t>
      </w:r>
      <w:r>
        <w:fldChar w:fldCharType="end"/>
      </w:r>
    </w:p>
    <w:p w:rsidR="00103547" w:rsidP="00103547">
      <w:pPr>
        <w:pStyle w:val="Version"/>
        <w:sectPr w:rsidSect="00F35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C4D" w:rsidP="00F35C4D">
      <w:pPr>
        <w:pStyle w:val="SuperHeading"/>
      </w:pPr>
      <w:r w:rsidRPr="00F35C4D">
        <w:t>MEM12005B Calibrate measuring equipment</w:t>
      </w:r>
    </w:p>
    <w:p w:rsidR="00000000" w:rsidRPr="00F35C4D" w:rsidP="00F35C4D">
      <w:pPr>
        <w:pStyle w:val="Heading1"/>
      </w:pPr>
      <w:bookmarkStart w:id="1" w:name="O_272157"/>
      <w:bookmarkEnd w:id="1"/>
      <w:r w:rsidRPr="00F35C4D">
        <w:t>Modification History</w:t>
      </w:r>
    </w:p>
    <w:p w:rsidR="00000000" w:rsidRPr="00F35C4D" w:rsidP="00F35C4D">
      <w:pPr>
        <w:pStyle w:val="BodyText"/>
      </w:pPr>
      <w:r w:rsidRPr="00F35C4D">
        <w:t>Not Applicable</w:t>
      </w:r>
    </w:p>
    <w:p w:rsidR="00000000" w:rsidRPr="00F35C4D" w:rsidP="00F35C4D">
      <w:pPr>
        <w:pStyle w:val="AllowPageBreak"/>
      </w:pPr>
    </w:p>
    <w:p w:rsidR="00000000" w:rsidRPr="00F35C4D" w:rsidP="00F35C4D">
      <w:pPr>
        <w:pStyle w:val="Heading1"/>
      </w:pPr>
      <w:bookmarkStart w:id="2" w:name="O_211537"/>
      <w:bookmarkEnd w:id="2"/>
      <w:r w:rsidRPr="00F35C4D">
        <w:t>Unit Descriptor</w:t>
      </w:r>
    </w:p>
    <w:tbl>
      <w:tblPr>
        <w:tblW w:w="0" w:type="auto"/>
        <w:tblLayout w:type="fixed"/>
        <w:tblCellMar>
          <w:left w:w="62" w:type="dxa"/>
          <w:right w:w="62" w:type="dxa"/>
        </w:tblCellMar>
        <w:tblLook w:val="0000"/>
      </w:tblPr>
      <w:tblGrid>
        <w:gridCol w:w="2651"/>
        <w:gridCol w:w="5871"/>
      </w:tblGrid>
      <w:tr w:rsidTr="00103547">
        <w:tblPrEx>
          <w:tblW w:w="0" w:type="auto"/>
          <w:tblLayout w:type="fixed"/>
          <w:tblCellMar>
            <w:left w:w="62" w:type="dxa"/>
            <w:right w:w="62" w:type="dxa"/>
          </w:tblCellMar>
          <w:tblLook w:val="0000"/>
        </w:tblPrEx>
        <w:trPr>
          <w:tblHeader/>
        </w:trPr>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This unit covers checking measuring equipment for correct operation, and validating/calibrating precision measu</w:t>
            </w:r>
            <w:r w:rsidRPr="00F35C4D">
              <w:t>ring equipment in accordance with predetermined procedures.</w:t>
            </w:r>
          </w:p>
        </w:tc>
      </w:tr>
    </w:tbl>
    <w:p w:rsidR="00103547" w:rsidP="00F35C4D">
      <w:pPr>
        <w:pStyle w:val="BodyText"/>
      </w:pPr>
    </w:p>
    <w:p w:rsidR="00103547" w:rsidP="00F35C4D">
      <w:pPr>
        <w:pStyle w:val="BodyText"/>
      </w:pPr>
    </w:p>
    <w:p w:rsidR="00000000" w:rsidRPr="00F35C4D" w:rsidP="00F35C4D">
      <w:pPr>
        <w:pStyle w:val="Heading1"/>
      </w:pPr>
      <w:bookmarkStart w:id="3" w:name="O_211541"/>
      <w:bookmarkEnd w:id="3"/>
      <w:r w:rsidRPr="00F35C4D">
        <w:t>Application of the Unit</w:t>
      </w:r>
    </w:p>
    <w:tbl>
      <w:tblPr>
        <w:tblW w:w="0" w:type="auto"/>
        <w:tblLayout w:type="fixed"/>
        <w:tblCellMar>
          <w:left w:w="62" w:type="dxa"/>
          <w:right w:w="62" w:type="dxa"/>
        </w:tblCellMar>
        <w:tblLook w:val="0000"/>
      </w:tblPr>
      <w:tblGrid>
        <w:gridCol w:w="2745"/>
        <w:gridCol w:w="5777"/>
      </w:tblGrid>
      <w:tr w:rsidTr="0010354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This unit applies to the calibration skills used in the setting, adjustment, validation or verification of precision mechanical and/or electrical/electronic measuring instruments using reference standards in accordance with predetermined standard procedure</w:t>
            </w:r>
            <w:r w:rsidRPr="00F35C4D">
              <w:t>s. This may involve the use of electronic setting equipment and the selection or determination of an appropriate external standard in accordance with standard operating procedures.</w:t>
            </w:r>
          </w:p>
          <w:p w:rsidR="00000000" w:rsidRPr="00F35C4D" w:rsidP="00F35C4D">
            <w:pPr>
              <w:pStyle w:val="BodyText"/>
            </w:pPr>
            <w:r w:rsidRPr="00F35C4D">
              <w:t>This unit is not meant to apply to simple zeroing, external adjustment or m</w:t>
            </w:r>
            <w:r w:rsidRPr="00F35C4D">
              <w:t>anual adjustment for size range e.g. micrometers etc; these skills are covered by Unit MEM12023A (Perform engineering measurements), Unit MEM12003B (Perform precision mechanical measurement) or Unit MEM12004B (Perform precision electrical/electronic measur</w:t>
            </w:r>
            <w:r w:rsidRPr="00F35C4D">
              <w:t>ement) as appropriate.</w:t>
            </w:r>
          </w:p>
          <w:p w:rsidR="00000000" w:rsidRPr="00F35C4D" w:rsidP="00F35C4D">
            <w:pPr>
              <w:pStyle w:val="BodyText"/>
            </w:pPr>
            <w:r w:rsidRPr="00F35C4D">
              <w:t xml:space="preserve">There may be occasions when both pathways MEM12003B and MEM12002B will be required. </w:t>
            </w:r>
          </w:p>
          <w:p w:rsidR="00000000" w:rsidRPr="00F35C4D" w:rsidP="00F35C4D">
            <w:pPr>
              <w:pStyle w:val="BodyText"/>
            </w:pPr>
            <w:r w:rsidRPr="00F35C4D">
              <w:t>Where additional electrical/electronic measurement skills are required, then Unit MEM12004B (Perform precision electrical/electronic measurement) sh</w:t>
            </w:r>
            <w:r w:rsidRPr="00F35C4D">
              <w:t>ould be considered.</w:t>
            </w:r>
          </w:p>
          <w:p w:rsidR="00000000" w:rsidRPr="00F35C4D" w:rsidP="00F35C4D">
            <w:pPr>
              <w:pStyle w:val="BodyText"/>
            </w:pPr>
            <w:r w:rsidRPr="00F35C4D">
              <w:t>Competence in this unit does not require the level of skill that applies to calibration as defined in ISO 9000 and/or carried out by personnel accredited under ISO/IEC 17025/NATA certification or similar.</w:t>
            </w:r>
          </w:p>
          <w:p w:rsidR="00000000" w:rsidRPr="00F35C4D" w:rsidP="00F35C4D">
            <w:pPr>
              <w:pStyle w:val="BodyText"/>
            </w:pPr>
            <w:r w:rsidRPr="00F35C4D">
              <w:t>Unit MEM15010B (Perform laborat</w:t>
            </w:r>
            <w:r w:rsidRPr="00F35C4D">
              <w:t>ory procedures) should be considered for this level of calibration.</w:t>
            </w:r>
          </w:p>
          <w:p w:rsidR="00000000" w:rsidRPr="00F35C4D" w:rsidP="00F35C4D">
            <w:pPr>
              <w:pStyle w:val="BodyText"/>
            </w:pPr>
            <w:r w:rsidRPr="00F35C4D">
              <w:t>Where reference standards only are to be verified under laboratory conditions, then MEM15022B (Verify reference standards) should be considered.</w:t>
            </w:r>
          </w:p>
          <w:p w:rsidR="00000000" w:rsidRPr="00F35C4D" w:rsidP="00F35C4D">
            <w:pPr>
              <w:pStyle w:val="BodyText"/>
            </w:pPr>
          </w:p>
          <w:p w:rsidR="00000000" w:rsidRPr="00F35C4D" w:rsidP="00F35C4D">
            <w:pPr>
              <w:pStyle w:val="BodyText"/>
            </w:pPr>
            <w:r w:rsidRPr="00F35C4D">
              <w:rPr>
                <w:rStyle w:val="SpecialBold"/>
              </w:rPr>
              <w:t>Band</w:t>
            </w:r>
            <w:r w:rsidRPr="00F35C4D">
              <w:t>:</w:t>
            </w:r>
            <w:r w:rsidRPr="00F35C4D">
              <w:tab/>
            </w:r>
            <w:r w:rsidRPr="00F35C4D">
              <w:rPr>
                <w:rStyle w:val="SpecialBold"/>
              </w:rPr>
              <w:t>B</w:t>
            </w:r>
          </w:p>
          <w:p w:rsidR="00000000" w:rsidRPr="00F35C4D" w:rsidP="00F35C4D">
            <w:pPr>
              <w:pStyle w:val="BodyText"/>
            </w:pPr>
            <w:r w:rsidRPr="00F35C4D">
              <w:rPr>
                <w:rStyle w:val="SpecialBold"/>
              </w:rPr>
              <w:t>Unit Weight</w:t>
            </w:r>
            <w:r w:rsidRPr="00F35C4D">
              <w:t>:</w:t>
            </w:r>
            <w:r w:rsidRPr="00F35C4D">
              <w:tab/>
            </w:r>
            <w:r w:rsidRPr="00F35C4D">
              <w:rPr>
                <w:rStyle w:val="SpecialBold"/>
              </w:rPr>
              <w:t>6</w:t>
            </w:r>
          </w:p>
        </w:tc>
      </w:tr>
    </w:tbl>
    <w:p w:rsidR="00103547" w:rsidP="00F35C4D">
      <w:pPr>
        <w:pStyle w:val="BodyText"/>
      </w:pPr>
    </w:p>
    <w:p w:rsidR="00103547" w:rsidP="00F35C4D">
      <w:pPr>
        <w:pStyle w:val="BodyText"/>
      </w:pPr>
    </w:p>
    <w:p w:rsidR="00000000" w:rsidRPr="00F35C4D" w:rsidP="00F35C4D">
      <w:pPr>
        <w:pStyle w:val="Heading1"/>
      </w:pPr>
      <w:bookmarkStart w:id="4" w:name="O_280417"/>
      <w:bookmarkEnd w:id="4"/>
      <w:r w:rsidRPr="00F35C4D">
        <w:t>Licensing/Regulatory Information</w:t>
      </w:r>
    </w:p>
    <w:p w:rsidR="00000000" w:rsidRPr="00F35C4D" w:rsidP="00F35C4D">
      <w:pPr>
        <w:pStyle w:val="BodyText"/>
      </w:pPr>
      <w:r w:rsidRPr="00F35C4D">
        <w:t>Not Applicable</w:t>
      </w:r>
    </w:p>
    <w:p w:rsidR="00000000" w:rsidRPr="00F35C4D" w:rsidP="00F35C4D">
      <w:pPr>
        <w:pStyle w:val="AllowPageBreak"/>
      </w:pPr>
    </w:p>
    <w:p w:rsidR="00000000" w:rsidRPr="00F35C4D" w:rsidP="00F35C4D">
      <w:pPr>
        <w:pStyle w:val="Heading1"/>
      </w:pPr>
      <w:bookmarkStart w:id="5" w:name="O_211539"/>
      <w:bookmarkEnd w:id="5"/>
      <w:r w:rsidRPr="00F35C4D">
        <w:t>Pre-Requisites</w:t>
      </w:r>
    </w:p>
    <w:tbl>
      <w:tblPr>
        <w:tblW w:w="0" w:type="auto"/>
        <w:tblLayout w:type="fixed"/>
        <w:tblCellMar>
          <w:left w:w="62" w:type="dxa"/>
          <w:right w:w="62" w:type="dxa"/>
        </w:tblCellMar>
        <w:tblLook w:val="0000"/>
      </w:tblPr>
      <w:tblGrid>
        <w:gridCol w:w="2703"/>
        <w:gridCol w:w="2195"/>
        <w:gridCol w:w="3624"/>
      </w:tblGrid>
      <w:tr w:rsidTr="00103547">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p>
        </w:tc>
      </w:tr>
      <w:tr w:rsidTr="0010354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MEM12003B</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Perform precision mechanical measurement</w:t>
            </w:r>
          </w:p>
        </w:tc>
      </w:tr>
      <w:tr w:rsidTr="0010354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MEM12023A</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Perform engineering measurements</w:t>
            </w:r>
          </w:p>
        </w:tc>
      </w:tr>
      <w:tr w:rsidTr="0010354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Path 2</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MEM12002B</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Perform electrical/electronic measurement</w:t>
            </w:r>
          </w:p>
        </w:tc>
      </w:tr>
      <w:tr w:rsidTr="0010354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MEM12023A</w:t>
            </w:r>
          </w:p>
        </w:tc>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Perform engineering measurements</w:t>
            </w:r>
          </w:p>
        </w:tc>
      </w:tr>
    </w:tbl>
    <w:p w:rsidR="00103547" w:rsidP="00F35C4D">
      <w:pPr>
        <w:pStyle w:val="BodyText"/>
      </w:pPr>
    </w:p>
    <w:p w:rsidR="00103547" w:rsidP="00F35C4D">
      <w:pPr>
        <w:pStyle w:val="BodyText"/>
      </w:pPr>
    </w:p>
    <w:p w:rsidR="00000000" w:rsidRPr="00F35C4D" w:rsidP="00F35C4D">
      <w:pPr>
        <w:pStyle w:val="Heading1"/>
      </w:pPr>
      <w:bookmarkStart w:id="6" w:name="O_211538"/>
      <w:bookmarkEnd w:id="6"/>
      <w:r w:rsidRPr="00F35C4D">
        <w:t>Employability Skills Information</w:t>
      </w:r>
    </w:p>
    <w:tbl>
      <w:tblPr>
        <w:tblW w:w="0" w:type="auto"/>
        <w:tblLayout w:type="fixed"/>
        <w:tblCellMar>
          <w:left w:w="62" w:type="dxa"/>
          <w:right w:w="62" w:type="dxa"/>
        </w:tblCellMar>
        <w:tblLook w:val="0000"/>
      </w:tblPr>
      <w:tblGrid>
        <w:gridCol w:w="2802"/>
        <w:gridCol w:w="5720"/>
      </w:tblGrid>
      <w:tr w:rsidTr="001035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This unit contains employability skills.</w:t>
            </w:r>
          </w:p>
        </w:tc>
      </w:tr>
    </w:tbl>
    <w:p w:rsidR="00103547" w:rsidP="00F35C4D">
      <w:pPr>
        <w:pStyle w:val="BodyText"/>
      </w:pPr>
    </w:p>
    <w:p w:rsidR="00103547" w:rsidP="00F35C4D">
      <w:pPr>
        <w:pStyle w:val="BodyText"/>
      </w:pPr>
    </w:p>
    <w:p w:rsidR="00000000" w:rsidRPr="00F35C4D" w:rsidP="00F35C4D">
      <w:pPr>
        <w:pStyle w:val="Heading1"/>
      </w:pPr>
      <w:bookmarkStart w:id="7" w:name="O_290203"/>
      <w:bookmarkEnd w:id="7"/>
      <w:r w:rsidRPr="00F35C4D">
        <w:t>Elements and Performance Criteria Pre-Content</w:t>
      </w:r>
    </w:p>
    <w:tbl>
      <w:tblPr>
        <w:tblW w:w="0" w:type="auto"/>
        <w:tblLayout w:type="fixed"/>
        <w:tblCellMar>
          <w:left w:w="62" w:type="dxa"/>
          <w:right w:w="62" w:type="dxa"/>
        </w:tblCellMar>
        <w:tblLook w:val="0000"/>
      </w:tblPr>
      <w:tblGrid>
        <w:gridCol w:w="2689"/>
        <w:gridCol w:w="5833"/>
      </w:tblGrid>
      <w:tr w:rsidTr="0010354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Elements describe the essential outcomes of a unit of competency.</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Performance criteria describe the performance needed to demonstrate achievement of the element. Where bold italicised text is used, further info</w:t>
            </w:r>
            <w:r w:rsidRPr="00F35C4D">
              <w:t>rmation is detailed in the required skills and knowledge section and the range statement. Assessment of performance is to be consistent with the evidence guide.</w:t>
            </w:r>
          </w:p>
        </w:tc>
      </w:tr>
    </w:tbl>
    <w:p w:rsidR="00000000" w:rsidRPr="00F35C4D" w:rsidP="00F35C4D">
      <w:pPr>
        <w:pStyle w:val="BodyText"/>
      </w:pPr>
    </w:p>
    <w:p w:rsidR="00000000" w:rsidRPr="00F35C4D" w:rsidP="00F35C4D">
      <w:pPr>
        <w:pStyle w:val="AllowPageBreak"/>
      </w:pPr>
    </w:p>
    <w:p w:rsidR="00000000" w:rsidRPr="00F35C4D" w:rsidP="00F35C4D">
      <w:pPr>
        <w:pStyle w:val="Heading1"/>
      </w:pPr>
      <w:bookmarkStart w:id="8" w:name="O_236870"/>
      <w:bookmarkEnd w:id="8"/>
      <w:r w:rsidRPr="00F35C4D">
        <w:t>Elements and Performance Criteria</w:t>
      </w:r>
    </w:p>
    <w:tbl>
      <w:tblPr>
        <w:tblW w:w="0" w:type="auto"/>
        <w:tblLayout w:type="fixed"/>
        <w:tblCellMar>
          <w:left w:w="62" w:type="dxa"/>
          <w:right w:w="62" w:type="dxa"/>
        </w:tblCellMar>
        <w:tblLook w:val="0000"/>
      </w:tblPr>
      <w:tblGrid>
        <w:gridCol w:w="2689"/>
        <w:gridCol w:w="5833"/>
      </w:tblGrid>
      <w:tr w:rsidTr="00103547">
        <w:tblPrEx>
          <w:tblW w:w="0" w:type="auto"/>
          <w:tblLayout w:type="fixed"/>
          <w:tblCellMar>
            <w:left w:w="62" w:type="dxa"/>
            <w:right w:w="62" w:type="dxa"/>
          </w:tblCellMar>
          <w:tblLook w:val="0000"/>
        </w:tblPrEx>
        <w:trPr>
          <w:tblHeader/>
        </w:trPr>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rPr>
                <w:rStyle w:val="SpecialBold"/>
              </w:rPr>
              <w:t>ELEMENT</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PERFORMANCE CRITERIA</w:t>
            </w:r>
          </w:p>
        </w:tc>
      </w:tr>
      <w:tr w:rsidTr="0010354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List"/>
              <w:rPr>
                <w:lang w:val="en-NZ"/>
              </w:rPr>
            </w:pPr>
            <w:r w:rsidRPr="00F35C4D">
              <w:t>1.</w:t>
            </w:r>
            <w:r w:rsidRPr="00F35C4D">
              <w:tab/>
            </w:r>
            <w:r w:rsidRPr="00F35C4D">
              <w:t>Check equipment for correct operation</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List2"/>
              <w:rPr>
                <w:lang w:val="en-NZ"/>
              </w:rPr>
            </w:pPr>
            <w:r w:rsidRPr="00F35C4D">
              <w:t>1.1.</w:t>
            </w:r>
            <w:r w:rsidRPr="00F35C4D">
              <w:tab/>
              <w:t>Appropriate checks are made of components, leads, fasteners, etc. for wear, loose connections or other faults.</w:t>
            </w:r>
          </w:p>
        </w:tc>
      </w:tr>
      <w:tr w:rsidTr="00103547">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List"/>
              <w:rPr>
                <w:lang w:val="en-NZ"/>
              </w:rPr>
            </w:pPr>
            <w:r w:rsidRPr="00F35C4D">
              <w:t>2.</w:t>
            </w:r>
            <w:r w:rsidRPr="00F35C4D">
              <w:tab/>
              <w:t>Validate/calibrate precision measuring equipment</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List2"/>
            </w:pPr>
            <w:r w:rsidRPr="00F35C4D">
              <w:t>2.1.</w:t>
            </w:r>
            <w:r w:rsidRPr="00F35C4D">
              <w:tab/>
              <w:t>Calibration of precision measuring equipment</w:t>
            </w:r>
            <w:r w:rsidRPr="00F35C4D">
              <w:t xml:space="preserve"> is assessed to manufacturers' specifications and/or standard operating procedures.</w:t>
            </w:r>
          </w:p>
          <w:p w:rsidR="00000000" w:rsidRPr="00F35C4D" w:rsidP="00F35C4D">
            <w:pPr>
              <w:pStyle w:val="List2"/>
            </w:pPr>
            <w:r w:rsidRPr="00F35C4D">
              <w:t>2.2.</w:t>
            </w:r>
            <w:r w:rsidRPr="00F35C4D">
              <w:tab/>
              <w:t>Equipment is calibrated against appropriate physical standards using correct calibration devices, equipment, techniques using predetermined procedures.</w:t>
            </w:r>
          </w:p>
          <w:p w:rsidR="00000000" w:rsidRPr="00F35C4D" w:rsidP="00F35C4D">
            <w:pPr>
              <w:pStyle w:val="List2"/>
            </w:pPr>
            <w:r w:rsidRPr="00F35C4D">
              <w:t>2.3.</w:t>
            </w:r>
            <w:r w:rsidRPr="00F35C4D">
              <w:tab/>
              <w:t xml:space="preserve">Equipment </w:t>
            </w:r>
            <w:r w:rsidRPr="00F35C4D">
              <w:t>is recommissioned in accordance with standard operating procedures.</w:t>
            </w:r>
          </w:p>
        </w:tc>
      </w:tr>
    </w:tbl>
    <w:p w:rsidR="00103547" w:rsidP="00F35C4D">
      <w:pPr>
        <w:pStyle w:val="BodyText"/>
      </w:pPr>
    </w:p>
    <w:p w:rsidR="00103547" w:rsidP="00F35C4D">
      <w:pPr>
        <w:pStyle w:val="BodyText"/>
      </w:pPr>
    </w:p>
    <w:p w:rsidR="00000000" w:rsidRPr="00F35C4D" w:rsidP="00F35C4D">
      <w:pPr>
        <w:pStyle w:val="Heading1"/>
      </w:pPr>
      <w:bookmarkStart w:id="9" w:name="O_260820"/>
      <w:bookmarkEnd w:id="9"/>
      <w:r w:rsidRPr="00F35C4D">
        <w:t>Required Skills and Knowledge</w:t>
      </w:r>
    </w:p>
    <w:tbl>
      <w:tblPr>
        <w:tblW w:w="0" w:type="auto"/>
        <w:tblLayout w:type="fixed"/>
        <w:tblCellMar>
          <w:left w:w="62" w:type="dxa"/>
          <w:right w:w="62" w:type="dxa"/>
        </w:tblCellMar>
        <w:tblLook w:val="0000"/>
      </w:tblPr>
      <w:tblGrid>
        <w:gridCol w:w="8522"/>
      </w:tblGrid>
      <w:tr w:rsidTr="001035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REQUIRED SKILLS AND KNOWLEDGE</w:t>
            </w:r>
          </w:p>
        </w:tc>
      </w:tr>
      <w:tr w:rsidTr="001035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This section describes the skills and knowledge required for this unit.</w:t>
            </w:r>
          </w:p>
        </w:tc>
      </w:tr>
      <w:tr w:rsidTr="00103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Required skills</w:t>
            </w:r>
          </w:p>
        </w:tc>
      </w:tr>
      <w:tr w:rsidTr="00103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Look for evidence that confirms skills in:</w:t>
            </w:r>
          </w:p>
          <w:p w:rsidR="00000000" w:rsidRPr="00F35C4D" w:rsidP="00F35C4D">
            <w:pPr>
              <w:pStyle w:val="ListBullet"/>
            </w:pPr>
            <w:r w:rsidRPr="00F35C4D">
              <w:t>interpreting work requirements</w:t>
            </w:r>
          </w:p>
          <w:p w:rsidR="00000000" w:rsidRPr="00F35C4D" w:rsidP="00F35C4D">
            <w:pPr>
              <w:pStyle w:val="ListBullet"/>
            </w:pPr>
            <w:r w:rsidRPr="00F35C4D">
              <w:t xml:space="preserve">using appropriate tools and equipment to check measuring equipment for faults </w:t>
            </w:r>
          </w:p>
          <w:p w:rsidR="00000000" w:rsidRPr="00F35C4D" w:rsidP="00F35C4D">
            <w:pPr>
              <w:pStyle w:val="ListBullet"/>
            </w:pPr>
            <w:r w:rsidRPr="00F35C4D">
              <w:t>using appropriate techniques to check the calibration of the measuring equipment for conformance to sp</w:t>
            </w:r>
            <w:r w:rsidRPr="00F35C4D">
              <w:t xml:space="preserve">ecifications </w:t>
            </w:r>
          </w:p>
          <w:p w:rsidR="00000000" w:rsidRPr="00F35C4D" w:rsidP="00F35C4D">
            <w:pPr>
              <w:pStyle w:val="ListBullet"/>
            </w:pPr>
            <w:r w:rsidRPr="00F35C4D">
              <w:t xml:space="preserve">calibrating the measuring equipment against the appropriate physical standard </w:t>
            </w:r>
          </w:p>
          <w:p w:rsidR="00000000" w:rsidRPr="00F35C4D" w:rsidP="00F35C4D">
            <w:pPr>
              <w:pStyle w:val="ListBullet"/>
            </w:pPr>
            <w:r w:rsidRPr="00F35C4D">
              <w:t xml:space="preserve">recommissioning the measuring equipment </w:t>
            </w:r>
          </w:p>
          <w:p w:rsidR="00000000" w:rsidP="00F35C4D">
            <w:pPr>
              <w:pStyle w:val="ListBullet"/>
              <w:rPr>
                <w:lang w:val="en-NZ"/>
              </w:rPr>
            </w:pPr>
            <w:r w:rsidRPr="00F35C4D">
              <w:t>using literacy and numeracy skills to enable correct completion of calibration records</w:t>
            </w:r>
          </w:p>
        </w:tc>
      </w:tr>
      <w:tr w:rsidTr="00103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Required knowledge</w:t>
            </w:r>
          </w:p>
        </w:tc>
      </w:tr>
      <w:tr w:rsidTr="00103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Look for evidence that confirms knowledge of:</w:t>
            </w:r>
          </w:p>
          <w:p w:rsidR="00000000" w:rsidRPr="00F35C4D" w:rsidP="00F35C4D">
            <w:pPr>
              <w:pStyle w:val="ListBullet"/>
            </w:pPr>
            <w:r w:rsidRPr="00F35C4D">
              <w:t xml:space="preserve">measuring equipment specifications, operation, wearing parts, connections and components </w:t>
            </w:r>
          </w:p>
          <w:p w:rsidR="00000000" w:rsidRPr="00F35C4D" w:rsidP="00F35C4D">
            <w:pPr>
              <w:pStyle w:val="ListBullet"/>
            </w:pPr>
            <w:r w:rsidRPr="00F35C4D">
              <w:t>checks that are to be made of the measuring equipment and the tools and equipment to be used when checking the measurin</w:t>
            </w:r>
            <w:r w:rsidRPr="00F35C4D">
              <w:t xml:space="preserve">g equipment </w:t>
            </w:r>
          </w:p>
          <w:p w:rsidR="00000000" w:rsidRPr="00F35C4D" w:rsidP="00F35C4D">
            <w:pPr>
              <w:pStyle w:val="ListBullet"/>
            </w:pPr>
            <w:r w:rsidRPr="00F35C4D">
              <w:t xml:space="preserve">common fault(s) that may be found in the measuring equipment </w:t>
            </w:r>
          </w:p>
          <w:p w:rsidR="00000000" w:rsidRPr="00F35C4D" w:rsidP="00F35C4D">
            <w:pPr>
              <w:pStyle w:val="ListBullet"/>
            </w:pPr>
            <w:r w:rsidRPr="00F35C4D">
              <w:t xml:space="preserve">effects of faults on the performance/accuracy of the measuring equipment </w:t>
            </w:r>
          </w:p>
          <w:p w:rsidR="00000000" w:rsidRPr="00F35C4D" w:rsidP="00F35C4D">
            <w:pPr>
              <w:pStyle w:val="ListBullet"/>
            </w:pPr>
            <w:r w:rsidRPr="00F35C4D">
              <w:t>general knowledge of standards, legislative or regulatory requirements applicable to the measuring equipmen</w:t>
            </w:r>
            <w:r w:rsidRPr="00F35C4D">
              <w:t xml:space="preserve">t and/or its calibration </w:t>
            </w:r>
          </w:p>
          <w:p w:rsidR="00000000" w:rsidRPr="00F35C4D" w:rsidP="00F35C4D">
            <w:pPr>
              <w:pStyle w:val="ListBullet"/>
            </w:pPr>
            <w:r w:rsidRPr="00F35C4D">
              <w:t>standard operating procedures for calibrating the measuring equipment and the tools and equipment required to do so</w:t>
            </w:r>
          </w:p>
          <w:p w:rsidR="00000000" w:rsidRPr="00F35C4D" w:rsidP="00F35C4D">
            <w:pPr>
              <w:pStyle w:val="ListBullet"/>
            </w:pPr>
            <w:r w:rsidRPr="00F35C4D">
              <w:t xml:space="preserve">standard operating procedures for commissioning the measuring equipment </w:t>
            </w:r>
          </w:p>
          <w:p w:rsidR="00000000" w:rsidRPr="00F35C4D" w:rsidP="00F35C4D">
            <w:pPr>
              <w:pStyle w:val="ListBullet"/>
            </w:pPr>
            <w:r w:rsidRPr="00F35C4D">
              <w:t>calibration records to be kept/maintained</w:t>
            </w:r>
            <w:r w:rsidRPr="00F35C4D">
              <w:t xml:space="preserve"> in accordance with standard operating procedures</w:t>
            </w:r>
          </w:p>
          <w:p w:rsidR="00000000" w:rsidRPr="00F35C4D" w:rsidP="00F35C4D">
            <w:pPr>
              <w:pStyle w:val="ListBullet"/>
            </w:pPr>
            <w:r w:rsidRPr="00F35C4D">
              <w:t>hazards and controls associated with calibrating measuring equipment</w:t>
            </w:r>
          </w:p>
        </w:tc>
      </w:tr>
    </w:tbl>
    <w:p w:rsidR="00103547" w:rsidP="00F35C4D">
      <w:pPr>
        <w:pStyle w:val="BodyText"/>
      </w:pPr>
    </w:p>
    <w:p w:rsidR="00103547" w:rsidP="00F35C4D">
      <w:pPr>
        <w:pStyle w:val="BodyText"/>
      </w:pPr>
    </w:p>
    <w:p w:rsidR="00000000" w:rsidRPr="00F35C4D" w:rsidP="00F35C4D">
      <w:pPr>
        <w:pStyle w:val="AllowPageBreak"/>
      </w:pPr>
    </w:p>
    <w:p w:rsidR="00000000" w:rsidRPr="00F35C4D" w:rsidP="00F35C4D">
      <w:pPr>
        <w:pStyle w:val="Heading1"/>
      </w:pPr>
      <w:bookmarkStart w:id="10" w:name="O_244854"/>
      <w:bookmarkEnd w:id="10"/>
      <w:r w:rsidRPr="00F35C4D">
        <w:t>Evidence Guide</w:t>
      </w:r>
    </w:p>
    <w:tbl>
      <w:tblPr>
        <w:tblW w:w="9570" w:type="dxa"/>
        <w:tblLayout w:type="fixed"/>
        <w:tblCellMar>
          <w:left w:w="62" w:type="dxa"/>
          <w:right w:w="62" w:type="dxa"/>
        </w:tblCellMar>
        <w:tblLook w:val="0000"/>
      </w:tblPr>
      <w:tblGrid>
        <w:gridCol w:w="3908"/>
        <w:gridCol w:w="5662"/>
      </w:tblGrid>
      <w:tr w:rsidTr="001035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EVIDENCE GUIDE</w:t>
            </w:r>
          </w:p>
        </w:tc>
      </w:tr>
      <w:tr w:rsidTr="001035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The evidence guide provides advice on assessment and must be read in conjunction with the performance criteria, required skills and knowledge, range statement and the Assessment Guidelines for the Training Package.</w:t>
            </w:r>
          </w:p>
        </w:tc>
      </w:tr>
      <w:tr w:rsidTr="00103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A person who dem</w:t>
            </w:r>
            <w:r w:rsidRPr="00F35C4D">
              <w:t>onstrates competency in this unit must be able to check equipment for correct operation and validate/calibrate precision measuring equipment. Competency in this unit cannot be claimed until all prerequisites have been satisfied.</w:t>
            </w:r>
          </w:p>
        </w:tc>
      </w:tr>
      <w:tr w:rsidTr="00103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Critical aspects for asses</w:t>
            </w:r>
            <w:r w:rsidRPr="00F35C4D">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Assessors must be satisfied that the candidate can competently and consistently perform all elements of the unit as specified by the criteria, including required knowledge, and be capable o</w:t>
            </w:r>
            <w:r w:rsidRPr="00F35C4D">
              <w:t>f applying the competency in new and different situations and contexts.</w:t>
            </w:r>
          </w:p>
        </w:tc>
      </w:tr>
      <w:tr w:rsidTr="00103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This unit may be assessed on the job, off the job or a combination of both on and off the job. Where assessment occurs off the job, th</w:t>
            </w:r>
            <w:r w:rsidRPr="00F35C4D">
              <w:t xml:space="preserve">at is the candidate is not in productive work, then an appropriate simulation must be used where the range of conditions reflects realistic workplace situations. The competencies covered by this unit would be demonstrated by an individual working alone or </w:t>
            </w:r>
            <w:r w:rsidRPr="00F35C4D">
              <w:t xml:space="preserve">as part of a team. The assessment environment should not disadvantage the candidate. </w:t>
            </w:r>
          </w:p>
          <w:p w:rsidR="00000000" w:rsidP="00F35C4D">
            <w:pPr>
              <w:pStyle w:val="BodyText"/>
              <w:rPr>
                <w:lang w:val="en-NZ"/>
              </w:rPr>
            </w:pPr>
            <w:r w:rsidRPr="00F35C4D">
              <w:t>This unit could be assessed in conjunction with any other units addressing the safety, quality, communication, materials handling, recording and reporting associated with calibrating measuring equipment or other units requiring the exercise of the skills a</w:t>
            </w:r>
            <w:r w:rsidRPr="00F35C4D">
              <w:t>nd knowledge covered by this unit.</w:t>
            </w:r>
          </w:p>
        </w:tc>
      </w:tr>
      <w:tr w:rsidTr="00103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Assessors should gather a range of evidence that is valid, sufficient, current and authentic. Evidence can be gathered through a variety of ways including direct observation, supervisor's reports, pr</w:t>
            </w:r>
            <w:r w:rsidRPr="00F35C4D">
              <w:t>oject work, samples and questioning. Questioning techniques should not require language, literacy and numeracy skills beyond those required in this unit of competency. The candidate must have access to all tools, equipment, materials and documentation requ</w:t>
            </w:r>
            <w:r w:rsidRPr="00F35C4D">
              <w:t>ired. The candidate must be permitted to refer to any relevant workplace procedures, product and manufacturing specifications, codes, standards, manuals and reference materials.</w:t>
            </w:r>
          </w:p>
        </w:tc>
      </w:tr>
      <w:tr w:rsidTr="001035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p>
        </w:tc>
      </w:tr>
    </w:tbl>
    <w:p w:rsidR="00103547" w:rsidP="00F35C4D">
      <w:pPr>
        <w:pStyle w:val="BodyText"/>
      </w:pPr>
    </w:p>
    <w:p w:rsidR="00103547" w:rsidP="00F35C4D">
      <w:pPr>
        <w:pStyle w:val="BodyText"/>
      </w:pPr>
    </w:p>
    <w:p w:rsidR="00000000" w:rsidRPr="00F35C4D" w:rsidP="00F35C4D">
      <w:pPr>
        <w:pStyle w:val="Heading1"/>
      </w:pPr>
      <w:bookmarkStart w:id="11" w:name="O_252837"/>
      <w:bookmarkEnd w:id="11"/>
      <w:r w:rsidRPr="00F35C4D">
        <w:t>Range Statement</w:t>
      </w:r>
    </w:p>
    <w:tbl>
      <w:tblPr>
        <w:tblW w:w="0" w:type="auto"/>
        <w:tblLayout w:type="fixed"/>
        <w:tblCellMar>
          <w:left w:w="62" w:type="dxa"/>
          <w:right w:w="62" w:type="dxa"/>
        </w:tblCellMar>
        <w:tblLook w:val="0000"/>
      </w:tblPr>
      <w:tblGrid>
        <w:gridCol w:w="3574"/>
        <w:gridCol w:w="4948"/>
      </w:tblGrid>
      <w:tr w:rsidTr="001035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RA</w:t>
            </w:r>
            <w:r w:rsidRPr="00F35C4D">
              <w:rPr>
                <w:rStyle w:val="SpecialBold"/>
              </w:rPr>
              <w:t>NGE STATEMENT</w:t>
            </w:r>
          </w:p>
        </w:tc>
      </w:tr>
      <w:tr w:rsidTr="001035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 xml:space="preserve">The range statement relates to the unit of competency as a whole. It allows for different work environments and situations that may affect </w:t>
            </w:r>
            <w:r w:rsidRPr="00F35C4D">
              <w:t>performance. Bold italicised wording, if used in the performance criteria, is detailed below. Essential operating conditions that may be present with training and assessment (depending on the work situation, needs of the candidate, accessibility of the ite</w:t>
            </w:r>
            <w:r w:rsidRPr="00F35C4D">
              <w:t>m, and local industry and regional contexts) may also be included.</w:t>
            </w:r>
          </w:p>
        </w:tc>
      </w:tr>
      <w:tr w:rsidTr="00103547">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Calibration</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To standardise the quantities of a measuring instrument</w:t>
            </w:r>
          </w:p>
        </w:tc>
      </w:tr>
      <w:tr w:rsidTr="00103547">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Physical standards</w:t>
            </w:r>
            <w:r w:rsidRPr="00F35C4D">
              <w:t xml:space="preserve"> </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Reference standards of mass length, time, temperature, pressure, volume, process characteristics e</w:t>
            </w:r>
            <w:r w:rsidRPr="00F35C4D">
              <w:t>tc.</w:t>
            </w:r>
          </w:p>
        </w:tc>
      </w:tr>
      <w:tr w:rsidTr="00103547">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Calibration devices</w:t>
            </w:r>
            <w:r w:rsidRPr="00F35C4D">
              <w:t xml:space="preserve">, </w:t>
            </w:r>
            <w:r w:rsidRPr="00F35C4D">
              <w:rPr>
                <w:rStyle w:val="SpecialBold"/>
              </w:rPr>
              <w:t>equipment</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Micrometer, vernier caliper, voltmeter, oscilloscope, all types of comparators, jigs and fixtures, templates and patterns etc.</w:t>
            </w:r>
          </w:p>
        </w:tc>
      </w:tr>
      <w:tr w:rsidTr="00103547">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Techniques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t>In standard operating procedures, manufacturers' manuals</w:t>
            </w:r>
          </w:p>
        </w:tc>
      </w:tr>
      <w:tr w:rsidTr="00103547">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Recommissioned</w:t>
            </w:r>
            <w:r w:rsidRPr="00F35C4D">
              <w:t xml:space="preserve"> </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Seali</w:t>
            </w:r>
            <w:r w:rsidRPr="00F35C4D">
              <w:t>ng, tagging, identification or storage in accordance with standard operating procedures</w:t>
            </w:r>
          </w:p>
        </w:tc>
      </w:tr>
    </w:tbl>
    <w:p w:rsidR="00103547" w:rsidP="00F35C4D">
      <w:pPr>
        <w:pStyle w:val="BodyText"/>
      </w:pPr>
    </w:p>
    <w:p w:rsidR="00103547" w:rsidP="00F35C4D">
      <w:pPr>
        <w:pStyle w:val="BodyText"/>
      </w:pPr>
    </w:p>
    <w:p w:rsidR="00000000" w:rsidRPr="00F35C4D" w:rsidP="00F35C4D">
      <w:pPr>
        <w:pStyle w:val="Heading1"/>
      </w:pPr>
      <w:bookmarkStart w:id="12" w:name="O_211543"/>
      <w:bookmarkEnd w:id="12"/>
      <w:r w:rsidRPr="00F35C4D">
        <w:t>Unit Sector(s)</w:t>
      </w:r>
    </w:p>
    <w:tbl>
      <w:tblPr>
        <w:tblW w:w="0" w:type="auto"/>
        <w:tblLayout w:type="fixed"/>
        <w:tblCellMar>
          <w:left w:w="62" w:type="dxa"/>
          <w:right w:w="62" w:type="dxa"/>
        </w:tblCellMar>
        <w:tblLook w:val="0000"/>
      </w:tblPr>
      <w:tblGrid>
        <w:gridCol w:w="2654"/>
        <w:gridCol w:w="5868"/>
      </w:tblGrid>
      <w:tr w:rsidTr="001035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p>
        </w:tc>
      </w:tr>
    </w:tbl>
    <w:p w:rsidR="00103547" w:rsidP="00F35C4D">
      <w:pPr>
        <w:pStyle w:val="BodyText"/>
      </w:pPr>
    </w:p>
    <w:p w:rsidR="00103547" w:rsidP="00F35C4D">
      <w:pPr>
        <w:pStyle w:val="BodyText"/>
      </w:pPr>
    </w:p>
    <w:p w:rsidR="00000000" w:rsidRPr="00F35C4D" w:rsidP="00F35C4D">
      <w:pPr>
        <w:pStyle w:val="Heading1"/>
      </w:pPr>
      <w:bookmarkStart w:id="13" w:name="O_211540"/>
      <w:bookmarkEnd w:id="13"/>
      <w:r w:rsidRPr="00F35C4D">
        <w:t>Co-requisite units</w:t>
      </w:r>
    </w:p>
    <w:tbl>
      <w:tblPr>
        <w:tblW w:w="0" w:type="auto"/>
        <w:tblLayout w:type="fixed"/>
        <w:tblCellMar>
          <w:left w:w="62" w:type="dxa"/>
          <w:right w:w="62" w:type="dxa"/>
        </w:tblCellMar>
        <w:tblLook w:val="0000"/>
      </w:tblPr>
      <w:tblGrid>
        <w:gridCol w:w="2641"/>
        <w:gridCol w:w="1322"/>
        <w:gridCol w:w="4559"/>
      </w:tblGrid>
      <w:tr w:rsidTr="001035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p>
        </w:tc>
      </w:tr>
      <w:tr w:rsidTr="001035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p>
        </w:tc>
      </w:tr>
      <w:tr w:rsidTr="001035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p>
        </w:tc>
      </w:tr>
    </w:tbl>
    <w:p w:rsidR="00103547" w:rsidP="00F35C4D">
      <w:pPr>
        <w:pStyle w:val="BodyText"/>
      </w:pPr>
    </w:p>
    <w:p w:rsidR="00103547" w:rsidP="00F35C4D">
      <w:pPr>
        <w:pStyle w:val="BodyText"/>
      </w:pPr>
    </w:p>
    <w:p w:rsidR="00000000" w:rsidRPr="00F35C4D" w:rsidP="00F35C4D">
      <w:pPr>
        <w:pStyle w:val="Heading1"/>
      </w:pPr>
      <w:bookmarkStart w:id="14" w:name="O_211542"/>
      <w:bookmarkEnd w:id="14"/>
      <w:r w:rsidRPr="00F35C4D">
        <w:t>Competency field</w:t>
      </w:r>
    </w:p>
    <w:tbl>
      <w:tblPr>
        <w:tblW w:w="0" w:type="auto"/>
        <w:tblLayout w:type="fixed"/>
        <w:tblCellMar>
          <w:left w:w="62" w:type="dxa"/>
          <w:right w:w="62" w:type="dxa"/>
        </w:tblCellMar>
        <w:tblLook w:val="0000"/>
      </w:tblPr>
      <w:tblGrid>
        <w:gridCol w:w="2774"/>
        <w:gridCol w:w="5748"/>
      </w:tblGrid>
      <w:tr w:rsidTr="0010354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4D">
            <w:pPr>
              <w:pStyle w:val="BodyText"/>
              <w:rPr>
                <w:lang w:val="en-NZ"/>
              </w:rPr>
            </w:pPr>
            <w:r w:rsidRPr="00F35C4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4D" w:rsidP="00F35C4D">
            <w:pPr>
              <w:pStyle w:val="BodyText"/>
            </w:pPr>
            <w:r w:rsidRPr="00F35C4D">
              <w:t>Measurement</w:t>
            </w:r>
          </w:p>
        </w:tc>
      </w:tr>
    </w:tbl>
    <w:p w:rsidR="00103547" w:rsidP="00F35C4D">
      <w:pPr>
        <w:pStyle w:val="BodyText"/>
      </w:pPr>
    </w:p>
    <w:p w:rsidR="00103547" w:rsidP="00F35C4D">
      <w:pPr>
        <w:pStyle w:val="BodyText"/>
      </w:pPr>
    </w:p>
    <w:p w:rsidR="00000000" w:rsidRPr="00F35C4D" w:rsidP="00F35C4D"/>
    <w:sectPr w:rsidSect="00F35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547" w:rsidP="00103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47" w:rsidP="00F35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3547" w:rsidP="00F35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3547" w:rsidP="00F35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547" w:rsidP="001035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47" w:rsidP="00F35C4D">
    <w:pPr>
      <w:pStyle w:val="Header"/>
      <w:framePr w:wrap="around"/>
    </w:pPr>
    <w:r>
      <w:fldChar w:fldCharType="begin"/>
    </w:r>
    <w:r>
      <w:instrText xml:space="preserve"> TITLE   \* MERGEFORMAT </w:instrText>
    </w:r>
    <w:r>
      <w:fldChar w:fldCharType="separate"/>
    </w:r>
    <w:r>
      <w:t>MEM12005B Calibrate measuring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3547" w:rsidP="00F35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5E5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5EF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C4D"/>
    <w:pPr>
      <w:spacing w:before="360" w:after="60"/>
      <w:outlineLvl w:val="0"/>
    </w:pPr>
    <w:rPr>
      <w:sz w:val="32"/>
    </w:rPr>
  </w:style>
  <w:style w:type="paragraph" w:styleId="Heading2">
    <w:name w:val="heading 2"/>
    <w:basedOn w:val="HeadingBase"/>
    <w:next w:val="BodyText"/>
    <w:link w:val="Heading2Char"/>
    <w:qFormat/>
    <w:rsid w:val="00F35C4D"/>
    <w:pPr>
      <w:keepLines/>
      <w:spacing w:before="240" w:after="120"/>
      <w:outlineLvl w:val="1"/>
    </w:pPr>
    <w:rPr>
      <w:sz w:val="28"/>
      <w:szCs w:val="40"/>
    </w:rPr>
  </w:style>
  <w:style w:type="paragraph" w:styleId="Heading3">
    <w:name w:val="heading 3"/>
    <w:basedOn w:val="HeadingBase"/>
    <w:next w:val="BodyText"/>
    <w:link w:val="Heading3Char"/>
    <w:qFormat/>
    <w:rsid w:val="00F35C4D"/>
    <w:pPr>
      <w:spacing w:before="180" w:after="120"/>
      <w:outlineLvl w:val="2"/>
    </w:pPr>
    <w:rPr>
      <w:spacing w:val="-10"/>
      <w:kern w:val="32"/>
    </w:rPr>
  </w:style>
  <w:style w:type="paragraph" w:styleId="Heading4">
    <w:name w:val="heading 4"/>
    <w:basedOn w:val="HeadingBase"/>
    <w:next w:val="BodyText"/>
    <w:link w:val="Heading4Char"/>
    <w:qFormat/>
    <w:rsid w:val="00F35C4D"/>
    <w:pPr>
      <w:spacing w:before="160" w:after="120"/>
      <w:outlineLvl w:val="3"/>
    </w:pPr>
    <w:rPr>
      <w:sz w:val="22"/>
    </w:rPr>
  </w:style>
  <w:style w:type="paragraph" w:styleId="Heading5">
    <w:name w:val="heading 5"/>
    <w:basedOn w:val="HeadingBase"/>
    <w:next w:val="Normal"/>
    <w:link w:val="Heading5Char"/>
    <w:qFormat/>
    <w:rsid w:val="00F35C4D"/>
    <w:pPr>
      <w:spacing w:before="80"/>
      <w:outlineLvl w:val="4"/>
    </w:pPr>
    <w:rPr>
      <w:color w:val="918585"/>
      <w:sz w:val="20"/>
    </w:rPr>
  </w:style>
  <w:style w:type="paragraph" w:styleId="Heading6">
    <w:name w:val="heading 6"/>
    <w:basedOn w:val="HeadingBase"/>
    <w:next w:val="Normal"/>
    <w:link w:val="Heading6Char"/>
    <w:qFormat/>
    <w:rsid w:val="00F35C4D"/>
    <w:pPr>
      <w:spacing w:before="60"/>
      <w:outlineLvl w:val="5"/>
    </w:pPr>
    <w:rPr>
      <w:color w:val="918585"/>
      <w:sz w:val="20"/>
    </w:rPr>
  </w:style>
  <w:style w:type="paragraph" w:styleId="Heading7">
    <w:name w:val="heading 7"/>
    <w:basedOn w:val="Normal"/>
    <w:next w:val="Normal"/>
    <w:link w:val="Heading7Char"/>
    <w:qFormat/>
    <w:rsid w:val="00F35C4D"/>
    <w:pPr>
      <w:ind w:left="720"/>
      <w:outlineLvl w:val="6"/>
    </w:pPr>
    <w:rPr>
      <w:i/>
    </w:rPr>
  </w:style>
  <w:style w:type="paragraph" w:styleId="Heading8">
    <w:name w:val="heading 8"/>
    <w:basedOn w:val="Normal"/>
    <w:next w:val="Normal"/>
    <w:link w:val="Heading8Char"/>
    <w:qFormat/>
    <w:rsid w:val="00F35C4D"/>
    <w:pPr>
      <w:ind w:left="720"/>
      <w:outlineLvl w:val="7"/>
    </w:pPr>
    <w:rPr>
      <w:i/>
    </w:rPr>
  </w:style>
  <w:style w:type="paragraph" w:styleId="Heading9">
    <w:name w:val="heading 9"/>
    <w:basedOn w:val="Normal"/>
    <w:next w:val="Normal"/>
    <w:link w:val="Heading9Char"/>
    <w:qFormat/>
    <w:rsid w:val="00F35C4D"/>
    <w:pPr>
      <w:ind w:left="720"/>
      <w:outlineLvl w:val="8"/>
    </w:pPr>
    <w:rPr>
      <w:i/>
    </w:rPr>
  </w:style>
  <w:style w:type="character" w:default="1" w:styleId="DefaultParagraphFont">
    <w:name w:val="Default Paragraph Font"/>
    <w:uiPriority w:val="1"/>
    <w:unhideWhenUsed/>
    <w:rsid w:val="00F35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C4D"/>
  </w:style>
  <w:style w:type="character" w:customStyle="1" w:styleId="Heading1Char">
    <w:name w:val="Heading 1 Char"/>
    <w:basedOn w:val="DefaultParagraphFont"/>
    <w:link w:val="Heading1"/>
    <w:rsid w:val="00F35C4D"/>
    <w:rPr>
      <w:rFonts w:ascii="Times New Roman" w:eastAsia="Times New Roman" w:hAnsi="Times New Roman" w:cs="Times New Roman"/>
      <w:b/>
      <w:sz w:val="32"/>
      <w:szCs w:val="20"/>
      <w:lang w:eastAsia="en-US"/>
    </w:rPr>
  </w:style>
  <w:style w:type="paragraph" w:styleId="BodyText">
    <w:name w:val="Body Text"/>
    <w:basedOn w:val="Normal"/>
    <w:link w:val="BodyTextChar"/>
    <w:rsid w:val="00F35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C4D"/>
    <w:rPr>
      <w:rFonts w:ascii="Times New Roman" w:eastAsia="Times New Roman" w:hAnsi="Times New Roman" w:cs="Times New Roman"/>
      <w:sz w:val="24"/>
      <w:lang w:val="en-US" w:eastAsia="en-US"/>
    </w:rPr>
  </w:style>
  <w:style w:type="paragraph" w:styleId="Footer">
    <w:name w:val="footer"/>
    <w:basedOn w:val="Normal"/>
    <w:link w:val="FooterChar"/>
    <w:rsid w:val="00F35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C4D"/>
    <w:rPr>
      <w:rFonts w:ascii="Times New Roman" w:eastAsia="Times New Roman" w:hAnsi="Times New Roman" w:cs="Times New Roman"/>
      <w:sz w:val="16"/>
      <w:lang w:val="en-US" w:eastAsia="en-US"/>
    </w:rPr>
  </w:style>
  <w:style w:type="paragraph" w:styleId="List">
    <w:name w:val="List"/>
    <w:basedOn w:val="BodyText"/>
    <w:next w:val="BodyText"/>
    <w:rsid w:val="00F35C4D"/>
    <w:pPr>
      <w:tabs>
        <w:tab w:val="left" w:pos="340"/>
      </w:tabs>
      <w:spacing w:before="60" w:after="60"/>
      <w:ind w:left="340" w:hanging="340"/>
    </w:pPr>
  </w:style>
  <w:style w:type="paragraph" w:styleId="ListBullet">
    <w:name w:val="List Bullet"/>
    <w:basedOn w:val="List"/>
    <w:rsid w:val="00F35C4D"/>
    <w:pPr>
      <w:numPr>
        <w:numId w:val="12"/>
      </w:numPr>
      <w:tabs>
        <w:tab w:val="clear" w:pos="340"/>
      </w:tabs>
      <w:spacing w:before="40" w:after="40"/>
    </w:pPr>
  </w:style>
  <w:style w:type="character" w:customStyle="1" w:styleId="SpecialBold">
    <w:name w:val="Special Bold"/>
    <w:basedOn w:val="DefaultParagraphFont"/>
    <w:rsid w:val="00F35C4D"/>
    <w:rPr>
      <w:b/>
      <w:spacing w:val="0"/>
    </w:rPr>
  </w:style>
  <w:style w:type="paragraph" w:styleId="Header">
    <w:name w:val="header"/>
    <w:basedOn w:val="Normal"/>
    <w:link w:val="HeaderChar"/>
    <w:rsid w:val="00F35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C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C4D"/>
    <w:pPr>
      <w:spacing w:before="240" w:after="120"/>
      <w:outlineLvl w:val="0"/>
    </w:pPr>
    <w:rPr>
      <w:rFonts w:ascii="Times New Roman" w:hAnsi="Times New Roman"/>
      <w:b/>
      <w:sz w:val="28"/>
    </w:rPr>
  </w:style>
  <w:style w:type="paragraph" w:customStyle="1" w:styleId="AllowPageBreak">
    <w:name w:val="AllowPageBreak"/>
    <w:rsid w:val="00F35C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5C4D"/>
    <w:pPr>
      <w:tabs>
        <w:tab w:val="left" w:pos="680"/>
      </w:tabs>
      <w:spacing w:before="60" w:after="60"/>
      <w:ind w:left="680" w:hanging="340"/>
    </w:pPr>
  </w:style>
  <w:style w:type="character" w:customStyle="1" w:styleId="Heading2Char">
    <w:name w:val="Heading 2 Char"/>
    <w:basedOn w:val="DefaultParagraphFont"/>
    <w:link w:val="Heading2"/>
    <w:rsid w:val="00F35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C4D"/>
    <w:rPr>
      <w:rFonts w:ascii="Courier New" w:eastAsia="Times New Roman" w:hAnsi="Courier New" w:cs="Times New Roman"/>
      <w:i/>
      <w:szCs w:val="20"/>
      <w:lang w:val="en-US" w:eastAsia="en-US"/>
    </w:rPr>
  </w:style>
  <w:style w:type="paragraph" w:customStyle="1" w:styleId="HeadingBase">
    <w:name w:val="Heading Base"/>
    <w:rsid w:val="00F35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C4D"/>
    <w:pPr>
      <w:tabs>
        <w:tab w:val="right" w:leader="dot" w:pos="9072"/>
      </w:tabs>
      <w:ind w:left="567"/>
    </w:pPr>
    <w:rPr>
      <w:szCs w:val="22"/>
    </w:rPr>
  </w:style>
  <w:style w:type="paragraph" w:customStyle="1" w:styleId="TOCBase">
    <w:name w:val="TOC Base"/>
    <w:rsid w:val="00F35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C4D"/>
    <w:pPr>
      <w:tabs>
        <w:tab w:val="right" w:leader="dot" w:pos="9072"/>
      </w:tabs>
      <w:spacing w:before="40" w:after="40"/>
      <w:ind w:left="284"/>
    </w:pPr>
    <w:rPr>
      <w:rFonts w:ascii="Times New Roman" w:hAnsi="Times New Roman"/>
    </w:rPr>
  </w:style>
  <w:style w:type="paragraph" w:styleId="TOC1">
    <w:name w:val="toc 1"/>
    <w:basedOn w:val="TOCBase"/>
    <w:next w:val="Normal"/>
    <w:rsid w:val="00F35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C4D"/>
    <w:pPr>
      <w:spacing w:before="5040"/>
      <w:jc w:val="center"/>
    </w:pPr>
    <w:rPr>
      <w:sz w:val="48"/>
      <w:szCs w:val="72"/>
      <w:lang w:val="en-US"/>
    </w:rPr>
  </w:style>
  <w:style w:type="character" w:customStyle="1" w:styleId="TitleChar">
    <w:name w:val="Title Char"/>
    <w:basedOn w:val="DefaultParagraphFont"/>
    <w:link w:val="Title"/>
    <w:rsid w:val="00F35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C4D"/>
    <w:pPr>
      <w:tabs>
        <w:tab w:val="left" w:pos="3600"/>
        <w:tab w:val="left" w:pos="3958"/>
      </w:tabs>
    </w:pPr>
  </w:style>
  <w:style w:type="paragraph" w:customStyle="1" w:styleId="Note">
    <w:name w:val="Note"/>
    <w:basedOn w:val="BodyText"/>
    <w:rsid w:val="00F35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C4D"/>
    <w:pPr>
      <w:framePr w:wrap="auto" w:hAnchor="text" w:y="6049"/>
    </w:pPr>
    <w:rPr>
      <w:color w:val="000000"/>
      <w:sz w:val="40"/>
    </w:rPr>
  </w:style>
  <w:style w:type="paragraph" w:customStyle="1" w:styleId="TOCTitle">
    <w:name w:val="TOCTitle"/>
    <w:basedOn w:val="Heading1"/>
    <w:rsid w:val="00F35C4D"/>
    <w:pPr>
      <w:spacing w:after="240"/>
      <w:jc w:val="center"/>
      <w:outlineLvl w:val="9"/>
    </w:pPr>
    <w:rPr>
      <w:caps/>
    </w:rPr>
  </w:style>
  <w:style w:type="paragraph" w:customStyle="1" w:styleId="Version">
    <w:name w:val="Version"/>
    <w:rsid w:val="00F35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C4D"/>
    <w:pPr>
      <w:numPr>
        <w:numId w:val="13"/>
      </w:numPr>
      <w:tabs>
        <w:tab w:val="clear" w:pos="680"/>
      </w:tabs>
    </w:pPr>
  </w:style>
  <w:style w:type="paragraph" w:styleId="Index1">
    <w:name w:val="index 1"/>
    <w:basedOn w:val="Normal"/>
    <w:next w:val="Normal"/>
    <w:semiHidden/>
    <w:rsid w:val="00F35C4D"/>
    <w:pPr>
      <w:keepNext w:val="0"/>
      <w:tabs>
        <w:tab w:val="right" w:pos="4176"/>
      </w:tabs>
      <w:ind w:left="198" w:hanging="198"/>
    </w:pPr>
    <w:rPr>
      <w:rFonts w:ascii="Garamond" w:hAnsi="Garamond"/>
    </w:rPr>
  </w:style>
  <w:style w:type="paragraph" w:styleId="IndexHeading">
    <w:name w:val="index heading"/>
    <w:basedOn w:val="Normal"/>
    <w:next w:val="Index1"/>
    <w:semiHidden/>
    <w:rsid w:val="00F35C4D"/>
    <w:pPr>
      <w:spacing w:before="120" w:after="120"/>
    </w:pPr>
    <w:rPr>
      <w:rFonts w:ascii="Arial" w:hAnsi="Arial"/>
      <w:b/>
      <w:color w:val="918585"/>
      <w:sz w:val="24"/>
    </w:rPr>
  </w:style>
  <w:style w:type="paragraph" w:customStyle="1" w:styleId="Chapter">
    <w:name w:val="Chapter"/>
    <w:basedOn w:val="Normal"/>
    <w:rsid w:val="00F35C4D"/>
    <w:pPr>
      <w:spacing w:before="240"/>
    </w:pPr>
    <w:rPr>
      <w:rFonts w:ascii="Times New Roman" w:hAnsi="Times New Roman"/>
      <w:smallCaps/>
      <w:spacing w:val="80"/>
      <w:sz w:val="28"/>
    </w:rPr>
  </w:style>
  <w:style w:type="paragraph" w:customStyle="1" w:styleId="InChapter">
    <w:name w:val="InChapter"/>
    <w:basedOn w:val="Heading3"/>
    <w:rsid w:val="00F35C4D"/>
    <w:pPr>
      <w:spacing w:after="240"/>
      <w:outlineLvl w:val="9"/>
    </w:pPr>
    <w:rPr>
      <w:noProof/>
    </w:rPr>
  </w:style>
  <w:style w:type="paragraph" w:styleId="Index2">
    <w:name w:val="index 2"/>
    <w:basedOn w:val="Normal"/>
    <w:next w:val="Normal"/>
    <w:semiHidden/>
    <w:rsid w:val="00F35C4D"/>
    <w:pPr>
      <w:tabs>
        <w:tab w:val="right" w:pos="4176"/>
      </w:tabs>
      <w:ind w:left="568" w:hanging="284"/>
    </w:pPr>
    <w:rPr>
      <w:rFonts w:ascii="Garamond" w:hAnsi="Garamond"/>
    </w:rPr>
  </w:style>
  <w:style w:type="paragraph" w:customStyle="1" w:styleId="Byline">
    <w:name w:val="Byline"/>
    <w:rsid w:val="00F35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C4D"/>
    <w:pPr>
      <w:tabs>
        <w:tab w:val="clear" w:pos="3600"/>
        <w:tab w:val="clear" w:pos="3958"/>
      </w:tabs>
      <w:jc w:val="right"/>
    </w:pPr>
  </w:style>
  <w:style w:type="character" w:styleId="Emphasis">
    <w:name w:val="Emphasis"/>
    <w:basedOn w:val="DefaultParagraphFont"/>
    <w:qFormat/>
    <w:rsid w:val="00F35C4D"/>
    <w:rPr>
      <w:i/>
    </w:rPr>
  </w:style>
  <w:style w:type="paragraph" w:styleId="Caption">
    <w:name w:val="caption"/>
    <w:basedOn w:val="BodyText"/>
    <w:next w:val="Normal"/>
    <w:qFormat/>
    <w:rsid w:val="00F35C4D"/>
    <w:pPr>
      <w:framePr w:w="2268" w:hSpace="181" w:vSpace="181" w:wrap="around" w:vAnchor="text" w:hAnchor="page" w:x="1135" w:y="285" w:anchorLock="1"/>
    </w:pPr>
    <w:rPr>
      <w:i/>
    </w:rPr>
  </w:style>
  <w:style w:type="paragraph" w:customStyle="1" w:styleId="MiniTOCTitle">
    <w:name w:val="MiniTOCTitle"/>
    <w:basedOn w:val="Heading4"/>
    <w:rsid w:val="00F35C4D"/>
    <w:pPr>
      <w:spacing w:before="240"/>
      <w:outlineLvl w:val="9"/>
    </w:pPr>
    <w:rPr>
      <w:noProof/>
      <w:sz w:val="24"/>
    </w:rPr>
  </w:style>
  <w:style w:type="paragraph" w:customStyle="1" w:styleId="MiniTOCItem">
    <w:name w:val="MiniTOCItem"/>
    <w:basedOn w:val="ListBullet"/>
    <w:rsid w:val="00F35C4D"/>
    <w:pPr>
      <w:numPr>
        <w:numId w:val="0"/>
      </w:numPr>
      <w:tabs>
        <w:tab w:val="right" w:leader="dot" w:pos="6521"/>
      </w:tabs>
      <w:spacing w:before="0" w:after="0"/>
    </w:pPr>
  </w:style>
  <w:style w:type="paragraph" w:customStyle="1" w:styleId="TOFTitle">
    <w:name w:val="TOFTitle"/>
    <w:basedOn w:val="TOCTitle"/>
    <w:rsid w:val="00F35C4D"/>
  </w:style>
  <w:style w:type="paragraph" w:styleId="TableofFigures">
    <w:name w:val="table of figures"/>
    <w:basedOn w:val="Normal"/>
    <w:next w:val="Normal"/>
    <w:semiHidden/>
    <w:rsid w:val="00F35C4D"/>
    <w:pPr>
      <w:tabs>
        <w:tab w:val="right" w:leader="dot" w:pos="9072"/>
      </w:tabs>
      <w:ind w:left="970" w:hanging="403"/>
    </w:pPr>
    <w:rPr>
      <w:rFonts w:ascii="Times New Roman" w:hAnsi="Times New Roman"/>
      <w:b/>
    </w:rPr>
  </w:style>
  <w:style w:type="paragraph" w:styleId="ListNumber">
    <w:name w:val="List Number"/>
    <w:basedOn w:val="List"/>
    <w:rsid w:val="00F35C4D"/>
    <w:pPr>
      <w:numPr>
        <w:numId w:val="10"/>
      </w:numPr>
    </w:pPr>
  </w:style>
  <w:style w:type="character" w:customStyle="1" w:styleId="WingdingSymbols">
    <w:name w:val="Wingding Symbols"/>
    <w:rsid w:val="00F35C4D"/>
    <w:rPr>
      <w:rFonts w:ascii="Wingdings" w:hAnsi="Wingdings"/>
    </w:rPr>
  </w:style>
  <w:style w:type="paragraph" w:customStyle="1" w:styleId="TableHeading">
    <w:name w:val="Table Heading"/>
    <w:basedOn w:val="HeadingBase"/>
    <w:rsid w:val="00F35C4D"/>
    <w:pPr>
      <w:keepLines/>
      <w:pBdr>
        <w:bottom w:val="single" w:sz="6" w:space="1" w:color="918585"/>
      </w:pBdr>
      <w:spacing w:before="240"/>
    </w:pPr>
  </w:style>
  <w:style w:type="character" w:customStyle="1" w:styleId="HotSpot">
    <w:name w:val="HotSpot"/>
    <w:rsid w:val="00F35C4D"/>
    <w:rPr>
      <w:color w:val="0033CC"/>
      <w:u w:val="none"/>
    </w:rPr>
  </w:style>
  <w:style w:type="paragraph" w:customStyle="1" w:styleId="BodyTextRight">
    <w:name w:val="Body Text Right"/>
    <w:basedOn w:val="BodyText"/>
    <w:rsid w:val="00F35C4D"/>
    <w:pPr>
      <w:spacing w:before="0" w:after="0"/>
      <w:jc w:val="right"/>
    </w:pPr>
  </w:style>
  <w:style w:type="paragraph" w:styleId="Index3">
    <w:name w:val="index 3"/>
    <w:basedOn w:val="ListNumber2"/>
    <w:next w:val="Normal"/>
    <w:semiHidden/>
    <w:rsid w:val="00F35C4D"/>
    <w:pPr>
      <w:numPr>
        <w:numId w:val="0"/>
      </w:numPr>
      <w:tabs>
        <w:tab w:val="right" w:leader="dot" w:pos="4176"/>
      </w:tabs>
    </w:pPr>
  </w:style>
  <w:style w:type="paragraph" w:styleId="ListNumber2">
    <w:name w:val="List Number 2"/>
    <w:basedOn w:val="List2"/>
    <w:rsid w:val="00F35C4D"/>
    <w:pPr>
      <w:numPr>
        <w:numId w:val="9"/>
      </w:numPr>
      <w:tabs>
        <w:tab w:val="clear" w:pos="1060"/>
      </w:tabs>
    </w:pPr>
  </w:style>
  <w:style w:type="paragraph" w:customStyle="1" w:styleId="MarginNote">
    <w:name w:val="Margin Note"/>
    <w:basedOn w:val="BodyText"/>
    <w:rsid w:val="00F35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C4D"/>
    <w:rPr>
      <w:sz w:val="32"/>
    </w:rPr>
  </w:style>
  <w:style w:type="paragraph" w:customStyle="1" w:styleId="HeadingProcedure">
    <w:name w:val="Heading Procedure"/>
    <w:basedOn w:val="HeadingBase"/>
    <w:next w:val="Normal"/>
    <w:rsid w:val="00F35C4D"/>
    <w:pPr>
      <w:tabs>
        <w:tab w:val="left" w:pos="0"/>
      </w:tabs>
      <w:spacing w:before="120" w:after="60"/>
    </w:pPr>
    <w:rPr>
      <w:i/>
      <w:color w:val="918585"/>
      <w:sz w:val="22"/>
    </w:rPr>
  </w:style>
  <w:style w:type="paragraph" w:customStyle="1" w:styleId="TableBodyText">
    <w:name w:val="Table Body Text"/>
    <w:basedOn w:val="BodyText"/>
    <w:rsid w:val="00F35C4D"/>
    <w:pPr>
      <w:spacing w:before="60" w:after="60"/>
    </w:pPr>
  </w:style>
  <w:style w:type="paragraph" w:styleId="ListContinue">
    <w:name w:val="List Continue"/>
    <w:basedOn w:val="List"/>
    <w:rsid w:val="00F35C4D"/>
    <w:pPr>
      <w:ind w:firstLine="0"/>
    </w:pPr>
  </w:style>
  <w:style w:type="paragraph" w:customStyle="1" w:styleId="ListNote">
    <w:name w:val="List Note"/>
    <w:basedOn w:val="List"/>
    <w:rsid w:val="00F35C4D"/>
    <w:pPr>
      <w:pBdr>
        <w:top w:val="single" w:sz="6" w:space="2" w:color="918585"/>
        <w:bottom w:val="single" w:sz="6" w:space="2" w:color="918585"/>
      </w:pBdr>
      <w:tabs>
        <w:tab w:val="left" w:pos="1021"/>
      </w:tabs>
      <w:ind w:firstLine="0"/>
    </w:pPr>
  </w:style>
  <w:style w:type="paragraph" w:customStyle="1" w:styleId="Warning">
    <w:name w:val="Warning"/>
    <w:basedOn w:val="BodyText"/>
    <w:rsid w:val="00F35C4D"/>
    <w:pPr>
      <w:shd w:val="clear" w:color="auto" w:fill="D9D9D9"/>
      <w:tabs>
        <w:tab w:val="left" w:pos="992"/>
      </w:tabs>
      <w:ind w:left="119" w:right="119"/>
    </w:pPr>
    <w:rPr>
      <w:sz w:val="20"/>
    </w:rPr>
  </w:style>
  <w:style w:type="paragraph" w:customStyle="1" w:styleId="MarginIcons">
    <w:name w:val="Margin Icons"/>
    <w:basedOn w:val="BodyText"/>
    <w:rsid w:val="00F35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C4D"/>
    <w:rPr>
      <w:rFonts w:ascii="Courier New" w:hAnsi="Courier New"/>
    </w:rPr>
  </w:style>
  <w:style w:type="paragraph" w:customStyle="1" w:styleId="NoteBullet">
    <w:name w:val="Note Bullet"/>
    <w:basedOn w:val="Note"/>
    <w:rsid w:val="00F35C4D"/>
    <w:pPr>
      <w:tabs>
        <w:tab w:val="clear" w:pos="680"/>
      </w:tabs>
      <w:spacing w:before="60" w:after="60"/>
    </w:pPr>
  </w:style>
  <w:style w:type="paragraph" w:customStyle="1" w:styleId="SubHeading2">
    <w:name w:val="SubHeading2"/>
    <w:basedOn w:val="HeadingBase"/>
    <w:rsid w:val="00F35C4D"/>
    <w:pPr>
      <w:spacing w:before="240" w:after="60"/>
    </w:pPr>
    <w:rPr>
      <w:sz w:val="20"/>
    </w:rPr>
  </w:style>
  <w:style w:type="paragraph" w:customStyle="1" w:styleId="SubHeading1">
    <w:name w:val="SubHeading1"/>
    <w:basedOn w:val="HeadingBase"/>
    <w:rsid w:val="00F35C4D"/>
    <w:pPr>
      <w:spacing w:before="240" w:after="60"/>
    </w:pPr>
    <w:rPr>
      <w:color w:val="918585"/>
      <w:sz w:val="22"/>
    </w:rPr>
  </w:style>
  <w:style w:type="paragraph" w:customStyle="1" w:styleId="SideHeading">
    <w:name w:val="Side Heading"/>
    <w:basedOn w:val="HeadingBase"/>
    <w:rsid w:val="00F35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C4D"/>
    <w:pPr>
      <w:tabs>
        <w:tab w:val="num" w:pos="360"/>
      </w:tabs>
    </w:pPr>
  </w:style>
  <w:style w:type="paragraph" w:styleId="PlainText">
    <w:name w:val="Plain Text"/>
    <w:basedOn w:val="Normal"/>
    <w:link w:val="PlainTextChar"/>
    <w:rsid w:val="00F35C4D"/>
    <w:rPr>
      <w:sz w:val="20"/>
    </w:rPr>
  </w:style>
  <w:style w:type="character" w:customStyle="1" w:styleId="PlainTextChar">
    <w:name w:val="Plain Text Char"/>
    <w:basedOn w:val="DefaultParagraphFont"/>
    <w:link w:val="PlainText"/>
    <w:rsid w:val="00F35C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5C4D"/>
    <w:rPr>
      <w:b/>
      <w:smallCaps/>
    </w:rPr>
  </w:style>
  <w:style w:type="paragraph" w:customStyle="1" w:styleId="TableListNumber">
    <w:name w:val="Table List Number"/>
    <w:basedOn w:val="ListNumber"/>
    <w:rsid w:val="00F35C4D"/>
    <w:pPr>
      <w:numPr>
        <w:numId w:val="0"/>
      </w:numPr>
    </w:pPr>
  </w:style>
  <w:style w:type="paragraph" w:styleId="TOC4">
    <w:name w:val="toc 4"/>
    <w:basedOn w:val="TOCBase"/>
    <w:next w:val="Normal"/>
    <w:semiHidden/>
    <w:rsid w:val="00F35C4D"/>
    <w:pPr>
      <w:tabs>
        <w:tab w:val="right" w:leader="dot" w:pos="9071"/>
      </w:tabs>
      <w:ind w:left="1701"/>
    </w:pPr>
  </w:style>
  <w:style w:type="paragraph" w:customStyle="1" w:styleId="ListAlpha">
    <w:name w:val="List Alpha"/>
    <w:basedOn w:val="List"/>
    <w:rsid w:val="00F35C4D"/>
    <w:pPr>
      <w:numPr>
        <w:numId w:val="8"/>
      </w:numPr>
    </w:pPr>
  </w:style>
  <w:style w:type="paragraph" w:customStyle="1" w:styleId="ListAlpha2">
    <w:name w:val="List Alpha 2"/>
    <w:basedOn w:val="List2"/>
    <w:rsid w:val="00F35C4D"/>
    <w:pPr>
      <w:numPr>
        <w:numId w:val="7"/>
      </w:numPr>
    </w:pPr>
  </w:style>
  <w:style w:type="paragraph" w:styleId="List3">
    <w:name w:val="List 3"/>
    <w:basedOn w:val="BodyText"/>
    <w:rsid w:val="00F35C4D"/>
    <w:pPr>
      <w:tabs>
        <w:tab w:val="left" w:pos="1021"/>
      </w:tabs>
      <w:spacing w:before="60" w:after="60"/>
      <w:ind w:left="1020" w:hanging="340"/>
    </w:pPr>
  </w:style>
  <w:style w:type="paragraph" w:styleId="List4">
    <w:name w:val="List 4"/>
    <w:basedOn w:val="BodyText"/>
    <w:rsid w:val="00F35C4D"/>
    <w:pPr>
      <w:tabs>
        <w:tab w:val="left" w:pos="1361"/>
      </w:tabs>
      <w:spacing w:before="60" w:after="60"/>
      <w:ind w:left="1361" w:hanging="340"/>
    </w:pPr>
  </w:style>
  <w:style w:type="paragraph" w:styleId="List5">
    <w:name w:val="List 5"/>
    <w:basedOn w:val="BodyText"/>
    <w:rsid w:val="00F35C4D"/>
    <w:pPr>
      <w:tabs>
        <w:tab w:val="left" w:pos="1701"/>
      </w:tabs>
      <w:spacing w:before="60" w:after="60"/>
      <w:ind w:left="1701" w:hanging="340"/>
    </w:pPr>
  </w:style>
  <w:style w:type="paragraph" w:styleId="ListBullet3">
    <w:name w:val="List Bullet 3"/>
    <w:basedOn w:val="List3"/>
    <w:rsid w:val="00F35C4D"/>
    <w:pPr>
      <w:numPr>
        <w:numId w:val="14"/>
      </w:numPr>
      <w:tabs>
        <w:tab w:val="clear" w:pos="1021"/>
      </w:tabs>
      <w:ind w:left="1037" w:hanging="357"/>
    </w:pPr>
  </w:style>
  <w:style w:type="paragraph" w:styleId="ListBullet4">
    <w:name w:val="List Bullet 4"/>
    <w:basedOn w:val="List4"/>
    <w:rsid w:val="00F35C4D"/>
    <w:pPr>
      <w:numPr>
        <w:numId w:val="2"/>
      </w:numPr>
    </w:pPr>
  </w:style>
  <w:style w:type="paragraph" w:styleId="ListBullet5">
    <w:name w:val="List Bullet 5"/>
    <w:basedOn w:val="List5"/>
    <w:rsid w:val="00F35C4D"/>
    <w:pPr>
      <w:numPr>
        <w:numId w:val="3"/>
      </w:numPr>
    </w:pPr>
  </w:style>
  <w:style w:type="paragraph" w:styleId="ListContinue2">
    <w:name w:val="List Continue 2"/>
    <w:basedOn w:val="List2"/>
    <w:rsid w:val="00F35C4D"/>
    <w:pPr>
      <w:ind w:firstLine="0"/>
    </w:pPr>
  </w:style>
  <w:style w:type="paragraph" w:styleId="ListContinue3">
    <w:name w:val="List Continue 3"/>
    <w:basedOn w:val="List3"/>
    <w:rsid w:val="00F35C4D"/>
    <w:pPr>
      <w:ind w:left="1021" w:firstLine="0"/>
    </w:pPr>
  </w:style>
  <w:style w:type="paragraph" w:styleId="ListContinue4">
    <w:name w:val="List Continue 4"/>
    <w:basedOn w:val="List4"/>
    <w:rsid w:val="00F35C4D"/>
    <w:pPr>
      <w:ind w:firstLine="0"/>
    </w:pPr>
  </w:style>
  <w:style w:type="paragraph" w:styleId="ListContinue5">
    <w:name w:val="List Continue 5"/>
    <w:basedOn w:val="List5"/>
    <w:rsid w:val="00F35C4D"/>
    <w:pPr>
      <w:ind w:firstLine="0"/>
    </w:pPr>
  </w:style>
  <w:style w:type="paragraph" w:styleId="ListNumber3">
    <w:name w:val="List Number 3"/>
    <w:basedOn w:val="List3"/>
    <w:rsid w:val="00F35C4D"/>
    <w:pPr>
      <w:numPr>
        <w:numId w:val="4"/>
      </w:numPr>
    </w:pPr>
  </w:style>
  <w:style w:type="paragraph" w:styleId="ListNumber4">
    <w:name w:val="List Number 4"/>
    <w:basedOn w:val="List4"/>
    <w:rsid w:val="00F35C4D"/>
    <w:pPr>
      <w:numPr>
        <w:numId w:val="5"/>
      </w:numPr>
    </w:pPr>
  </w:style>
  <w:style w:type="paragraph" w:styleId="ListNumber5">
    <w:name w:val="List Number 5"/>
    <w:basedOn w:val="List5"/>
    <w:rsid w:val="00F35C4D"/>
    <w:pPr>
      <w:numPr>
        <w:numId w:val="6"/>
      </w:numPr>
    </w:pPr>
  </w:style>
  <w:style w:type="paragraph" w:styleId="BlockText">
    <w:name w:val="Block Text"/>
    <w:basedOn w:val="Normal"/>
    <w:rsid w:val="00F35C4D"/>
    <w:pPr>
      <w:spacing w:after="120"/>
      <w:ind w:left="1440" w:right="1440"/>
    </w:pPr>
  </w:style>
  <w:style w:type="character" w:customStyle="1" w:styleId="Subscript">
    <w:name w:val="Subscript"/>
    <w:basedOn w:val="DefaultParagraphFont"/>
    <w:rsid w:val="00F35C4D"/>
    <w:rPr>
      <w:sz w:val="16"/>
      <w:vertAlign w:val="subscript"/>
    </w:rPr>
  </w:style>
  <w:style w:type="character" w:customStyle="1" w:styleId="Superscript">
    <w:name w:val="Superscript"/>
    <w:basedOn w:val="DefaultParagraphFont"/>
    <w:rsid w:val="00F35C4D"/>
    <w:rPr>
      <w:sz w:val="16"/>
      <w:vertAlign w:val="superscript"/>
    </w:rPr>
  </w:style>
  <w:style w:type="character" w:customStyle="1" w:styleId="Symbols">
    <w:name w:val="Symbols"/>
    <w:basedOn w:val="DefaultParagraphFont"/>
    <w:rsid w:val="00F35C4D"/>
    <w:rPr>
      <w:rFonts w:ascii="Symbol" w:hAnsi="Symbol"/>
    </w:rPr>
  </w:style>
  <w:style w:type="character" w:customStyle="1" w:styleId="MenuOptions">
    <w:name w:val="Menu Options"/>
    <w:basedOn w:val="DefaultParagraphFont"/>
    <w:rsid w:val="00F35C4D"/>
    <w:rPr>
      <w:rFonts w:ascii="Arial Narrow" w:hAnsi="Arial Narrow"/>
      <w:smallCaps/>
    </w:rPr>
  </w:style>
  <w:style w:type="character" w:customStyle="1" w:styleId="Buttons">
    <w:name w:val="Buttons"/>
    <w:basedOn w:val="DefaultParagraphFont"/>
    <w:rsid w:val="00F35C4D"/>
    <w:rPr>
      <w:b/>
    </w:rPr>
  </w:style>
  <w:style w:type="character" w:customStyle="1" w:styleId="Underlined">
    <w:name w:val="Underlined"/>
    <w:basedOn w:val="DefaultParagraphFont"/>
    <w:rsid w:val="00F35C4D"/>
    <w:rPr>
      <w:u w:val="single"/>
    </w:rPr>
  </w:style>
  <w:style w:type="paragraph" w:customStyle="1" w:styleId="TableBodyTextRight">
    <w:name w:val="Table Body Text Right"/>
    <w:basedOn w:val="TableBodyText"/>
    <w:rsid w:val="00F35C4D"/>
    <w:pPr>
      <w:widowControl w:val="0"/>
      <w:autoSpaceDE w:val="0"/>
      <w:autoSpaceDN w:val="0"/>
      <w:adjustRightInd w:val="0"/>
      <w:jc w:val="right"/>
    </w:pPr>
    <w:rPr>
      <w:rFonts w:cs="Arial"/>
      <w:szCs w:val="18"/>
    </w:rPr>
  </w:style>
  <w:style w:type="paragraph" w:customStyle="1" w:styleId="CopyrightText">
    <w:name w:val="Copyright Text"/>
    <w:basedOn w:val="BodyText"/>
    <w:rsid w:val="00F35C4D"/>
    <w:rPr>
      <w:sz w:val="18"/>
    </w:rPr>
  </w:style>
  <w:style w:type="paragraph" w:customStyle="1" w:styleId="BodySmallRight">
    <w:name w:val="Body Small Right"/>
    <w:basedOn w:val="BodyTextRight"/>
    <w:rsid w:val="00F35C4D"/>
    <w:rPr>
      <w:sz w:val="18"/>
      <w:szCs w:val="18"/>
    </w:rPr>
  </w:style>
  <w:style w:type="paragraph" w:customStyle="1" w:styleId="MarginEdition">
    <w:name w:val="Margin Edition"/>
    <w:basedOn w:val="MarginNote"/>
    <w:rsid w:val="00F35C4D"/>
    <w:pPr>
      <w:spacing w:before="0" w:after="0"/>
    </w:pPr>
    <w:rPr>
      <w:rFonts w:ascii="Times New Roman" w:hAnsi="Times New Roman"/>
      <w:color w:val="999999"/>
    </w:rPr>
  </w:style>
  <w:style w:type="paragraph" w:customStyle="1" w:styleId="Spacer">
    <w:name w:val="Spacer"/>
    <w:basedOn w:val="Normal"/>
    <w:rsid w:val="00F35C4D"/>
    <w:rPr>
      <w:sz w:val="2"/>
      <w:szCs w:val="2"/>
    </w:rPr>
  </w:style>
  <w:style w:type="character" w:customStyle="1" w:styleId="Small">
    <w:name w:val="Small"/>
    <w:basedOn w:val="DefaultParagraphFont"/>
    <w:rsid w:val="00F35C4D"/>
    <w:rPr>
      <w:sz w:val="16"/>
    </w:rPr>
  </w:style>
  <w:style w:type="paragraph" w:customStyle="1" w:styleId="WideTable">
    <w:name w:val="Wide Table"/>
    <w:basedOn w:val="Normal"/>
    <w:rsid w:val="00F35C4D"/>
    <w:pPr>
      <w:ind w:left="-1418"/>
    </w:pPr>
    <w:rPr>
      <w:sz w:val="2"/>
      <w:szCs w:val="2"/>
    </w:rPr>
  </w:style>
  <w:style w:type="character" w:styleId="PageNumber">
    <w:name w:val="page number"/>
    <w:basedOn w:val="DefaultParagraphFont"/>
    <w:rsid w:val="00F35C4D"/>
  </w:style>
  <w:style w:type="paragraph" w:styleId="Quote">
    <w:name w:val="Quote"/>
    <w:basedOn w:val="Heading1"/>
    <w:link w:val="QuoteChar"/>
    <w:qFormat/>
    <w:rsid w:val="00F35C4D"/>
    <w:rPr>
      <w:b w:val="0"/>
      <w:sz w:val="72"/>
      <w:szCs w:val="72"/>
      <w:lang w:val="en-NZ"/>
    </w:rPr>
  </w:style>
  <w:style w:type="character" w:customStyle="1" w:styleId="QuoteChar">
    <w:name w:val="Quote Char"/>
    <w:basedOn w:val="DefaultParagraphFont"/>
    <w:link w:val="Quote"/>
    <w:rsid w:val="00F35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C4D"/>
    <w:pPr>
      <w:pageBreakBefore/>
    </w:pPr>
  </w:style>
  <w:style w:type="paragraph" w:customStyle="1" w:styleId="Border">
    <w:name w:val="Border"/>
    <w:basedOn w:val="Normal"/>
    <w:qFormat/>
    <w:rsid w:val="00F35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C4D"/>
    <w:rPr>
      <w:b/>
      <w:bCs/>
      <w:i/>
      <w:iCs/>
      <w:color w:val="auto"/>
    </w:rPr>
  </w:style>
  <w:style w:type="paragraph" w:styleId="IntenseQuote">
    <w:name w:val="Intense Quote"/>
    <w:basedOn w:val="Normal"/>
    <w:next w:val="Normal"/>
    <w:link w:val="IntenseQuoteChar"/>
    <w:uiPriority w:val="30"/>
    <w:qFormat/>
    <w:rsid w:val="00F35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C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5C4D"/>
    <w:rPr>
      <w:smallCaps/>
      <w:color w:val="auto"/>
      <w:u w:val="single"/>
    </w:rPr>
  </w:style>
  <w:style w:type="character" w:styleId="IntenseReference">
    <w:name w:val="Intense Reference"/>
    <w:basedOn w:val="DefaultParagraphFont"/>
    <w:uiPriority w:val="32"/>
    <w:qFormat/>
    <w:rsid w:val="00F35C4D"/>
    <w:rPr>
      <w:b/>
      <w:bCs/>
      <w:smallCaps/>
      <w:color w:val="auto"/>
      <w:spacing w:val="5"/>
      <w:u w:val="single"/>
    </w:rPr>
  </w:style>
  <w:style w:type="paragraph" w:customStyle="1" w:styleId="2ColumnHeading">
    <w:name w:val="2Column Heading"/>
    <w:basedOn w:val="BodyText"/>
    <w:qFormat/>
    <w:rsid w:val="00F35C4D"/>
    <w:pPr>
      <w:spacing w:after="60"/>
      <w:ind w:left="-2268"/>
    </w:pPr>
    <w:rPr>
      <w:b/>
    </w:rPr>
  </w:style>
  <w:style w:type="paragraph" w:customStyle="1" w:styleId="Heading1TOC">
    <w:name w:val="Heading1 TOC"/>
    <w:basedOn w:val="Normal"/>
    <w:qFormat/>
    <w:rsid w:val="00F35C4D"/>
    <w:pPr>
      <w:spacing w:before="240" w:after="120"/>
    </w:pPr>
    <w:rPr>
      <w:rFonts w:ascii="Times New Roman" w:hAnsi="Times New Roman"/>
      <w:b/>
      <w:sz w:val="32"/>
    </w:rPr>
  </w:style>
  <w:style w:type="paragraph" w:customStyle="1" w:styleId="Heading2TOC">
    <w:name w:val="Heading2 TOC"/>
    <w:basedOn w:val="Normal"/>
    <w:qFormat/>
    <w:rsid w:val="00F35C4D"/>
    <w:pPr>
      <w:spacing w:before="240" w:after="60"/>
    </w:pPr>
    <w:rPr>
      <w:rFonts w:ascii="Times New Roman" w:hAnsi="Times New Roman"/>
      <w:b/>
      <w:sz w:val="28"/>
    </w:rPr>
  </w:style>
  <w:style w:type="character" w:customStyle="1" w:styleId="Underline">
    <w:name w:val="Underline"/>
    <w:basedOn w:val="DefaultParagraphFont"/>
    <w:qFormat/>
    <w:rsid w:val="00F35C4D"/>
    <w:rPr>
      <w:u w:val="single"/>
    </w:rPr>
  </w:style>
  <w:style w:type="character" w:customStyle="1" w:styleId="BoldandItalics">
    <w:name w:val="Bold and Italics"/>
    <w:qFormat/>
    <w:rsid w:val="00F35C4D"/>
    <w:rPr>
      <w:b/>
      <w:i/>
      <w:u w:val="none"/>
    </w:rPr>
  </w:style>
  <w:style w:type="paragraph" w:styleId="BalloonText">
    <w:name w:val="Balloon Text"/>
    <w:basedOn w:val="Normal"/>
    <w:link w:val="BalloonTextChar"/>
    <w:rsid w:val="00F35C4D"/>
    <w:rPr>
      <w:rFonts w:ascii="Tahoma" w:hAnsi="Tahoma" w:cs="Tahoma"/>
      <w:sz w:val="16"/>
      <w:szCs w:val="16"/>
    </w:rPr>
  </w:style>
  <w:style w:type="character" w:customStyle="1" w:styleId="BalloonTextChar">
    <w:name w:val="Balloon Text Char"/>
    <w:basedOn w:val="DefaultParagraphFont"/>
    <w:link w:val="BalloonText"/>
    <w:rsid w:val="00F35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C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1117</Words>
  <Characters>7252</Characters>
  <Application>Microsoft Office Word</Application>
  <DocSecurity>0</DocSecurity>
  <Lines>246</Lines>
  <Paragraphs>103</Paragraphs>
  <ScaleCrop>false</ScaleCrop>
  <Company>Author-it Software Corporation Ltd.</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MEM12005B Calibrate measuring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