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0BF" w:rsidP="004F70BF">
      <w:pPr>
        <w:pStyle w:val="Title"/>
      </w:pPr>
      <w:r>
        <w:fldChar w:fldCharType="begin"/>
      </w:r>
      <w:r>
        <w:instrText xml:space="preserve"> TITLE   \* MERGEFORMAT </w:instrText>
      </w:r>
      <w:r>
        <w:fldChar w:fldCharType="separate"/>
      </w:r>
      <w:r>
        <w:t>MEM12002B Perform electrical/electronic measurement</w:t>
      </w:r>
      <w:r>
        <w:fldChar w:fldCharType="end"/>
      </w:r>
    </w:p>
    <w:p w:rsidR="004F70BF" w:rsidP="004F70BF">
      <w:pPr>
        <w:pStyle w:val="Version"/>
        <w:sectPr w:rsidSect="003044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401" w:rsidP="00304401">
      <w:pPr>
        <w:pStyle w:val="SuperHeading"/>
      </w:pPr>
      <w:r w:rsidRPr="00304401">
        <w:t>MEM12002B Perform electrical/electronic measurement</w:t>
      </w:r>
    </w:p>
    <w:p w:rsidR="00000000" w:rsidRPr="00304401" w:rsidP="00304401">
      <w:pPr>
        <w:pStyle w:val="Heading1"/>
      </w:pPr>
      <w:bookmarkStart w:id="1" w:name="O_272154"/>
      <w:bookmarkEnd w:id="1"/>
      <w:r w:rsidRPr="00304401">
        <w:t>Modification History</w:t>
      </w:r>
    </w:p>
    <w:p w:rsidR="00000000" w:rsidRPr="00304401" w:rsidP="00304401">
      <w:pPr>
        <w:pStyle w:val="BodyText"/>
      </w:pPr>
      <w:r w:rsidRPr="00304401">
        <w:t>Not Applicable</w:t>
      </w:r>
    </w:p>
    <w:p w:rsidR="00000000" w:rsidRPr="00304401" w:rsidP="00304401">
      <w:pPr>
        <w:pStyle w:val="AllowPageBreak"/>
      </w:pPr>
    </w:p>
    <w:p w:rsidR="00000000" w:rsidRPr="00304401" w:rsidP="00304401">
      <w:pPr>
        <w:pStyle w:val="Heading1"/>
      </w:pPr>
      <w:bookmarkStart w:id="2" w:name="O_211516"/>
      <w:bookmarkEnd w:id="2"/>
      <w:r w:rsidRPr="00304401">
        <w:t>Unit Descriptor</w:t>
      </w:r>
    </w:p>
    <w:tbl>
      <w:tblPr>
        <w:tblW w:w="0" w:type="auto"/>
        <w:tblLayout w:type="fixed"/>
        <w:tblCellMar>
          <w:left w:w="62" w:type="dxa"/>
          <w:right w:w="62" w:type="dxa"/>
        </w:tblCellMar>
        <w:tblLook w:val="0000"/>
      </w:tblPr>
      <w:tblGrid>
        <w:gridCol w:w="2673"/>
        <w:gridCol w:w="5849"/>
      </w:tblGrid>
      <w:tr w:rsidTr="004F70B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r w:rsidRPr="00304401">
              <w:t>This unit covers selecting and using basic electro-measuring devices to check variables and the abi</w:t>
            </w:r>
            <w:r w:rsidRPr="00304401">
              <w:t>lity to maintain the devices.</w:t>
            </w:r>
          </w:p>
        </w:tc>
      </w:tr>
    </w:tbl>
    <w:p w:rsidR="004F70BF" w:rsidP="00304401">
      <w:pPr>
        <w:pStyle w:val="BodyText"/>
      </w:pPr>
    </w:p>
    <w:p w:rsidR="004F70BF" w:rsidP="00304401">
      <w:pPr>
        <w:pStyle w:val="BodyText"/>
      </w:pPr>
    </w:p>
    <w:p w:rsidR="00000000" w:rsidRPr="00304401" w:rsidP="00304401">
      <w:pPr>
        <w:pStyle w:val="Heading1"/>
      </w:pPr>
      <w:bookmarkStart w:id="3" w:name="O_211520"/>
      <w:bookmarkEnd w:id="3"/>
      <w:r w:rsidRPr="00304401">
        <w:t>Application of the Unit</w:t>
      </w:r>
    </w:p>
    <w:tbl>
      <w:tblPr>
        <w:tblW w:w="0" w:type="auto"/>
        <w:tblLayout w:type="fixed"/>
        <w:tblCellMar>
          <w:left w:w="62" w:type="dxa"/>
          <w:right w:w="62" w:type="dxa"/>
        </w:tblCellMar>
        <w:tblLook w:val="0000"/>
      </w:tblPr>
      <w:tblGrid>
        <w:gridCol w:w="2745"/>
        <w:gridCol w:w="5777"/>
      </w:tblGrid>
      <w:tr w:rsidTr="004F70B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r w:rsidRPr="00304401">
              <w:t xml:space="preserve">This unit applies to the measurement of voltage, current, resistance, power, frequency etc. on a.c. and d.c. circuits up to 1000 volts, using </w:t>
            </w:r>
            <w:r w:rsidRPr="00304401">
              <w:t>appropriate measuring devices and for a range of general applications. Measurement skills for specific applications and context are covered by other units.</w:t>
            </w:r>
          </w:p>
          <w:p w:rsidR="00000000" w:rsidRPr="00304401" w:rsidP="00304401">
            <w:pPr>
              <w:pStyle w:val="BodyText"/>
            </w:pPr>
            <w:r w:rsidRPr="00304401">
              <w:t>For simple measurement tasks such as reading of fixed devices, testing continuity, and tasks requiri</w:t>
            </w:r>
            <w:r w:rsidRPr="00304401">
              <w:t>ng the use of devices mounted in measuring jigs etc. Unit MEM12023A (Perform engineering measurements) and/or Unit MEM12001B (Use comparison and basic measuring devices) should be considered.</w:t>
            </w:r>
          </w:p>
          <w:p w:rsidR="00000000" w:rsidRPr="00304401" w:rsidP="00304401">
            <w:pPr>
              <w:pStyle w:val="BodyText"/>
            </w:pPr>
            <w:r w:rsidRPr="00304401">
              <w:t>If electrical/electronic measuring devices require the connectio</w:t>
            </w:r>
            <w:r w:rsidRPr="00304401">
              <w:t>n or disconnection of circuitry, the appropriate units should also be selected.</w:t>
            </w:r>
          </w:p>
          <w:p w:rsidR="00000000" w:rsidRPr="00304401" w:rsidP="00304401">
            <w:pPr>
              <w:pStyle w:val="BodyText"/>
            </w:pPr>
            <w:r w:rsidRPr="00304401">
              <w:t>In circumstances where the application of this unit or where legislation dictates, relevant units covering first aid and/or emergency procedures should also be considered.</w:t>
            </w:r>
          </w:p>
          <w:p w:rsidR="00000000" w:rsidRPr="00304401" w:rsidP="00304401">
            <w:pPr>
              <w:pStyle w:val="BodyText"/>
            </w:pPr>
          </w:p>
          <w:p w:rsidR="00000000" w:rsidRPr="00304401" w:rsidP="00304401">
            <w:pPr>
              <w:pStyle w:val="BodyText"/>
            </w:pPr>
            <w:r w:rsidRPr="00304401">
              <w:rPr>
                <w:rStyle w:val="SpecialBold"/>
              </w:rPr>
              <w:t>Ban</w:t>
            </w:r>
            <w:r w:rsidRPr="00304401">
              <w:rPr>
                <w:rStyle w:val="SpecialBold"/>
              </w:rPr>
              <w:t>d</w:t>
            </w:r>
            <w:r w:rsidRPr="00304401">
              <w:t>:</w:t>
            </w:r>
            <w:r w:rsidRPr="00304401">
              <w:tab/>
            </w:r>
            <w:r w:rsidRPr="00304401">
              <w:rPr>
                <w:rStyle w:val="SpecialBold"/>
              </w:rPr>
              <w:t>A</w:t>
            </w:r>
          </w:p>
          <w:p w:rsidR="00000000" w:rsidRPr="00304401" w:rsidP="00304401">
            <w:pPr>
              <w:pStyle w:val="BodyText"/>
            </w:pPr>
            <w:r w:rsidRPr="00304401">
              <w:rPr>
                <w:rStyle w:val="SpecialBold"/>
              </w:rPr>
              <w:t>Unit Weight</w:t>
            </w:r>
            <w:r w:rsidRPr="00304401">
              <w:t>:</w:t>
            </w:r>
            <w:r w:rsidRPr="00304401">
              <w:tab/>
            </w:r>
            <w:r w:rsidRPr="00304401">
              <w:rPr>
                <w:rStyle w:val="SpecialBold"/>
              </w:rPr>
              <w:t>2</w:t>
            </w:r>
          </w:p>
        </w:tc>
      </w:tr>
    </w:tbl>
    <w:p w:rsidR="004F70BF" w:rsidP="00304401">
      <w:pPr>
        <w:pStyle w:val="BodyText"/>
      </w:pPr>
    </w:p>
    <w:p w:rsidR="004F70BF" w:rsidP="00304401">
      <w:pPr>
        <w:pStyle w:val="BodyText"/>
      </w:pPr>
    </w:p>
    <w:p w:rsidR="00000000" w:rsidRPr="00304401" w:rsidP="00304401">
      <w:pPr>
        <w:pStyle w:val="Heading1"/>
      </w:pPr>
      <w:bookmarkStart w:id="4" w:name="O_280414"/>
      <w:bookmarkEnd w:id="4"/>
      <w:r w:rsidRPr="00304401">
        <w:t>Licensing/Regulatory Information</w:t>
      </w:r>
    </w:p>
    <w:p w:rsidR="00000000" w:rsidRPr="00304401" w:rsidP="00304401">
      <w:pPr>
        <w:pStyle w:val="BodyText"/>
      </w:pPr>
      <w:r w:rsidRPr="00304401">
        <w:t>Not Applicable</w:t>
      </w:r>
    </w:p>
    <w:p w:rsidR="00000000" w:rsidRPr="00304401" w:rsidP="00304401">
      <w:pPr>
        <w:pStyle w:val="AllowPageBreak"/>
      </w:pPr>
    </w:p>
    <w:p w:rsidR="00000000" w:rsidRPr="00304401" w:rsidP="00304401">
      <w:pPr>
        <w:pStyle w:val="Heading1"/>
      </w:pPr>
      <w:bookmarkStart w:id="5" w:name="O_211518"/>
      <w:bookmarkEnd w:id="5"/>
      <w:r w:rsidRPr="00304401">
        <w:t>Pre-Requisites</w:t>
      </w:r>
    </w:p>
    <w:tbl>
      <w:tblPr>
        <w:tblW w:w="0" w:type="auto"/>
        <w:tblLayout w:type="fixed"/>
        <w:tblCellMar>
          <w:left w:w="62" w:type="dxa"/>
          <w:right w:w="62" w:type="dxa"/>
        </w:tblCellMar>
        <w:tblLook w:val="0000"/>
      </w:tblPr>
      <w:tblGrid>
        <w:gridCol w:w="2775"/>
        <w:gridCol w:w="1295"/>
        <w:gridCol w:w="4452"/>
      </w:tblGrid>
      <w:tr w:rsidTr="004F70B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p>
        </w:tc>
      </w:tr>
      <w:tr w:rsidTr="004F70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p>
        </w:tc>
      </w:tr>
      <w:tr w:rsidTr="004F70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p>
        </w:tc>
      </w:tr>
    </w:tbl>
    <w:p w:rsidR="004F70BF" w:rsidP="00304401">
      <w:pPr>
        <w:pStyle w:val="BodyText"/>
      </w:pPr>
    </w:p>
    <w:p w:rsidR="004F70BF" w:rsidP="00304401">
      <w:pPr>
        <w:pStyle w:val="BodyText"/>
      </w:pPr>
    </w:p>
    <w:p w:rsidR="00000000" w:rsidRPr="00304401" w:rsidP="00304401">
      <w:pPr>
        <w:pStyle w:val="Heading1"/>
      </w:pPr>
      <w:bookmarkStart w:id="6" w:name="O_211517"/>
      <w:bookmarkEnd w:id="6"/>
      <w:r w:rsidRPr="00304401">
        <w:t>Employability Skills Information</w:t>
      </w:r>
    </w:p>
    <w:tbl>
      <w:tblPr>
        <w:tblW w:w="0" w:type="auto"/>
        <w:tblLayout w:type="fixed"/>
        <w:tblCellMar>
          <w:left w:w="62" w:type="dxa"/>
          <w:right w:w="62" w:type="dxa"/>
        </w:tblCellMar>
        <w:tblLook w:val="0000"/>
      </w:tblPr>
      <w:tblGrid>
        <w:gridCol w:w="2802"/>
        <w:gridCol w:w="5720"/>
      </w:tblGrid>
      <w:tr w:rsidTr="004F70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r w:rsidRPr="00304401">
              <w:t xml:space="preserve">This unit </w:t>
            </w:r>
            <w:r w:rsidRPr="00304401">
              <w:t>contains employability skills.</w:t>
            </w:r>
          </w:p>
        </w:tc>
      </w:tr>
    </w:tbl>
    <w:p w:rsidR="004F70BF" w:rsidP="00304401">
      <w:pPr>
        <w:pStyle w:val="BodyText"/>
      </w:pPr>
    </w:p>
    <w:p w:rsidR="004F70BF" w:rsidP="00304401">
      <w:pPr>
        <w:pStyle w:val="BodyText"/>
      </w:pPr>
    </w:p>
    <w:p w:rsidR="00000000" w:rsidRPr="00304401" w:rsidP="00304401">
      <w:pPr>
        <w:pStyle w:val="Heading1"/>
      </w:pPr>
      <w:bookmarkStart w:id="7" w:name="O_290200"/>
      <w:bookmarkEnd w:id="7"/>
      <w:r w:rsidRPr="00304401">
        <w:t>Elements and Performance Criteria Pre-Content</w:t>
      </w:r>
    </w:p>
    <w:tbl>
      <w:tblPr>
        <w:tblW w:w="0" w:type="auto"/>
        <w:tblLayout w:type="fixed"/>
        <w:tblCellMar>
          <w:left w:w="62" w:type="dxa"/>
          <w:right w:w="62" w:type="dxa"/>
        </w:tblCellMar>
        <w:tblLook w:val="0000"/>
      </w:tblPr>
      <w:tblGrid>
        <w:gridCol w:w="2548"/>
        <w:gridCol w:w="5974"/>
      </w:tblGrid>
      <w:tr w:rsidTr="004F70B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r w:rsidRPr="00304401">
              <w:t>Performance criteria describe the performance needed to demonstrate achievement of the element. Where bold italicised text is used, further information is detailed in the required skills and knowledge section and the range statement. Assessment of performa</w:t>
            </w:r>
            <w:r w:rsidRPr="00304401">
              <w:t>nce is to be consistent with the evidence guide.</w:t>
            </w:r>
          </w:p>
        </w:tc>
      </w:tr>
    </w:tbl>
    <w:p w:rsidR="00000000" w:rsidRPr="00304401" w:rsidP="00304401">
      <w:pPr>
        <w:pStyle w:val="BodyText"/>
      </w:pPr>
    </w:p>
    <w:p w:rsidR="00000000" w:rsidRPr="00304401" w:rsidP="00304401">
      <w:pPr>
        <w:pStyle w:val="AllowPageBreak"/>
      </w:pPr>
    </w:p>
    <w:p w:rsidR="00000000" w:rsidRPr="00304401" w:rsidP="00304401">
      <w:pPr>
        <w:pStyle w:val="Heading1"/>
      </w:pPr>
      <w:bookmarkStart w:id="8" w:name="O_236867"/>
      <w:bookmarkEnd w:id="8"/>
      <w:r w:rsidRPr="00304401">
        <w:t>Elements and Performance Criteria</w:t>
      </w:r>
    </w:p>
    <w:tbl>
      <w:tblPr>
        <w:tblW w:w="0" w:type="auto"/>
        <w:tblLayout w:type="fixed"/>
        <w:tblCellMar>
          <w:left w:w="62" w:type="dxa"/>
          <w:right w:w="62" w:type="dxa"/>
        </w:tblCellMar>
        <w:tblLook w:val="0000"/>
      </w:tblPr>
      <w:tblGrid>
        <w:gridCol w:w="2548"/>
        <w:gridCol w:w="5974"/>
      </w:tblGrid>
      <w:tr w:rsidTr="004F70BF">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r w:rsidRPr="00304401">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PERFORMANCE CRITERIA</w:t>
            </w:r>
          </w:p>
        </w:tc>
      </w:tr>
      <w:tr w:rsidTr="004F70B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List"/>
              <w:rPr>
                <w:lang w:val="en-NZ"/>
              </w:rPr>
            </w:pPr>
            <w:r w:rsidRPr="00304401">
              <w:t>1.</w:t>
            </w:r>
            <w:r w:rsidRPr="00304401">
              <w:tab/>
              <w:t>Use electro-measuring devices to measure variables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List2"/>
            </w:pPr>
            <w:r w:rsidRPr="00304401">
              <w:t>1.1.</w:t>
            </w:r>
            <w:r w:rsidRPr="00304401">
              <w:tab/>
              <w:t>Appropriate device or equipment and setting is selected to obtain</w:t>
            </w:r>
            <w:r w:rsidRPr="00304401">
              <w:t xml:space="preserve"> required measurement.</w:t>
            </w:r>
          </w:p>
          <w:p w:rsidR="00000000" w:rsidRPr="00304401" w:rsidP="00304401">
            <w:pPr>
              <w:pStyle w:val="List2"/>
            </w:pPr>
            <w:r w:rsidRPr="00304401">
              <w:t>1.2.</w:t>
            </w:r>
            <w:r w:rsidRPr="00304401">
              <w:tab/>
              <w:t>Appropriate connections are made to obtain required measurement according to standard operating procedure.</w:t>
            </w:r>
          </w:p>
          <w:p w:rsidR="00000000" w:rsidP="00304401">
            <w:pPr>
              <w:pStyle w:val="List2"/>
              <w:rPr>
                <w:lang w:val="en-NZ"/>
              </w:rPr>
            </w:pPr>
            <w:r w:rsidRPr="00304401">
              <w:t>1.3.</w:t>
            </w:r>
            <w:r w:rsidRPr="00304401">
              <w:tab/>
              <w:t>Readings are obtained and interpreted correctly and conversion is made where necessary into the required uni</w:t>
            </w:r>
            <w:r w:rsidRPr="00304401">
              <w:t>ts of measurement.</w:t>
            </w:r>
          </w:p>
        </w:tc>
      </w:tr>
      <w:tr w:rsidTr="004F70B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List"/>
              <w:rPr>
                <w:lang w:val="en-NZ"/>
              </w:rPr>
            </w:pPr>
            <w:r w:rsidRPr="00304401">
              <w:t>2.</w:t>
            </w:r>
            <w:r w:rsidRPr="00304401">
              <w:tab/>
              <w:t>Maintain electro devices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List2"/>
            </w:pPr>
            <w:r w:rsidRPr="00304401">
              <w:t>2.1.</w:t>
            </w:r>
            <w:r w:rsidRPr="00304401">
              <w:tab/>
              <w:t>Routine care and storage of devices is undertaken to manufacturer's specifications or standard operating procedures.</w:t>
            </w:r>
          </w:p>
        </w:tc>
      </w:tr>
    </w:tbl>
    <w:p w:rsidR="004F70BF" w:rsidP="00304401">
      <w:pPr>
        <w:pStyle w:val="BodyText"/>
      </w:pPr>
    </w:p>
    <w:p w:rsidR="004F70BF" w:rsidP="00304401">
      <w:pPr>
        <w:pStyle w:val="BodyText"/>
      </w:pPr>
    </w:p>
    <w:p w:rsidR="00000000" w:rsidRPr="00304401" w:rsidP="00304401">
      <w:pPr>
        <w:pStyle w:val="Heading1"/>
      </w:pPr>
      <w:bookmarkStart w:id="9" w:name="O_260817"/>
      <w:bookmarkEnd w:id="9"/>
      <w:r w:rsidRPr="00304401">
        <w:t>Required Skills and Knowledge</w:t>
      </w:r>
    </w:p>
    <w:tbl>
      <w:tblPr>
        <w:tblW w:w="0" w:type="auto"/>
        <w:tblLayout w:type="fixed"/>
        <w:tblCellMar>
          <w:left w:w="62" w:type="dxa"/>
          <w:right w:w="62" w:type="dxa"/>
        </w:tblCellMar>
        <w:tblLook w:val="0000"/>
      </w:tblPr>
      <w:tblGrid>
        <w:gridCol w:w="8522"/>
      </w:tblGrid>
      <w:tr w:rsidTr="004F70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REQUIRED SKILLS AND KNOWLEDGE</w:t>
            </w:r>
          </w:p>
        </w:tc>
      </w:tr>
      <w:tr w:rsidTr="004F70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t>This section describes the skills and knowledge required for this unit.</w:t>
            </w:r>
          </w:p>
        </w:tc>
      </w:tr>
      <w:tr w:rsidTr="004F7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Required skills</w:t>
            </w:r>
          </w:p>
        </w:tc>
      </w:tr>
      <w:tr w:rsidTr="004F7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r w:rsidRPr="00304401">
              <w:t>Look for evidence that confirms skills in:</w:t>
            </w:r>
          </w:p>
          <w:p w:rsidR="00000000" w:rsidRPr="00304401" w:rsidP="00304401">
            <w:pPr>
              <w:pStyle w:val="ListBullet"/>
            </w:pPr>
            <w:r w:rsidRPr="00304401">
              <w:t>setting and using electro-measuring devices</w:t>
            </w:r>
          </w:p>
          <w:p w:rsidR="00000000" w:rsidRPr="00304401" w:rsidP="00304401">
            <w:pPr>
              <w:pStyle w:val="ListBullet"/>
            </w:pPr>
            <w:r w:rsidRPr="00304401">
              <w:t>obtaining and interpreting specified electrical measurements</w:t>
            </w:r>
          </w:p>
          <w:p w:rsidR="00000000" w:rsidRPr="00304401" w:rsidP="00304401">
            <w:pPr>
              <w:pStyle w:val="ListBullet"/>
            </w:pPr>
            <w:r w:rsidRPr="00304401">
              <w:t>selecting appropriate measuring devices</w:t>
            </w:r>
          </w:p>
          <w:p w:rsidR="00000000" w:rsidRPr="00304401" w:rsidP="00304401">
            <w:pPr>
              <w:pStyle w:val="ListBullet"/>
            </w:pPr>
            <w:r w:rsidRPr="00304401">
              <w:t>performing arithmetic operations required to convert measurements into appropriate units of measurement</w:t>
            </w:r>
          </w:p>
          <w:p w:rsidR="00000000" w:rsidRPr="00304401" w:rsidP="00304401">
            <w:pPr>
              <w:pStyle w:val="ListBullet"/>
            </w:pPr>
            <w:r w:rsidRPr="00304401">
              <w:t xml:space="preserve">maintaining and storing electro-measuring devices </w:t>
            </w:r>
          </w:p>
          <w:p w:rsidR="00000000" w:rsidP="00304401">
            <w:pPr>
              <w:pStyle w:val="ListBullet"/>
              <w:rPr>
                <w:lang w:val="en-NZ"/>
              </w:rPr>
            </w:pPr>
            <w:r w:rsidRPr="00304401">
              <w:t>reading and interpreting information on standard operating procedures</w:t>
            </w:r>
          </w:p>
        </w:tc>
      </w:tr>
      <w:tr w:rsidTr="004F7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Required knowledge</w:t>
            </w:r>
          </w:p>
        </w:tc>
      </w:tr>
      <w:tr w:rsidTr="004F7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r w:rsidRPr="00304401">
              <w:t>Look for evidence that confirms knowledge of:</w:t>
            </w:r>
          </w:p>
          <w:p w:rsidR="00000000" w:rsidRPr="00304401" w:rsidP="00304401">
            <w:pPr>
              <w:pStyle w:val="ListBullet"/>
            </w:pPr>
            <w:r w:rsidRPr="00304401">
              <w:t xml:space="preserve">terminology and concepts relating to electrical/electronic measurement </w:t>
            </w:r>
          </w:p>
          <w:p w:rsidR="00000000" w:rsidRPr="00304401" w:rsidP="00304401">
            <w:pPr>
              <w:pStyle w:val="ListBullet"/>
            </w:pPr>
            <w:r w:rsidRPr="00304401">
              <w:t>the selection of different measuring devices f</w:t>
            </w:r>
            <w:r w:rsidRPr="00304401">
              <w:t>or particular applications within the scope of this unit</w:t>
            </w:r>
          </w:p>
          <w:p w:rsidR="00000000" w:rsidRPr="00304401" w:rsidP="00304401">
            <w:pPr>
              <w:pStyle w:val="ListBullet"/>
            </w:pPr>
            <w:r w:rsidRPr="00304401">
              <w:t>specifications of selected electro-measuring devices</w:t>
            </w:r>
          </w:p>
          <w:p w:rsidR="00000000" w:rsidRPr="00304401" w:rsidP="00304401">
            <w:pPr>
              <w:pStyle w:val="ListBullet"/>
            </w:pPr>
            <w:r w:rsidRPr="00304401">
              <w:t>the application of the settings on each electro-measuring device</w:t>
            </w:r>
          </w:p>
          <w:p w:rsidR="00000000" w:rsidRPr="00304401" w:rsidP="00304401">
            <w:pPr>
              <w:pStyle w:val="ListBullet"/>
            </w:pPr>
            <w:r w:rsidRPr="00304401">
              <w:t>the procedures for obtaining electrical/electronic measurements</w:t>
            </w:r>
          </w:p>
          <w:p w:rsidR="00000000" w:rsidRPr="00304401" w:rsidP="00304401">
            <w:pPr>
              <w:pStyle w:val="ListBullet"/>
            </w:pPr>
            <w:r w:rsidRPr="00304401">
              <w:t>procedures for connecting electro-measuring devices to circuitry</w:t>
            </w:r>
          </w:p>
          <w:p w:rsidR="00000000" w:rsidRPr="00304401" w:rsidP="00304401">
            <w:pPr>
              <w:pStyle w:val="ListBullet"/>
            </w:pPr>
            <w:r w:rsidRPr="00304401">
              <w:t>the correct scale for each setting on the electro-measuring device</w:t>
            </w:r>
          </w:p>
          <w:p w:rsidR="00000000" w:rsidRPr="00304401" w:rsidP="00304401">
            <w:pPr>
              <w:pStyle w:val="ListBullet"/>
            </w:pPr>
            <w:r w:rsidRPr="00304401">
              <w:t>the scale factor to be applied to readings taken from the electro-measuring device</w:t>
            </w:r>
          </w:p>
          <w:p w:rsidR="00000000" w:rsidRPr="00304401" w:rsidP="00304401">
            <w:pPr>
              <w:pStyle w:val="ListBullet"/>
            </w:pPr>
            <w:r w:rsidRPr="00304401">
              <w:t>the units applying to electrical and elec</w:t>
            </w:r>
            <w:r w:rsidRPr="00304401">
              <w:t>tronic measurements</w:t>
            </w:r>
          </w:p>
          <w:p w:rsidR="00000000" w:rsidRPr="00304401" w:rsidP="00304401">
            <w:pPr>
              <w:pStyle w:val="ListBullet"/>
            </w:pPr>
            <w:r w:rsidRPr="00304401">
              <w:t>maintenance and storage requirements for a range of electro-measuring devices</w:t>
            </w:r>
          </w:p>
          <w:p w:rsidR="00000000" w:rsidRPr="00304401" w:rsidP="00304401">
            <w:pPr>
              <w:pStyle w:val="ListBullet"/>
            </w:pPr>
            <w:r w:rsidRPr="00304401">
              <w:t>that devices can impact on the circuit condition</w:t>
            </w:r>
          </w:p>
          <w:p w:rsidR="00000000" w:rsidRPr="00304401" w:rsidP="00304401">
            <w:pPr>
              <w:pStyle w:val="ListBullet"/>
            </w:pPr>
            <w:r w:rsidRPr="00304401">
              <w:t>relevant State/Territory or Commonwealth legislative and regulatory requirements, industry standards, NOHSC g</w:t>
            </w:r>
            <w:r w:rsidRPr="00304401">
              <w:t>uidelines and code of practice</w:t>
            </w:r>
          </w:p>
          <w:p w:rsidR="00000000" w:rsidRPr="00304401" w:rsidP="00304401">
            <w:pPr>
              <w:pStyle w:val="ListBullet"/>
            </w:pPr>
            <w:r w:rsidRPr="00304401">
              <w:t>hazards and control measures associated with electrical/electronic measurement</w:t>
            </w:r>
          </w:p>
          <w:p w:rsidR="00000000" w:rsidRPr="00304401" w:rsidP="00304401">
            <w:pPr>
              <w:pStyle w:val="ListBullet"/>
            </w:pPr>
            <w:r w:rsidRPr="00304401">
              <w:t>safe work practices and procedures</w:t>
            </w:r>
          </w:p>
          <w:p w:rsidR="00000000" w:rsidRPr="00304401" w:rsidP="00304401">
            <w:pPr>
              <w:pStyle w:val="ListBullet"/>
            </w:pPr>
            <w:r w:rsidRPr="00304401">
              <w:t>use and application of personal protective equipment</w:t>
            </w:r>
          </w:p>
        </w:tc>
      </w:tr>
    </w:tbl>
    <w:p w:rsidR="004F70BF" w:rsidP="00304401">
      <w:pPr>
        <w:pStyle w:val="BodyText"/>
      </w:pPr>
    </w:p>
    <w:p w:rsidR="004F70BF" w:rsidP="00304401">
      <w:pPr>
        <w:pStyle w:val="BodyText"/>
      </w:pPr>
    </w:p>
    <w:p w:rsidR="00000000" w:rsidRPr="00304401" w:rsidP="00304401">
      <w:pPr>
        <w:pStyle w:val="AllowPageBreak"/>
      </w:pPr>
    </w:p>
    <w:p w:rsidR="00000000" w:rsidRPr="00304401" w:rsidP="00304401">
      <w:pPr>
        <w:pStyle w:val="Heading1"/>
      </w:pPr>
      <w:bookmarkStart w:id="10" w:name="O_244851"/>
      <w:bookmarkEnd w:id="10"/>
      <w:r w:rsidRPr="00304401">
        <w:t>Evidence Guide</w:t>
      </w:r>
    </w:p>
    <w:tbl>
      <w:tblPr>
        <w:tblW w:w="9570" w:type="dxa"/>
        <w:tblLayout w:type="fixed"/>
        <w:tblCellMar>
          <w:left w:w="62" w:type="dxa"/>
          <w:right w:w="62" w:type="dxa"/>
        </w:tblCellMar>
        <w:tblLook w:val="0000"/>
      </w:tblPr>
      <w:tblGrid>
        <w:gridCol w:w="3908"/>
        <w:gridCol w:w="5662"/>
      </w:tblGrid>
      <w:tr w:rsidTr="004F70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EVIDENCE GUIDE</w:t>
            </w:r>
          </w:p>
        </w:tc>
      </w:tr>
      <w:tr w:rsidTr="004F70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t>The evidence guide provides advice on assessment and must be read in conjunction with the performance criteria, required skills and knowledge, range statement and the Assessment Guidelines for the Training Package.</w:t>
            </w:r>
          </w:p>
        </w:tc>
      </w:tr>
      <w:tr w:rsidTr="004F7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t xml:space="preserve">A person who demonstrates competency in this unit must be able to perform electrical/electronic measurement. </w:t>
            </w:r>
          </w:p>
        </w:tc>
      </w:tr>
      <w:tr w:rsidTr="004F7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t xml:space="preserve">Assessors must be satisfied that the candidate can </w:t>
            </w:r>
            <w:r w:rsidRPr="00304401">
              <w:t>competently and consistently perform all elements of the unit as specified by the criteria, including required knowledge, and be capable of applying the competency in new and different situations and contexts.</w:t>
            </w:r>
          </w:p>
        </w:tc>
      </w:tr>
      <w:tr w:rsidTr="004F7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Context of and specific resources for assessm</w:t>
            </w:r>
            <w:r w:rsidRPr="00304401">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r w:rsidRPr="00304401">
              <w:t>This unit may be assessed on the job, off the job or a combination of both on and off the job. Where assessment occurs off the job, that is the candidate is not in productive work, then an appropriate simulation must be used where the range of conditio</w:t>
            </w:r>
            <w:r w:rsidRPr="00304401">
              <w:t xml:space="preserve">ns reflects realistic workplace situations. The competencies covered by this unit would be demonstrated by an individual working alone or as part of a team. The assessment environment should not disadvantage the candidate. </w:t>
            </w:r>
          </w:p>
          <w:p w:rsidR="00000000" w:rsidP="00304401">
            <w:pPr>
              <w:pStyle w:val="BodyText"/>
              <w:rPr>
                <w:lang w:val="en-NZ"/>
              </w:rPr>
            </w:pPr>
            <w:r w:rsidRPr="00304401">
              <w:t>This unit could be assessed in c</w:t>
            </w:r>
            <w:r w:rsidRPr="00304401">
              <w:t>onjunction with any other units addressing the safety, quality, communication, materials handling, recording and reporting associated with electrical/electronic measurement or other units requiring the exercise of the skills and knowledge covered by this u</w:t>
            </w:r>
            <w:r w:rsidRPr="00304401">
              <w:t>nit.</w:t>
            </w:r>
          </w:p>
        </w:tc>
      </w:tr>
      <w:tr w:rsidTr="004F7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t>Assessors should gather a range of evidence that is valid, sufficient, current and authentic. Evidence can be gathered through a variety of ways including direct observation, supervisor's reports, project work, samples and questi</w:t>
            </w:r>
            <w:r w:rsidRPr="00304401">
              <w:t>oning. Questioning techniques should not require language, literacy and numeracy skills beyond those required in this unit of competency. The candidate must have access to all tools, equipment, materials and documentation required. The candidate must be pe</w:t>
            </w:r>
            <w:r w:rsidRPr="00304401">
              <w:t>rmitted to refer to any relevant workplace procedures, product and manufacturing specifications, codes, standards, manuals and reference materials.</w:t>
            </w:r>
          </w:p>
        </w:tc>
      </w:tr>
      <w:tr w:rsidTr="004F7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p>
        </w:tc>
      </w:tr>
    </w:tbl>
    <w:p w:rsidR="004F70BF" w:rsidP="00304401">
      <w:pPr>
        <w:pStyle w:val="BodyText"/>
      </w:pPr>
    </w:p>
    <w:p w:rsidR="004F70BF" w:rsidP="00304401">
      <w:pPr>
        <w:pStyle w:val="BodyText"/>
      </w:pPr>
    </w:p>
    <w:p w:rsidR="00000000" w:rsidRPr="00304401" w:rsidP="00304401">
      <w:pPr>
        <w:pStyle w:val="Heading1"/>
      </w:pPr>
      <w:bookmarkStart w:id="11" w:name="O_252834"/>
      <w:bookmarkEnd w:id="11"/>
      <w:r w:rsidRPr="00304401">
        <w:t>Range Statement</w:t>
      </w:r>
    </w:p>
    <w:tbl>
      <w:tblPr>
        <w:tblW w:w="0" w:type="auto"/>
        <w:tblLayout w:type="fixed"/>
        <w:tblCellMar>
          <w:left w:w="62" w:type="dxa"/>
          <w:right w:w="62" w:type="dxa"/>
        </w:tblCellMar>
        <w:tblLook w:val="0000"/>
      </w:tblPr>
      <w:tblGrid>
        <w:gridCol w:w="3506"/>
        <w:gridCol w:w="5016"/>
      </w:tblGrid>
      <w:tr w:rsidTr="004F70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RANGE STATEMENT</w:t>
            </w:r>
          </w:p>
        </w:tc>
      </w:tr>
      <w:tr w:rsidTr="004F70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t>The range statement relates to the unit of competency as a whole. It allows for different work environments and situations that may affect performance. Bold italicised wording, if used in the performance criteria, is detailed below. Essential operating con</w:t>
            </w:r>
            <w:r w:rsidRPr="00304401">
              <w:t>ditions that may be present with training and assessment (depending on the work situation, needs of the candidate, accessibility of the item, and local industry and regional contexts) may also be included.</w:t>
            </w:r>
          </w:p>
        </w:tc>
      </w:tr>
      <w:tr w:rsidTr="004F70B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Appropriate device or equipment</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t>Analogue/digital multi meters, clip-on meter, oscilloscopes, potentiometers determined according to the type of measurement being taken</w:t>
            </w:r>
          </w:p>
        </w:tc>
      </w:tr>
      <w:tr w:rsidTr="004F70B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Routine care</w:t>
            </w:r>
            <w:r w:rsidRPr="00304401">
              <w:t xml:space="preserv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r w:rsidRPr="00304401">
              <w:t>Zero and linear adjustments, inspection, check for serviceability and safe operation</w:t>
            </w:r>
          </w:p>
        </w:tc>
      </w:tr>
    </w:tbl>
    <w:p w:rsidR="004F70BF" w:rsidP="00304401">
      <w:pPr>
        <w:pStyle w:val="BodyText"/>
      </w:pPr>
    </w:p>
    <w:p w:rsidR="004F70BF" w:rsidP="00304401">
      <w:pPr>
        <w:pStyle w:val="BodyText"/>
      </w:pPr>
    </w:p>
    <w:p w:rsidR="00000000" w:rsidRPr="00304401" w:rsidP="00304401">
      <w:pPr>
        <w:pStyle w:val="Heading1"/>
      </w:pPr>
      <w:bookmarkStart w:id="12" w:name="O_211522"/>
      <w:bookmarkEnd w:id="12"/>
      <w:r w:rsidRPr="00304401">
        <w:t>Unit Sector(s)</w:t>
      </w:r>
    </w:p>
    <w:tbl>
      <w:tblPr>
        <w:tblW w:w="0" w:type="auto"/>
        <w:tblLayout w:type="fixed"/>
        <w:tblCellMar>
          <w:left w:w="62" w:type="dxa"/>
          <w:right w:w="62" w:type="dxa"/>
        </w:tblCellMar>
        <w:tblLook w:val="0000"/>
      </w:tblPr>
      <w:tblGrid>
        <w:gridCol w:w="2654"/>
        <w:gridCol w:w="5868"/>
      </w:tblGrid>
      <w:tr w:rsidTr="004F70B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p>
        </w:tc>
      </w:tr>
    </w:tbl>
    <w:p w:rsidR="004F70BF" w:rsidP="00304401">
      <w:pPr>
        <w:pStyle w:val="BodyText"/>
      </w:pPr>
    </w:p>
    <w:p w:rsidR="004F70BF" w:rsidP="00304401">
      <w:pPr>
        <w:pStyle w:val="BodyText"/>
      </w:pPr>
    </w:p>
    <w:p w:rsidR="00000000" w:rsidRPr="00304401" w:rsidP="00304401">
      <w:pPr>
        <w:pStyle w:val="Heading1"/>
      </w:pPr>
      <w:bookmarkStart w:id="13" w:name="O_211519"/>
      <w:bookmarkEnd w:id="13"/>
      <w:r w:rsidRPr="00304401">
        <w:t>Co-requisite units</w:t>
      </w:r>
    </w:p>
    <w:tbl>
      <w:tblPr>
        <w:tblW w:w="0" w:type="auto"/>
        <w:tblLayout w:type="fixed"/>
        <w:tblCellMar>
          <w:left w:w="62" w:type="dxa"/>
          <w:right w:w="62" w:type="dxa"/>
        </w:tblCellMar>
        <w:tblLook w:val="0000"/>
      </w:tblPr>
      <w:tblGrid>
        <w:gridCol w:w="2641"/>
        <w:gridCol w:w="1322"/>
        <w:gridCol w:w="4559"/>
      </w:tblGrid>
      <w:tr w:rsidTr="004F70B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p>
        </w:tc>
      </w:tr>
      <w:tr w:rsidTr="004F70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p>
        </w:tc>
      </w:tr>
      <w:tr w:rsidTr="004F70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p>
        </w:tc>
      </w:tr>
    </w:tbl>
    <w:p w:rsidR="004F70BF" w:rsidP="00304401">
      <w:pPr>
        <w:pStyle w:val="BodyText"/>
      </w:pPr>
    </w:p>
    <w:p w:rsidR="004F70BF" w:rsidP="00304401">
      <w:pPr>
        <w:pStyle w:val="BodyText"/>
      </w:pPr>
    </w:p>
    <w:p w:rsidR="00000000" w:rsidRPr="00304401" w:rsidP="00304401">
      <w:pPr>
        <w:pStyle w:val="Heading1"/>
      </w:pPr>
      <w:bookmarkStart w:id="14" w:name="O_211521"/>
      <w:bookmarkEnd w:id="14"/>
      <w:r w:rsidRPr="00304401">
        <w:t>Competency field</w:t>
      </w:r>
    </w:p>
    <w:tbl>
      <w:tblPr>
        <w:tblW w:w="0" w:type="auto"/>
        <w:tblLayout w:type="fixed"/>
        <w:tblCellMar>
          <w:left w:w="62" w:type="dxa"/>
          <w:right w:w="62" w:type="dxa"/>
        </w:tblCellMar>
        <w:tblLook w:val="0000"/>
      </w:tblPr>
      <w:tblGrid>
        <w:gridCol w:w="2774"/>
        <w:gridCol w:w="5748"/>
      </w:tblGrid>
      <w:tr w:rsidTr="004F70BF">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401">
            <w:pPr>
              <w:pStyle w:val="BodyText"/>
              <w:rPr>
                <w:lang w:val="en-NZ"/>
              </w:rPr>
            </w:pPr>
            <w:r w:rsidRPr="0030440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401" w:rsidP="00304401">
            <w:pPr>
              <w:pStyle w:val="BodyText"/>
            </w:pPr>
            <w:r w:rsidRPr="00304401">
              <w:t>Measurement</w:t>
            </w:r>
          </w:p>
        </w:tc>
      </w:tr>
    </w:tbl>
    <w:p w:rsidR="004F70BF" w:rsidP="00304401">
      <w:pPr>
        <w:pStyle w:val="BodyText"/>
      </w:pPr>
    </w:p>
    <w:p w:rsidR="004F70BF" w:rsidP="00304401">
      <w:pPr>
        <w:pStyle w:val="BodyText"/>
      </w:pPr>
    </w:p>
    <w:p w:rsidR="00000000" w:rsidRPr="00304401" w:rsidP="00304401"/>
    <w:sectPr w:rsidSect="003044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70BF" w:rsidP="004F70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BF" w:rsidP="003044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F70BF" w:rsidP="003044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F70BF" w:rsidP="003044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70BF" w:rsidP="004F70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0BF" w:rsidP="00304401">
    <w:pPr>
      <w:pStyle w:val="Header"/>
      <w:framePr w:wrap="around"/>
    </w:pPr>
    <w:r>
      <w:fldChar w:fldCharType="begin"/>
    </w:r>
    <w:r>
      <w:instrText xml:space="preserve"> TITLE   \* MERGEFORMAT </w:instrText>
    </w:r>
    <w:r>
      <w:fldChar w:fldCharType="separate"/>
    </w:r>
    <w:r>
      <w:t>MEM12002B Perform electrical/electronic measurement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70BF" w:rsidP="003044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C451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2062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4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4401"/>
    <w:pPr>
      <w:spacing w:before="360" w:after="60"/>
      <w:outlineLvl w:val="0"/>
    </w:pPr>
    <w:rPr>
      <w:sz w:val="32"/>
    </w:rPr>
  </w:style>
  <w:style w:type="paragraph" w:styleId="Heading2">
    <w:name w:val="heading 2"/>
    <w:basedOn w:val="HeadingBase"/>
    <w:next w:val="BodyText"/>
    <w:link w:val="Heading2Char"/>
    <w:qFormat/>
    <w:rsid w:val="00304401"/>
    <w:pPr>
      <w:keepLines/>
      <w:spacing w:before="240" w:after="120"/>
      <w:outlineLvl w:val="1"/>
    </w:pPr>
    <w:rPr>
      <w:sz w:val="28"/>
      <w:szCs w:val="40"/>
    </w:rPr>
  </w:style>
  <w:style w:type="paragraph" w:styleId="Heading3">
    <w:name w:val="heading 3"/>
    <w:basedOn w:val="HeadingBase"/>
    <w:next w:val="BodyText"/>
    <w:link w:val="Heading3Char"/>
    <w:qFormat/>
    <w:rsid w:val="00304401"/>
    <w:pPr>
      <w:spacing w:before="180" w:after="120"/>
      <w:outlineLvl w:val="2"/>
    </w:pPr>
    <w:rPr>
      <w:spacing w:val="-10"/>
      <w:kern w:val="32"/>
    </w:rPr>
  </w:style>
  <w:style w:type="paragraph" w:styleId="Heading4">
    <w:name w:val="heading 4"/>
    <w:basedOn w:val="HeadingBase"/>
    <w:next w:val="BodyText"/>
    <w:link w:val="Heading4Char"/>
    <w:qFormat/>
    <w:rsid w:val="00304401"/>
    <w:pPr>
      <w:spacing w:before="160" w:after="120"/>
      <w:outlineLvl w:val="3"/>
    </w:pPr>
    <w:rPr>
      <w:sz w:val="22"/>
    </w:rPr>
  </w:style>
  <w:style w:type="paragraph" w:styleId="Heading5">
    <w:name w:val="heading 5"/>
    <w:basedOn w:val="HeadingBase"/>
    <w:next w:val="Normal"/>
    <w:link w:val="Heading5Char"/>
    <w:qFormat/>
    <w:rsid w:val="00304401"/>
    <w:pPr>
      <w:spacing w:before="80"/>
      <w:outlineLvl w:val="4"/>
    </w:pPr>
    <w:rPr>
      <w:color w:val="918585"/>
      <w:sz w:val="20"/>
    </w:rPr>
  </w:style>
  <w:style w:type="paragraph" w:styleId="Heading6">
    <w:name w:val="heading 6"/>
    <w:basedOn w:val="HeadingBase"/>
    <w:next w:val="Normal"/>
    <w:link w:val="Heading6Char"/>
    <w:qFormat/>
    <w:rsid w:val="00304401"/>
    <w:pPr>
      <w:spacing w:before="60"/>
      <w:outlineLvl w:val="5"/>
    </w:pPr>
    <w:rPr>
      <w:color w:val="918585"/>
      <w:sz w:val="20"/>
    </w:rPr>
  </w:style>
  <w:style w:type="paragraph" w:styleId="Heading7">
    <w:name w:val="heading 7"/>
    <w:basedOn w:val="Normal"/>
    <w:next w:val="Normal"/>
    <w:link w:val="Heading7Char"/>
    <w:qFormat/>
    <w:rsid w:val="00304401"/>
    <w:pPr>
      <w:ind w:left="720"/>
      <w:outlineLvl w:val="6"/>
    </w:pPr>
    <w:rPr>
      <w:i/>
    </w:rPr>
  </w:style>
  <w:style w:type="paragraph" w:styleId="Heading8">
    <w:name w:val="heading 8"/>
    <w:basedOn w:val="Normal"/>
    <w:next w:val="Normal"/>
    <w:link w:val="Heading8Char"/>
    <w:qFormat/>
    <w:rsid w:val="00304401"/>
    <w:pPr>
      <w:ind w:left="720"/>
      <w:outlineLvl w:val="7"/>
    </w:pPr>
    <w:rPr>
      <w:i/>
    </w:rPr>
  </w:style>
  <w:style w:type="paragraph" w:styleId="Heading9">
    <w:name w:val="heading 9"/>
    <w:basedOn w:val="Normal"/>
    <w:next w:val="Normal"/>
    <w:link w:val="Heading9Char"/>
    <w:qFormat/>
    <w:rsid w:val="00304401"/>
    <w:pPr>
      <w:ind w:left="720"/>
      <w:outlineLvl w:val="8"/>
    </w:pPr>
    <w:rPr>
      <w:i/>
    </w:rPr>
  </w:style>
  <w:style w:type="character" w:default="1" w:styleId="DefaultParagraphFont">
    <w:name w:val="Default Paragraph Font"/>
    <w:uiPriority w:val="1"/>
    <w:unhideWhenUsed/>
    <w:rsid w:val="00304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401"/>
  </w:style>
  <w:style w:type="character" w:customStyle="1" w:styleId="Heading1Char">
    <w:name w:val="Heading 1 Char"/>
    <w:basedOn w:val="DefaultParagraphFont"/>
    <w:link w:val="Heading1"/>
    <w:rsid w:val="00304401"/>
    <w:rPr>
      <w:rFonts w:ascii="Times New Roman" w:eastAsia="Times New Roman" w:hAnsi="Times New Roman" w:cs="Times New Roman"/>
      <w:b/>
      <w:sz w:val="32"/>
      <w:szCs w:val="20"/>
      <w:lang w:eastAsia="en-US"/>
    </w:rPr>
  </w:style>
  <w:style w:type="paragraph" w:styleId="BodyText">
    <w:name w:val="Body Text"/>
    <w:basedOn w:val="Normal"/>
    <w:link w:val="BodyTextChar"/>
    <w:rsid w:val="003044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4401"/>
    <w:rPr>
      <w:rFonts w:ascii="Times New Roman" w:eastAsia="Times New Roman" w:hAnsi="Times New Roman" w:cs="Times New Roman"/>
      <w:sz w:val="24"/>
      <w:lang w:val="en-US" w:eastAsia="en-US"/>
    </w:rPr>
  </w:style>
  <w:style w:type="paragraph" w:styleId="Footer">
    <w:name w:val="footer"/>
    <w:basedOn w:val="Normal"/>
    <w:link w:val="FooterChar"/>
    <w:rsid w:val="00304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401"/>
    <w:rPr>
      <w:rFonts w:ascii="Times New Roman" w:eastAsia="Times New Roman" w:hAnsi="Times New Roman" w:cs="Times New Roman"/>
      <w:sz w:val="16"/>
      <w:lang w:val="en-US" w:eastAsia="en-US"/>
    </w:rPr>
  </w:style>
  <w:style w:type="paragraph" w:styleId="List">
    <w:name w:val="List"/>
    <w:basedOn w:val="BodyText"/>
    <w:next w:val="BodyText"/>
    <w:rsid w:val="00304401"/>
    <w:pPr>
      <w:tabs>
        <w:tab w:val="left" w:pos="340"/>
      </w:tabs>
      <w:spacing w:before="60" w:after="60"/>
      <w:ind w:left="340" w:hanging="340"/>
    </w:pPr>
  </w:style>
  <w:style w:type="paragraph" w:styleId="ListBullet">
    <w:name w:val="List Bullet"/>
    <w:basedOn w:val="List"/>
    <w:rsid w:val="00304401"/>
    <w:pPr>
      <w:numPr>
        <w:numId w:val="12"/>
      </w:numPr>
      <w:tabs>
        <w:tab w:val="clear" w:pos="340"/>
      </w:tabs>
      <w:spacing w:before="40" w:after="40"/>
    </w:pPr>
  </w:style>
  <w:style w:type="character" w:customStyle="1" w:styleId="SpecialBold">
    <w:name w:val="Special Bold"/>
    <w:basedOn w:val="DefaultParagraphFont"/>
    <w:rsid w:val="00304401"/>
    <w:rPr>
      <w:b/>
      <w:spacing w:val="0"/>
    </w:rPr>
  </w:style>
  <w:style w:type="paragraph" w:styleId="Header">
    <w:name w:val="header"/>
    <w:basedOn w:val="Normal"/>
    <w:link w:val="HeaderChar"/>
    <w:rsid w:val="00304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4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4401"/>
    <w:pPr>
      <w:spacing w:before="240" w:after="120"/>
      <w:outlineLvl w:val="0"/>
    </w:pPr>
    <w:rPr>
      <w:rFonts w:ascii="Times New Roman" w:hAnsi="Times New Roman"/>
      <w:b/>
      <w:sz w:val="28"/>
    </w:rPr>
  </w:style>
  <w:style w:type="paragraph" w:customStyle="1" w:styleId="AllowPageBreak">
    <w:name w:val="AllowPageBreak"/>
    <w:rsid w:val="003044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4401"/>
    <w:pPr>
      <w:tabs>
        <w:tab w:val="left" w:pos="680"/>
      </w:tabs>
      <w:spacing w:before="60" w:after="60"/>
      <w:ind w:left="680" w:hanging="340"/>
    </w:pPr>
  </w:style>
  <w:style w:type="character" w:customStyle="1" w:styleId="Heading2Char">
    <w:name w:val="Heading 2 Char"/>
    <w:basedOn w:val="DefaultParagraphFont"/>
    <w:link w:val="Heading2"/>
    <w:rsid w:val="00304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4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44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4401"/>
    <w:rPr>
      <w:rFonts w:ascii="Courier New" w:eastAsia="Times New Roman" w:hAnsi="Courier New" w:cs="Times New Roman"/>
      <w:i/>
      <w:szCs w:val="20"/>
      <w:lang w:val="en-US" w:eastAsia="en-US"/>
    </w:rPr>
  </w:style>
  <w:style w:type="paragraph" w:customStyle="1" w:styleId="HeadingBase">
    <w:name w:val="Heading Base"/>
    <w:rsid w:val="00304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401"/>
    <w:pPr>
      <w:tabs>
        <w:tab w:val="right" w:leader="dot" w:pos="9072"/>
      </w:tabs>
      <w:ind w:left="567"/>
    </w:pPr>
    <w:rPr>
      <w:szCs w:val="22"/>
    </w:rPr>
  </w:style>
  <w:style w:type="paragraph" w:customStyle="1" w:styleId="TOCBase">
    <w:name w:val="TOC Base"/>
    <w:rsid w:val="00304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401"/>
    <w:pPr>
      <w:tabs>
        <w:tab w:val="right" w:leader="dot" w:pos="9072"/>
      </w:tabs>
      <w:spacing w:before="40" w:after="40"/>
      <w:ind w:left="284"/>
    </w:pPr>
    <w:rPr>
      <w:rFonts w:ascii="Times New Roman" w:hAnsi="Times New Roman"/>
    </w:rPr>
  </w:style>
  <w:style w:type="paragraph" w:styleId="TOC1">
    <w:name w:val="toc 1"/>
    <w:basedOn w:val="TOCBase"/>
    <w:next w:val="Normal"/>
    <w:rsid w:val="003044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4401"/>
    <w:pPr>
      <w:spacing w:before="5040"/>
      <w:jc w:val="center"/>
    </w:pPr>
    <w:rPr>
      <w:sz w:val="48"/>
      <w:szCs w:val="72"/>
      <w:lang w:val="en-US"/>
    </w:rPr>
  </w:style>
  <w:style w:type="character" w:customStyle="1" w:styleId="TitleChar">
    <w:name w:val="Title Char"/>
    <w:basedOn w:val="DefaultParagraphFont"/>
    <w:link w:val="Title"/>
    <w:rsid w:val="00304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401"/>
    <w:pPr>
      <w:tabs>
        <w:tab w:val="left" w:pos="3600"/>
        <w:tab w:val="left" w:pos="3958"/>
      </w:tabs>
    </w:pPr>
  </w:style>
  <w:style w:type="paragraph" w:customStyle="1" w:styleId="Note">
    <w:name w:val="Note"/>
    <w:basedOn w:val="BodyText"/>
    <w:rsid w:val="003044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401"/>
    <w:pPr>
      <w:framePr w:wrap="auto" w:hAnchor="text" w:y="6049"/>
    </w:pPr>
    <w:rPr>
      <w:color w:val="000000"/>
      <w:sz w:val="40"/>
    </w:rPr>
  </w:style>
  <w:style w:type="paragraph" w:customStyle="1" w:styleId="TOCTitle">
    <w:name w:val="TOCTitle"/>
    <w:basedOn w:val="Heading1"/>
    <w:rsid w:val="00304401"/>
    <w:pPr>
      <w:spacing w:after="240"/>
      <w:jc w:val="center"/>
      <w:outlineLvl w:val="9"/>
    </w:pPr>
    <w:rPr>
      <w:caps/>
    </w:rPr>
  </w:style>
  <w:style w:type="paragraph" w:customStyle="1" w:styleId="Version">
    <w:name w:val="Version"/>
    <w:rsid w:val="003044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401"/>
    <w:pPr>
      <w:numPr>
        <w:numId w:val="13"/>
      </w:numPr>
      <w:tabs>
        <w:tab w:val="clear" w:pos="680"/>
      </w:tabs>
    </w:pPr>
  </w:style>
  <w:style w:type="paragraph" w:styleId="Index1">
    <w:name w:val="index 1"/>
    <w:basedOn w:val="Normal"/>
    <w:next w:val="Normal"/>
    <w:semiHidden/>
    <w:rsid w:val="00304401"/>
    <w:pPr>
      <w:keepNext w:val="0"/>
      <w:tabs>
        <w:tab w:val="right" w:pos="4176"/>
      </w:tabs>
      <w:ind w:left="198" w:hanging="198"/>
    </w:pPr>
    <w:rPr>
      <w:rFonts w:ascii="Garamond" w:hAnsi="Garamond"/>
    </w:rPr>
  </w:style>
  <w:style w:type="paragraph" w:styleId="IndexHeading">
    <w:name w:val="index heading"/>
    <w:basedOn w:val="Normal"/>
    <w:next w:val="Index1"/>
    <w:semiHidden/>
    <w:rsid w:val="00304401"/>
    <w:pPr>
      <w:spacing w:before="120" w:after="120"/>
    </w:pPr>
    <w:rPr>
      <w:rFonts w:ascii="Arial" w:hAnsi="Arial"/>
      <w:b/>
      <w:color w:val="918585"/>
      <w:sz w:val="24"/>
    </w:rPr>
  </w:style>
  <w:style w:type="paragraph" w:customStyle="1" w:styleId="Chapter">
    <w:name w:val="Chapter"/>
    <w:basedOn w:val="Normal"/>
    <w:rsid w:val="00304401"/>
    <w:pPr>
      <w:spacing w:before="240"/>
    </w:pPr>
    <w:rPr>
      <w:rFonts w:ascii="Times New Roman" w:hAnsi="Times New Roman"/>
      <w:smallCaps/>
      <w:spacing w:val="80"/>
      <w:sz w:val="28"/>
    </w:rPr>
  </w:style>
  <w:style w:type="paragraph" w:customStyle="1" w:styleId="InChapter">
    <w:name w:val="InChapter"/>
    <w:basedOn w:val="Heading3"/>
    <w:rsid w:val="00304401"/>
    <w:pPr>
      <w:spacing w:after="240"/>
      <w:outlineLvl w:val="9"/>
    </w:pPr>
    <w:rPr>
      <w:noProof/>
    </w:rPr>
  </w:style>
  <w:style w:type="paragraph" w:styleId="Index2">
    <w:name w:val="index 2"/>
    <w:basedOn w:val="Normal"/>
    <w:next w:val="Normal"/>
    <w:semiHidden/>
    <w:rsid w:val="00304401"/>
    <w:pPr>
      <w:tabs>
        <w:tab w:val="right" w:pos="4176"/>
      </w:tabs>
      <w:ind w:left="568" w:hanging="284"/>
    </w:pPr>
    <w:rPr>
      <w:rFonts w:ascii="Garamond" w:hAnsi="Garamond"/>
    </w:rPr>
  </w:style>
  <w:style w:type="paragraph" w:customStyle="1" w:styleId="Byline">
    <w:name w:val="Byline"/>
    <w:rsid w:val="00304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401"/>
    <w:pPr>
      <w:tabs>
        <w:tab w:val="clear" w:pos="3600"/>
        <w:tab w:val="clear" w:pos="3958"/>
      </w:tabs>
      <w:jc w:val="right"/>
    </w:pPr>
  </w:style>
  <w:style w:type="character" w:styleId="Emphasis">
    <w:name w:val="Emphasis"/>
    <w:basedOn w:val="DefaultParagraphFont"/>
    <w:qFormat/>
    <w:rsid w:val="00304401"/>
    <w:rPr>
      <w:i/>
    </w:rPr>
  </w:style>
  <w:style w:type="paragraph" w:styleId="Caption">
    <w:name w:val="caption"/>
    <w:basedOn w:val="BodyText"/>
    <w:next w:val="Normal"/>
    <w:qFormat/>
    <w:rsid w:val="00304401"/>
    <w:pPr>
      <w:framePr w:w="2268" w:hSpace="181" w:vSpace="181" w:wrap="around" w:vAnchor="text" w:hAnchor="page" w:x="1135" w:y="285" w:anchorLock="1"/>
    </w:pPr>
    <w:rPr>
      <w:i/>
    </w:rPr>
  </w:style>
  <w:style w:type="paragraph" w:customStyle="1" w:styleId="MiniTOCTitle">
    <w:name w:val="MiniTOCTitle"/>
    <w:basedOn w:val="Heading4"/>
    <w:rsid w:val="00304401"/>
    <w:pPr>
      <w:spacing w:before="240"/>
      <w:outlineLvl w:val="9"/>
    </w:pPr>
    <w:rPr>
      <w:noProof/>
      <w:sz w:val="24"/>
    </w:rPr>
  </w:style>
  <w:style w:type="paragraph" w:customStyle="1" w:styleId="MiniTOCItem">
    <w:name w:val="MiniTOCItem"/>
    <w:basedOn w:val="ListBullet"/>
    <w:rsid w:val="00304401"/>
    <w:pPr>
      <w:numPr>
        <w:numId w:val="0"/>
      </w:numPr>
      <w:tabs>
        <w:tab w:val="right" w:leader="dot" w:pos="6521"/>
      </w:tabs>
      <w:spacing w:before="0" w:after="0"/>
    </w:pPr>
  </w:style>
  <w:style w:type="paragraph" w:customStyle="1" w:styleId="TOFTitle">
    <w:name w:val="TOFTitle"/>
    <w:basedOn w:val="TOCTitle"/>
    <w:rsid w:val="00304401"/>
  </w:style>
  <w:style w:type="paragraph" w:styleId="TableofFigures">
    <w:name w:val="table of figures"/>
    <w:basedOn w:val="Normal"/>
    <w:next w:val="Normal"/>
    <w:semiHidden/>
    <w:rsid w:val="00304401"/>
    <w:pPr>
      <w:tabs>
        <w:tab w:val="right" w:leader="dot" w:pos="9072"/>
      </w:tabs>
      <w:ind w:left="970" w:hanging="403"/>
    </w:pPr>
    <w:rPr>
      <w:rFonts w:ascii="Times New Roman" w:hAnsi="Times New Roman"/>
      <w:b/>
    </w:rPr>
  </w:style>
  <w:style w:type="paragraph" w:styleId="ListNumber">
    <w:name w:val="List Number"/>
    <w:basedOn w:val="List"/>
    <w:rsid w:val="00304401"/>
    <w:pPr>
      <w:numPr>
        <w:numId w:val="10"/>
      </w:numPr>
    </w:pPr>
  </w:style>
  <w:style w:type="character" w:customStyle="1" w:styleId="WingdingSymbols">
    <w:name w:val="Wingding Symbols"/>
    <w:rsid w:val="00304401"/>
    <w:rPr>
      <w:rFonts w:ascii="Wingdings" w:hAnsi="Wingdings"/>
    </w:rPr>
  </w:style>
  <w:style w:type="paragraph" w:customStyle="1" w:styleId="TableHeading">
    <w:name w:val="Table Heading"/>
    <w:basedOn w:val="HeadingBase"/>
    <w:rsid w:val="00304401"/>
    <w:pPr>
      <w:keepLines/>
      <w:pBdr>
        <w:bottom w:val="single" w:sz="6" w:space="1" w:color="918585"/>
      </w:pBdr>
      <w:spacing w:before="240"/>
    </w:pPr>
  </w:style>
  <w:style w:type="character" w:customStyle="1" w:styleId="HotSpot">
    <w:name w:val="HotSpot"/>
    <w:rsid w:val="00304401"/>
    <w:rPr>
      <w:color w:val="0033CC"/>
      <w:u w:val="none"/>
    </w:rPr>
  </w:style>
  <w:style w:type="paragraph" w:customStyle="1" w:styleId="BodyTextRight">
    <w:name w:val="Body Text Right"/>
    <w:basedOn w:val="BodyText"/>
    <w:rsid w:val="00304401"/>
    <w:pPr>
      <w:spacing w:before="0" w:after="0"/>
      <w:jc w:val="right"/>
    </w:pPr>
  </w:style>
  <w:style w:type="paragraph" w:styleId="Index3">
    <w:name w:val="index 3"/>
    <w:basedOn w:val="ListNumber2"/>
    <w:next w:val="Normal"/>
    <w:semiHidden/>
    <w:rsid w:val="00304401"/>
    <w:pPr>
      <w:numPr>
        <w:numId w:val="0"/>
      </w:numPr>
      <w:tabs>
        <w:tab w:val="right" w:leader="dot" w:pos="4176"/>
      </w:tabs>
    </w:pPr>
  </w:style>
  <w:style w:type="paragraph" w:styleId="ListNumber2">
    <w:name w:val="List Number 2"/>
    <w:basedOn w:val="List2"/>
    <w:rsid w:val="00304401"/>
    <w:pPr>
      <w:numPr>
        <w:numId w:val="9"/>
      </w:numPr>
      <w:tabs>
        <w:tab w:val="clear" w:pos="1060"/>
      </w:tabs>
    </w:pPr>
  </w:style>
  <w:style w:type="paragraph" w:customStyle="1" w:styleId="MarginNote">
    <w:name w:val="Margin Note"/>
    <w:basedOn w:val="BodyText"/>
    <w:rsid w:val="00304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4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4401"/>
    <w:rPr>
      <w:sz w:val="32"/>
    </w:rPr>
  </w:style>
  <w:style w:type="paragraph" w:customStyle="1" w:styleId="HeadingProcedure">
    <w:name w:val="Heading Procedure"/>
    <w:basedOn w:val="HeadingBase"/>
    <w:next w:val="Normal"/>
    <w:rsid w:val="00304401"/>
    <w:pPr>
      <w:tabs>
        <w:tab w:val="left" w:pos="0"/>
      </w:tabs>
      <w:spacing w:before="120" w:after="60"/>
    </w:pPr>
    <w:rPr>
      <w:i/>
      <w:color w:val="918585"/>
      <w:sz w:val="22"/>
    </w:rPr>
  </w:style>
  <w:style w:type="paragraph" w:customStyle="1" w:styleId="TableBodyText">
    <w:name w:val="Table Body Text"/>
    <w:basedOn w:val="BodyText"/>
    <w:rsid w:val="00304401"/>
    <w:pPr>
      <w:spacing w:before="60" w:after="60"/>
    </w:pPr>
  </w:style>
  <w:style w:type="paragraph" w:styleId="ListContinue">
    <w:name w:val="List Continue"/>
    <w:basedOn w:val="List"/>
    <w:rsid w:val="00304401"/>
    <w:pPr>
      <w:ind w:firstLine="0"/>
    </w:pPr>
  </w:style>
  <w:style w:type="paragraph" w:customStyle="1" w:styleId="ListNote">
    <w:name w:val="List Note"/>
    <w:basedOn w:val="List"/>
    <w:rsid w:val="00304401"/>
    <w:pPr>
      <w:pBdr>
        <w:top w:val="single" w:sz="6" w:space="2" w:color="918585"/>
        <w:bottom w:val="single" w:sz="6" w:space="2" w:color="918585"/>
      </w:pBdr>
      <w:tabs>
        <w:tab w:val="left" w:pos="1021"/>
      </w:tabs>
      <w:ind w:firstLine="0"/>
    </w:pPr>
  </w:style>
  <w:style w:type="paragraph" w:customStyle="1" w:styleId="Warning">
    <w:name w:val="Warning"/>
    <w:basedOn w:val="BodyText"/>
    <w:rsid w:val="00304401"/>
    <w:pPr>
      <w:shd w:val="clear" w:color="auto" w:fill="D9D9D9"/>
      <w:tabs>
        <w:tab w:val="left" w:pos="992"/>
      </w:tabs>
      <w:ind w:left="119" w:right="119"/>
    </w:pPr>
    <w:rPr>
      <w:sz w:val="20"/>
    </w:rPr>
  </w:style>
  <w:style w:type="paragraph" w:customStyle="1" w:styleId="MarginIcons">
    <w:name w:val="Margin Icons"/>
    <w:basedOn w:val="BodyText"/>
    <w:rsid w:val="00304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401"/>
    <w:rPr>
      <w:rFonts w:ascii="Courier New" w:hAnsi="Courier New"/>
    </w:rPr>
  </w:style>
  <w:style w:type="paragraph" w:customStyle="1" w:styleId="NoteBullet">
    <w:name w:val="Note Bullet"/>
    <w:basedOn w:val="Note"/>
    <w:rsid w:val="00304401"/>
    <w:pPr>
      <w:tabs>
        <w:tab w:val="clear" w:pos="680"/>
      </w:tabs>
      <w:spacing w:before="60" w:after="60"/>
    </w:pPr>
  </w:style>
  <w:style w:type="paragraph" w:customStyle="1" w:styleId="SubHeading2">
    <w:name w:val="SubHeading2"/>
    <w:basedOn w:val="HeadingBase"/>
    <w:rsid w:val="00304401"/>
    <w:pPr>
      <w:spacing w:before="240" w:after="60"/>
    </w:pPr>
    <w:rPr>
      <w:sz w:val="20"/>
    </w:rPr>
  </w:style>
  <w:style w:type="paragraph" w:customStyle="1" w:styleId="SubHeading1">
    <w:name w:val="SubHeading1"/>
    <w:basedOn w:val="HeadingBase"/>
    <w:rsid w:val="00304401"/>
    <w:pPr>
      <w:spacing w:before="240" w:after="60"/>
    </w:pPr>
    <w:rPr>
      <w:color w:val="918585"/>
      <w:sz w:val="22"/>
    </w:rPr>
  </w:style>
  <w:style w:type="paragraph" w:customStyle="1" w:styleId="SideHeading">
    <w:name w:val="Side Heading"/>
    <w:basedOn w:val="HeadingBase"/>
    <w:rsid w:val="00304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401"/>
    <w:pPr>
      <w:tabs>
        <w:tab w:val="num" w:pos="360"/>
      </w:tabs>
    </w:pPr>
  </w:style>
  <w:style w:type="paragraph" w:styleId="PlainText">
    <w:name w:val="Plain Text"/>
    <w:basedOn w:val="Normal"/>
    <w:link w:val="PlainTextChar"/>
    <w:rsid w:val="00304401"/>
    <w:rPr>
      <w:sz w:val="20"/>
    </w:rPr>
  </w:style>
  <w:style w:type="character" w:customStyle="1" w:styleId="PlainTextChar">
    <w:name w:val="Plain Text Char"/>
    <w:basedOn w:val="DefaultParagraphFont"/>
    <w:link w:val="PlainText"/>
    <w:rsid w:val="003044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4401"/>
    <w:rPr>
      <w:b/>
      <w:smallCaps/>
    </w:rPr>
  </w:style>
  <w:style w:type="paragraph" w:customStyle="1" w:styleId="TableListNumber">
    <w:name w:val="Table List Number"/>
    <w:basedOn w:val="ListNumber"/>
    <w:rsid w:val="00304401"/>
    <w:pPr>
      <w:numPr>
        <w:numId w:val="0"/>
      </w:numPr>
    </w:pPr>
  </w:style>
  <w:style w:type="paragraph" w:styleId="TOC4">
    <w:name w:val="toc 4"/>
    <w:basedOn w:val="TOCBase"/>
    <w:next w:val="Normal"/>
    <w:semiHidden/>
    <w:rsid w:val="00304401"/>
    <w:pPr>
      <w:tabs>
        <w:tab w:val="right" w:leader="dot" w:pos="9071"/>
      </w:tabs>
      <w:ind w:left="1701"/>
    </w:pPr>
  </w:style>
  <w:style w:type="paragraph" w:customStyle="1" w:styleId="ListAlpha">
    <w:name w:val="List Alpha"/>
    <w:basedOn w:val="List"/>
    <w:rsid w:val="00304401"/>
    <w:pPr>
      <w:numPr>
        <w:numId w:val="8"/>
      </w:numPr>
    </w:pPr>
  </w:style>
  <w:style w:type="paragraph" w:customStyle="1" w:styleId="ListAlpha2">
    <w:name w:val="List Alpha 2"/>
    <w:basedOn w:val="List2"/>
    <w:rsid w:val="00304401"/>
    <w:pPr>
      <w:numPr>
        <w:numId w:val="7"/>
      </w:numPr>
    </w:pPr>
  </w:style>
  <w:style w:type="paragraph" w:styleId="List3">
    <w:name w:val="List 3"/>
    <w:basedOn w:val="BodyText"/>
    <w:rsid w:val="00304401"/>
    <w:pPr>
      <w:tabs>
        <w:tab w:val="left" w:pos="1021"/>
      </w:tabs>
      <w:spacing w:before="60" w:after="60"/>
      <w:ind w:left="1020" w:hanging="340"/>
    </w:pPr>
  </w:style>
  <w:style w:type="paragraph" w:styleId="List4">
    <w:name w:val="List 4"/>
    <w:basedOn w:val="BodyText"/>
    <w:rsid w:val="00304401"/>
    <w:pPr>
      <w:tabs>
        <w:tab w:val="left" w:pos="1361"/>
      </w:tabs>
      <w:spacing w:before="60" w:after="60"/>
      <w:ind w:left="1361" w:hanging="340"/>
    </w:pPr>
  </w:style>
  <w:style w:type="paragraph" w:styleId="List5">
    <w:name w:val="List 5"/>
    <w:basedOn w:val="BodyText"/>
    <w:rsid w:val="00304401"/>
    <w:pPr>
      <w:tabs>
        <w:tab w:val="left" w:pos="1701"/>
      </w:tabs>
      <w:spacing w:before="60" w:after="60"/>
      <w:ind w:left="1701" w:hanging="340"/>
    </w:pPr>
  </w:style>
  <w:style w:type="paragraph" w:styleId="ListBullet3">
    <w:name w:val="List Bullet 3"/>
    <w:basedOn w:val="List3"/>
    <w:rsid w:val="00304401"/>
    <w:pPr>
      <w:numPr>
        <w:numId w:val="14"/>
      </w:numPr>
      <w:tabs>
        <w:tab w:val="clear" w:pos="1021"/>
      </w:tabs>
      <w:ind w:left="1037" w:hanging="357"/>
    </w:pPr>
  </w:style>
  <w:style w:type="paragraph" w:styleId="ListBullet4">
    <w:name w:val="List Bullet 4"/>
    <w:basedOn w:val="List4"/>
    <w:rsid w:val="00304401"/>
    <w:pPr>
      <w:numPr>
        <w:numId w:val="2"/>
      </w:numPr>
    </w:pPr>
  </w:style>
  <w:style w:type="paragraph" w:styleId="ListBullet5">
    <w:name w:val="List Bullet 5"/>
    <w:basedOn w:val="List5"/>
    <w:rsid w:val="00304401"/>
    <w:pPr>
      <w:numPr>
        <w:numId w:val="3"/>
      </w:numPr>
    </w:pPr>
  </w:style>
  <w:style w:type="paragraph" w:styleId="ListContinue2">
    <w:name w:val="List Continue 2"/>
    <w:basedOn w:val="List2"/>
    <w:rsid w:val="00304401"/>
    <w:pPr>
      <w:ind w:firstLine="0"/>
    </w:pPr>
  </w:style>
  <w:style w:type="paragraph" w:styleId="ListContinue3">
    <w:name w:val="List Continue 3"/>
    <w:basedOn w:val="List3"/>
    <w:rsid w:val="00304401"/>
    <w:pPr>
      <w:ind w:left="1021" w:firstLine="0"/>
    </w:pPr>
  </w:style>
  <w:style w:type="paragraph" w:styleId="ListContinue4">
    <w:name w:val="List Continue 4"/>
    <w:basedOn w:val="List4"/>
    <w:rsid w:val="00304401"/>
    <w:pPr>
      <w:ind w:firstLine="0"/>
    </w:pPr>
  </w:style>
  <w:style w:type="paragraph" w:styleId="ListContinue5">
    <w:name w:val="List Continue 5"/>
    <w:basedOn w:val="List5"/>
    <w:rsid w:val="00304401"/>
    <w:pPr>
      <w:ind w:firstLine="0"/>
    </w:pPr>
  </w:style>
  <w:style w:type="paragraph" w:styleId="ListNumber3">
    <w:name w:val="List Number 3"/>
    <w:basedOn w:val="List3"/>
    <w:rsid w:val="00304401"/>
    <w:pPr>
      <w:numPr>
        <w:numId w:val="4"/>
      </w:numPr>
    </w:pPr>
  </w:style>
  <w:style w:type="paragraph" w:styleId="ListNumber4">
    <w:name w:val="List Number 4"/>
    <w:basedOn w:val="List4"/>
    <w:rsid w:val="00304401"/>
    <w:pPr>
      <w:numPr>
        <w:numId w:val="5"/>
      </w:numPr>
    </w:pPr>
  </w:style>
  <w:style w:type="paragraph" w:styleId="ListNumber5">
    <w:name w:val="List Number 5"/>
    <w:basedOn w:val="List5"/>
    <w:rsid w:val="00304401"/>
    <w:pPr>
      <w:numPr>
        <w:numId w:val="6"/>
      </w:numPr>
    </w:pPr>
  </w:style>
  <w:style w:type="paragraph" w:styleId="BlockText">
    <w:name w:val="Block Text"/>
    <w:basedOn w:val="Normal"/>
    <w:rsid w:val="00304401"/>
    <w:pPr>
      <w:spacing w:after="120"/>
      <w:ind w:left="1440" w:right="1440"/>
    </w:pPr>
  </w:style>
  <w:style w:type="character" w:customStyle="1" w:styleId="Subscript">
    <w:name w:val="Subscript"/>
    <w:basedOn w:val="DefaultParagraphFont"/>
    <w:rsid w:val="00304401"/>
    <w:rPr>
      <w:sz w:val="16"/>
      <w:vertAlign w:val="subscript"/>
    </w:rPr>
  </w:style>
  <w:style w:type="character" w:customStyle="1" w:styleId="Superscript">
    <w:name w:val="Superscript"/>
    <w:basedOn w:val="DefaultParagraphFont"/>
    <w:rsid w:val="00304401"/>
    <w:rPr>
      <w:sz w:val="16"/>
      <w:vertAlign w:val="superscript"/>
    </w:rPr>
  </w:style>
  <w:style w:type="character" w:customStyle="1" w:styleId="Symbols">
    <w:name w:val="Symbols"/>
    <w:basedOn w:val="DefaultParagraphFont"/>
    <w:rsid w:val="00304401"/>
    <w:rPr>
      <w:rFonts w:ascii="Symbol" w:hAnsi="Symbol"/>
    </w:rPr>
  </w:style>
  <w:style w:type="character" w:customStyle="1" w:styleId="MenuOptions">
    <w:name w:val="Menu Options"/>
    <w:basedOn w:val="DefaultParagraphFont"/>
    <w:rsid w:val="00304401"/>
    <w:rPr>
      <w:rFonts w:ascii="Arial Narrow" w:hAnsi="Arial Narrow"/>
      <w:smallCaps/>
    </w:rPr>
  </w:style>
  <w:style w:type="character" w:customStyle="1" w:styleId="Buttons">
    <w:name w:val="Buttons"/>
    <w:basedOn w:val="DefaultParagraphFont"/>
    <w:rsid w:val="00304401"/>
    <w:rPr>
      <w:b/>
    </w:rPr>
  </w:style>
  <w:style w:type="character" w:customStyle="1" w:styleId="Underlined">
    <w:name w:val="Underlined"/>
    <w:basedOn w:val="DefaultParagraphFont"/>
    <w:rsid w:val="00304401"/>
    <w:rPr>
      <w:u w:val="single"/>
    </w:rPr>
  </w:style>
  <w:style w:type="paragraph" w:customStyle="1" w:styleId="TableBodyTextRight">
    <w:name w:val="Table Body Text Right"/>
    <w:basedOn w:val="TableBodyText"/>
    <w:rsid w:val="00304401"/>
    <w:pPr>
      <w:widowControl w:val="0"/>
      <w:autoSpaceDE w:val="0"/>
      <w:autoSpaceDN w:val="0"/>
      <w:adjustRightInd w:val="0"/>
      <w:jc w:val="right"/>
    </w:pPr>
    <w:rPr>
      <w:rFonts w:cs="Arial"/>
      <w:szCs w:val="18"/>
    </w:rPr>
  </w:style>
  <w:style w:type="paragraph" w:customStyle="1" w:styleId="CopyrightText">
    <w:name w:val="Copyright Text"/>
    <w:basedOn w:val="BodyText"/>
    <w:rsid w:val="00304401"/>
    <w:rPr>
      <w:sz w:val="18"/>
    </w:rPr>
  </w:style>
  <w:style w:type="paragraph" w:customStyle="1" w:styleId="BodySmallRight">
    <w:name w:val="Body Small Right"/>
    <w:basedOn w:val="BodyTextRight"/>
    <w:rsid w:val="00304401"/>
    <w:rPr>
      <w:sz w:val="18"/>
      <w:szCs w:val="18"/>
    </w:rPr>
  </w:style>
  <w:style w:type="paragraph" w:customStyle="1" w:styleId="MarginEdition">
    <w:name w:val="Margin Edition"/>
    <w:basedOn w:val="MarginNote"/>
    <w:rsid w:val="00304401"/>
    <w:pPr>
      <w:spacing w:before="0" w:after="0"/>
    </w:pPr>
    <w:rPr>
      <w:rFonts w:ascii="Times New Roman" w:hAnsi="Times New Roman"/>
      <w:color w:val="999999"/>
    </w:rPr>
  </w:style>
  <w:style w:type="paragraph" w:customStyle="1" w:styleId="Spacer">
    <w:name w:val="Spacer"/>
    <w:basedOn w:val="Normal"/>
    <w:rsid w:val="00304401"/>
    <w:rPr>
      <w:sz w:val="2"/>
      <w:szCs w:val="2"/>
    </w:rPr>
  </w:style>
  <w:style w:type="character" w:customStyle="1" w:styleId="Small">
    <w:name w:val="Small"/>
    <w:basedOn w:val="DefaultParagraphFont"/>
    <w:rsid w:val="00304401"/>
    <w:rPr>
      <w:sz w:val="16"/>
    </w:rPr>
  </w:style>
  <w:style w:type="paragraph" w:customStyle="1" w:styleId="WideTable">
    <w:name w:val="Wide Table"/>
    <w:basedOn w:val="Normal"/>
    <w:rsid w:val="00304401"/>
    <w:pPr>
      <w:ind w:left="-1418"/>
    </w:pPr>
    <w:rPr>
      <w:sz w:val="2"/>
      <w:szCs w:val="2"/>
    </w:rPr>
  </w:style>
  <w:style w:type="character" w:styleId="PageNumber">
    <w:name w:val="page number"/>
    <w:basedOn w:val="DefaultParagraphFont"/>
    <w:rsid w:val="00304401"/>
  </w:style>
  <w:style w:type="paragraph" w:styleId="Quote">
    <w:name w:val="Quote"/>
    <w:basedOn w:val="Heading1"/>
    <w:link w:val="QuoteChar"/>
    <w:qFormat/>
    <w:rsid w:val="00304401"/>
    <w:rPr>
      <w:b w:val="0"/>
      <w:sz w:val="72"/>
      <w:szCs w:val="72"/>
      <w:lang w:val="en-NZ"/>
    </w:rPr>
  </w:style>
  <w:style w:type="character" w:customStyle="1" w:styleId="QuoteChar">
    <w:name w:val="Quote Char"/>
    <w:basedOn w:val="DefaultParagraphFont"/>
    <w:link w:val="Quote"/>
    <w:rsid w:val="00304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401"/>
    <w:pPr>
      <w:pageBreakBefore/>
    </w:pPr>
  </w:style>
  <w:style w:type="paragraph" w:customStyle="1" w:styleId="Border">
    <w:name w:val="Border"/>
    <w:basedOn w:val="Normal"/>
    <w:qFormat/>
    <w:rsid w:val="00304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401"/>
    <w:rPr>
      <w:b/>
      <w:bCs/>
      <w:i/>
      <w:iCs/>
      <w:color w:val="auto"/>
    </w:rPr>
  </w:style>
  <w:style w:type="paragraph" w:styleId="IntenseQuote">
    <w:name w:val="Intense Quote"/>
    <w:basedOn w:val="Normal"/>
    <w:next w:val="Normal"/>
    <w:link w:val="IntenseQuoteChar"/>
    <w:uiPriority w:val="30"/>
    <w:qFormat/>
    <w:rsid w:val="00304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4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4401"/>
    <w:rPr>
      <w:smallCaps/>
      <w:color w:val="auto"/>
      <w:u w:val="single"/>
    </w:rPr>
  </w:style>
  <w:style w:type="character" w:styleId="IntenseReference">
    <w:name w:val="Intense Reference"/>
    <w:basedOn w:val="DefaultParagraphFont"/>
    <w:uiPriority w:val="32"/>
    <w:qFormat/>
    <w:rsid w:val="00304401"/>
    <w:rPr>
      <w:b/>
      <w:bCs/>
      <w:smallCaps/>
      <w:color w:val="auto"/>
      <w:spacing w:val="5"/>
      <w:u w:val="single"/>
    </w:rPr>
  </w:style>
  <w:style w:type="paragraph" w:customStyle="1" w:styleId="2ColumnHeading">
    <w:name w:val="2Column Heading"/>
    <w:basedOn w:val="BodyText"/>
    <w:qFormat/>
    <w:rsid w:val="00304401"/>
    <w:pPr>
      <w:spacing w:after="60"/>
      <w:ind w:left="-2268"/>
    </w:pPr>
    <w:rPr>
      <w:b/>
    </w:rPr>
  </w:style>
  <w:style w:type="paragraph" w:customStyle="1" w:styleId="Heading1TOC">
    <w:name w:val="Heading1 TOC"/>
    <w:basedOn w:val="Normal"/>
    <w:qFormat/>
    <w:rsid w:val="00304401"/>
    <w:pPr>
      <w:spacing w:before="240" w:after="120"/>
    </w:pPr>
    <w:rPr>
      <w:rFonts w:ascii="Times New Roman" w:hAnsi="Times New Roman"/>
      <w:b/>
      <w:sz w:val="32"/>
    </w:rPr>
  </w:style>
  <w:style w:type="paragraph" w:customStyle="1" w:styleId="Heading2TOC">
    <w:name w:val="Heading2 TOC"/>
    <w:basedOn w:val="Normal"/>
    <w:qFormat/>
    <w:rsid w:val="00304401"/>
    <w:pPr>
      <w:spacing w:before="240" w:after="60"/>
    </w:pPr>
    <w:rPr>
      <w:rFonts w:ascii="Times New Roman" w:hAnsi="Times New Roman"/>
      <w:b/>
      <w:sz w:val="28"/>
    </w:rPr>
  </w:style>
  <w:style w:type="character" w:customStyle="1" w:styleId="Underline">
    <w:name w:val="Underline"/>
    <w:basedOn w:val="DefaultParagraphFont"/>
    <w:qFormat/>
    <w:rsid w:val="00304401"/>
    <w:rPr>
      <w:u w:val="single"/>
    </w:rPr>
  </w:style>
  <w:style w:type="character" w:customStyle="1" w:styleId="BoldandItalics">
    <w:name w:val="Bold and Italics"/>
    <w:qFormat/>
    <w:rsid w:val="00304401"/>
    <w:rPr>
      <w:b/>
      <w:i/>
      <w:u w:val="none"/>
    </w:rPr>
  </w:style>
  <w:style w:type="paragraph" w:styleId="BalloonText">
    <w:name w:val="Balloon Text"/>
    <w:basedOn w:val="Normal"/>
    <w:link w:val="BalloonTextChar"/>
    <w:rsid w:val="00304401"/>
    <w:rPr>
      <w:rFonts w:ascii="Tahoma" w:hAnsi="Tahoma" w:cs="Tahoma"/>
      <w:sz w:val="16"/>
      <w:szCs w:val="16"/>
    </w:rPr>
  </w:style>
  <w:style w:type="character" w:customStyle="1" w:styleId="BalloonTextChar">
    <w:name w:val="Balloon Text Char"/>
    <w:basedOn w:val="DefaultParagraphFont"/>
    <w:link w:val="BalloonText"/>
    <w:rsid w:val="003044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44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44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990</Words>
  <Characters>6318</Characters>
  <Application>Microsoft Office Word</Application>
  <DocSecurity>0</DocSecurity>
  <Lines>217</Lines>
  <Paragraphs>90</Paragraphs>
  <ScaleCrop>false</ScaleCrop>
  <Company>Author-it Software Corporation Ltd.</Company>
  <LinksUpToDate>false</LinksUpToDate>
  <CharactersWithSpaces>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MEM12002B Perform electrical/electronic measurement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2012-05-27T01:43:00Z</dcterms:created>
  <dcterms:modified xsi:type="dcterms:W3CDTF">2012-05-27T01:43:00Z</dcterms:modified>
</cp:coreProperties>
</file>