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6CE9" w:rsidP="00146CE9">
      <w:pPr>
        <w:pStyle w:val="Title"/>
      </w:pPr>
      <w:bookmarkStart w:id="0" w:name="_GoBack"/>
      <w:bookmarkEnd w:id="0"/>
      <w:r>
        <w:fldChar w:fldCharType="begin"/>
      </w:r>
      <w:r>
        <w:instrText xml:space="preserve"> TITLE   \* MERGEFORMAT </w:instrText>
      </w:r>
      <w:r>
        <w:fldChar w:fldCharType="separate"/>
      </w:r>
      <w:r>
        <w:t>MEM11025A Operate a non-slewing mobile crane of greater than three tonnes capacity</w:t>
      </w:r>
      <w:r>
        <w:fldChar w:fldCharType="end"/>
      </w:r>
    </w:p>
    <w:p w:rsidR="00146CE9" w:rsidP="00146CE9">
      <w:pPr>
        <w:pStyle w:val="Version"/>
        <w:sectPr w:rsidSect="00CA3B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3BF1" w:rsidP="00CA3BF1">
      <w:pPr>
        <w:pStyle w:val="SuperHeading"/>
      </w:pPr>
      <w:r w:rsidRPr="00CA3BF1">
        <w:t>MEM11025A Operate a non-slewing mobile crane of greater than three tonnes capacity</w:t>
      </w:r>
    </w:p>
    <w:p w:rsidR="00000000" w:rsidRPr="00CA3BF1" w:rsidP="00CA3BF1">
      <w:pPr>
        <w:pStyle w:val="Heading1"/>
      </w:pPr>
      <w:bookmarkStart w:id="1" w:name="O_338170"/>
      <w:bookmarkEnd w:id="1"/>
      <w:r w:rsidRPr="00CA3BF1">
        <w:t>Modification History</w:t>
      </w:r>
    </w:p>
    <w:p w:rsidR="00000000" w:rsidRPr="00CA3BF1" w:rsidP="00CA3BF1">
      <w:pPr>
        <w:pStyle w:val="BodyText"/>
      </w:pPr>
      <w:r w:rsidRPr="00CA3BF1">
        <w:t>Not applicable.</w:t>
      </w:r>
    </w:p>
    <w:p w:rsidR="00000000" w:rsidRPr="00CA3BF1" w:rsidP="00CA3BF1">
      <w:pPr>
        <w:pStyle w:val="AllowPageBreak"/>
      </w:pPr>
    </w:p>
    <w:p w:rsidR="00000000" w:rsidRPr="00CA3BF1" w:rsidP="00CA3BF1">
      <w:pPr>
        <w:pStyle w:val="Heading1"/>
      </w:pPr>
      <w:bookmarkStart w:id="2" w:name="O_338171"/>
      <w:bookmarkEnd w:id="2"/>
      <w:r w:rsidRPr="00CA3BF1">
        <w:t>Unit Descript</w:t>
      </w:r>
      <w:r w:rsidRPr="00CA3BF1">
        <w:t>or</w:t>
      </w:r>
    </w:p>
    <w:tbl>
      <w:tblPr>
        <w:tblW w:w="0" w:type="auto"/>
        <w:tblCellMar>
          <w:left w:w="62" w:type="dxa"/>
          <w:right w:w="62" w:type="dxa"/>
        </w:tblCellMar>
        <w:tblLook w:val="0000"/>
      </w:tblPr>
      <w:tblGrid>
        <w:gridCol w:w="9196"/>
      </w:tblGrid>
      <w:tr w:rsidTr="00146CE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BF1" w:rsidP="00CA3BF1">
            <w:pPr>
              <w:pStyle w:val="BodyText"/>
            </w:pPr>
            <w:r w:rsidRPr="00CA3BF1">
              <w:t xml:space="preserve">This unit of competency applies to the operation of non-slewing mobile cranes of greater than three tonnes capacity that incorporate a boom or jib. The mobile cranes may be articulated or non-articulated truck or locomotive cranes.  </w:t>
            </w:r>
          </w:p>
        </w:tc>
      </w:tr>
    </w:tbl>
    <w:p w:rsidR="00000000" w:rsidRPr="00CA3BF1" w:rsidP="00CA3BF1">
      <w:pPr>
        <w:pStyle w:val="BodyText"/>
      </w:pPr>
    </w:p>
    <w:p w:rsidR="00000000" w:rsidRPr="00CA3BF1" w:rsidP="00CA3BF1">
      <w:pPr>
        <w:pStyle w:val="AllowPageBreak"/>
      </w:pPr>
    </w:p>
    <w:p w:rsidR="00000000" w:rsidRPr="00CA3BF1" w:rsidP="00CA3BF1">
      <w:pPr>
        <w:pStyle w:val="Heading1"/>
      </w:pPr>
      <w:bookmarkStart w:id="3" w:name="O_338172"/>
      <w:bookmarkEnd w:id="3"/>
      <w:r w:rsidRPr="00CA3BF1">
        <w:t>Application of the Unit</w:t>
      </w:r>
    </w:p>
    <w:tbl>
      <w:tblPr>
        <w:tblW w:w="0" w:type="auto"/>
        <w:tblCellMar>
          <w:left w:w="62" w:type="dxa"/>
          <w:right w:w="62" w:type="dxa"/>
        </w:tblCellMar>
        <w:tblLook w:val="0000"/>
      </w:tblPr>
      <w:tblGrid>
        <w:gridCol w:w="9196"/>
      </w:tblGrid>
      <w:tr w:rsidTr="00146CE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BF1" w:rsidP="00CA3BF1">
            <w:pPr>
              <w:pStyle w:val="BodyText"/>
            </w:pPr>
            <w:r w:rsidRPr="00CA3BF1">
              <w:t>This unit applies to the operation of non-slewing mobile cranes of over three tonnes capacity in a manufacturing environment. The cranes are often referred to as yard cranes and require the crane to be moved for positioning in lifti</w:t>
            </w:r>
            <w:r w:rsidRPr="00CA3BF1">
              <w:t>ng and lowering loads. The unit can also be used to cover the operation of a non-slewing crane mounted on a self-propelled or locomotive drawn rail vehicle inside a large manufacturing enterprise.</w:t>
            </w:r>
          </w:p>
          <w:p w:rsidR="00000000" w:rsidRPr="00CA3BF1" w:rsidP="00CA3BF1">
            <w:pPr>
              <w:pStyle w:val="BodyText"/>
            </w:pPr>
            <w:r w:rsidRPr="00CA3BF1">
              <w:t>The unit requires the operator to plan the work, conduct ro</w:t>
            </w:r>
            <w:r w:rsidRPr="00CA3BF1">
              <w:t>utine checks, set up the crane and coordinate with other employees (including truck drivers, production staff and stores staff) transfer loads, and shut down and secure the crane.</w:t>
            </w:r>
          </w:p>
          <w:p w:rsidR="00000000" w:rsidRPr="00CA3BF1" w:rsidP="00CA3BF1">
            <w:pPr>
              <w:pStyle w:val="BodyText"/>
            </w:pPr>
            <w:r w:rsidRPr="00CA3BF1">
              <w:t>This unit is not recognised by regulators for licensing requirements. In ord</w:t>
            </w:r>
            <w:r w:rsidRPr="00CA3BF1">
              <w:t>er to satisfy licensing requirements, the imported unit TLILIC3006A Licence to operate a non-slewing mobile crane (greater than three tonnes capacity) will be required.</w:t>
            </w:r>
          </w:p>
          <w:p w:rsidR="00000000" w:rsidRPr="00CA3BF1" w:rsidP="00CA3BF1">
            <w:pPr>
              <w:pStyle w:val="BodyText"/>
            </w:pPr>
            <w:r w:rsidRPr="00CA3BF1">
              <w:t>Band</w:t>
            </w:r>
            <w:r w:rsidRPr="00CA3BF1">
              <w:tab/>
              <w:t>A</w:t>
            </w:r>
          </w:p>
          <w:p w:rsidR="00000000" w:rsidRPr="00CA3BF1" w:rsidP="00CA3BF1">
            <w:pPr>
              <w:pStyle w:val="BodyText"/>
            </w:pPr>
            <w:r w:rsidRPr="00CA3BF1">
              <w:t xml:space="preserve">Unit Weight </w:t>
            </w:r>
            <w:r w:rsidRPr="00CA3BF1">
              <w:tab/>
              <w:t>4</w:t>
            </w:r>
          </w:p>
        </w:tc>
      </w:tr>
    </w:tbl>
    <w:p w:rsidR="00000000" w:rsidRPr="00CA3BF1" w:rsidP="00CA3BF1">
      <w:pPr>
        <w:pStyle w:val="BodyText"/>
      </w:pPr>
    </w:p>
    <w:p w:rsidR="00000000" w:rsidRPr="00CA3BF1" w:rsidP="00CA3BF1">
      <w:pPr>
        <w:pStyle w:val="AllowPageBreak"/>
      </w:pPr>
    </w:p>
    <w:p w:rsidR="00000000" w:rsidRPr="00CA3BF1" w:rsidP="00CA3BF1">
      <w:pPr>
        <w:pStyle w:val="Heading1"/>
      </w:pPr>
      <w:bookmarkStart w:id="4" w:name="O_338173"/>
      <w:bookmarkEnd w:id="4"/>
      <w:r w:rsidRPr="00CA3BF1">
        <w:t>Licensing/Regulatory Information</w:t>
      </w:r>
    </w:p>
    <w:p w:rsidR="00000000" w:rsidRPr="00CA3BF1" w:rsidP="00CA3BF1">
      <w:pPr>
        <w:pStyle w:val="BodyText"/>
      </w:pPr>
      <w:r w:rsidRPr="00CA3BF1">
        <w:t>Not applicabl</w:t>
      </w:r>
      <w:r w:rsidRPr="00CA3BF1">
        <w:t>e.</w:t>
      </w:r>
    </w:p>
    <w:p w:rsidR="00000000" w:rsidRPr="00CA3BF1" w:rsidP="00CA3BF1">
      <w:pPr>
        <w:pStyle w:val="AllowPageBreak"/>
      </w:pPr>
    </w:p>
    <w:p w:rsidR="00000000" w:rsidRPr="00CA3BF1" w:rsidP="00CA3BF1">
      <w:pPr>
        <w:pStyle w:val="Heading1"/>
      </w:pPr>
      <w:bookmarkStart w:id="5" w:name="O_338174"/>
      <w:bookmarkEnd w:id="5"/>
      <w:r w:rsidRPr="00CA3BF1">
        <w:t>Pre-Requisites</w:t>
      </w:r>
    </w:p>
    <w:p w:rsidR="00000000" w:rsidRPr="00CA3BF1" w:rsidP="00CA3BF1">
      <w:pPr>
        <w:pStyle w:val="BodyText"/>
      </w:pPr>
      <w:r w:rsidRPr="00CA3BF1">
        <w:t>Not applicable.</w:t>
      </w:r>
    </w:p>
    <w:p w:rsidR="00000000" w:rsidRPr="00CA3BF1" w:rsidP="00CA3BF1">
      <w:pPr>
        <w:pStyle w:val="AllowPageBreak"/>
      </w:pPr>
    </w:p>
    <w:p w:rsidR="00000000" w:rsidRPr="00CA3BF1" w:rsidP="00CA3BF1">
      <w:pPr>
        <w:pStyle w:val="Heading1"/>
      </w:pPr>
      <w:bookmarkStart w:id="6" w:name="O_338175"/>
      <w:bookmarkEnd w:id="6"/>
      <w:r w:rsidRPr="00CA3BF1">
        <w:t>Employability Skills Information</w:t>
      </w:r>
    </w:p>
    <w:p w:rsidR="00000000" w:rsidRPr="00CA3BF1" w:rsidP="00CA3BF1">
      <w:pPr>
        <w:pStyle w:val="BodyText"/>
      </w:pPr>
      <w:r w:rsidRPr="00CA3BF1">
        <w:t>This unit contains employability skills</w:t>
      </w:r>
    </w:p>
    <w:p w:rsidR="00000000" w:rsidRPr="00CA3BF1" w:rsidP="00CA3BF1">
      <w:pPr>
        <w:pStyle w:val="AllowPageBreak"/>
      </w:pPr>
    </w:p>
    <w:p w:rsidR="00000000" w:rsidRPr="00CA3BF1" w:rsidP="00CA3BF1">
      <w:pPr>
        <w:pStyle w:val="Heading1"/>
      </w:pPr>
      <w:bookmarkStart w:id="7" w:name="O_338176"/>
      <w:bookmarkEnd w:id="7"/>
      <w:r w:rsidRPr="00CA3BF1">
        <w:t>Elements and Performance Criteria Pre-Content</w:t>
      </w:r>
    </w:p>
    <w:p w:rsidR="00000000" w:rsidRPr="00CA3BF1" w:rsidP="00CA3BF1">
      <w:pPr>
        <w:pStyle w:val="BodyText"/>
      </w:pPr>
      <w:r w:rsidRPr="00CA3BF1">
        <w:t>Not applicable.</w:t>
      </w:r>
    </w:p>
    <w:p w:rsidR="00000000" w:rsidRPr="00CA3BF1" w:rsidP="00CA3BF1">
      <w:pPr>
        <w:pStyle w:val="AllowPageBreak"/>
      </w:pPr>
    </w:p>
    <w:p w:rsidR="00000000" w:rsidRPr="00CA3BF1" w:rsidP="00CA3BF1">
      <w:pPr>
        <w:pStyle w:val="Heading1"/>
      </w:pPr>
      <w:bookmarkStart w:id="8" w:name="O_338177"/>
      <w:bookmarkEnd w:id="8"/>
      <w:r w:rsidRPr="00CA3BF1">
        <w:t>Elements and Performance Criteria</w:t>
      </w:r>
    </w:p>
    <w:tbl>
      <w:tblPr>
        <w:tblW w:w="0" w:type="auto"/>
        <w:tblCellMar>
          <w:left w:w="62" w:type="dxa"/>
          <w:right w:w="62" w:type="dxa"/>
        </w:tblCellMar>
        <w:tblLook w:val="0000"/>
      </w:tblPr>
      <w:tblGrid>
        <w:gridCol w:w="577"/>
        <w:gridCol w:w="2630"/>
        <w:gridCol w:w="513"/>
        <w:gridCol w:w="5476"/>
      </w:tblGrid>
      <w:tr w:rsidTr="00146CE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A3BF1" w:rsidP="00CA3BF1">
            <w:pPr>
              <w:pStyle w:val="BodyText"/>
            </w:pPr>
            <w:r w:rsidRPr="00CA3BF1">
              <w:t>1</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CA3BF1" w:rsidP="00CA3BF1">
            <w:pPr>
              <w:pStyle w:val="BodyText"/>
            </w:pPr>
            <w:r w:rsidRPr="00CA3BF1">
              <w:t xml:space="preserve">Plan 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1.1</w:t>
            </w: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Potential workplace hazards are identified</w:t>
            </w:r>
          </w:p>
        </w:tc>
      </w:tr>
      <w:tr w:rsidTr="00146C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1.2</w:t>
            </w: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Hazard control measures are identified consistent with appropriate standards to ensure the safety of personnel and equipment</w:t>
            </w:r>
          </w:p>
        </w:tc>
      </w:tr>
      <w:tr w:rsidTr="00146C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1.3</w:t>
            </w: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Requirement for load lifting and/or transfer is obtained according to procedures</w:t>
            </w:r>
          </w:p>
        </w:tc>
      </w:tr>
      <w:tr w:rsidTr="00146C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1.4</w:t>
            </w: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The weight of the load is identified and estimated in consultation with associated personnel</w:t>
            </w:r>
          </w:p>
        </w:tc>
      </w:tr>
      <w:tr w:rsidTr="00146C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1.5</w:t>
            </w: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Crane is assessed as appropriate to the load and workplace condition</w:t>
            </w:r>
            <w:r w:rsidRPr="00CA3BF1">
              <w:t>s</w:t>
            </w:r>
          </w:p>
        </w:tc>
      </w:tr>
      <w:tr w:rsidTr="00146C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1.6</w:t>
            </w: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An appropriate path for the movement of loads in the work area is inspected and determined</w:t>
            </w:r>
          </w:p>
        </w:tc>
      </w:tr>
      <w:tr w:rsidTr="00146C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1.7</w:t>
            </w: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Appropriate communication methods are identified with associated personnel</w:t>
            </w:r>
          </w:p>
        </w:tc>
      </w:tr>
      <w:tr w:rsidTr="00146CE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A3BF1" w:rsidP="00CA3BF1">
            <w:pPr>
              <w:pStyle w:val="BodyText"/>
            </w:pPr>
            <w:r w:rsidRPr="00CA3BF1">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CA3BF1" w:rsidP="00CA3BF1">
            <w:pPr>
              <w:pStyle w:val="BodyText"/>
            </w:pPr>
            <w:r w:rsidRPr="00CA3BF1">
              <w:t>Conduct routine checks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2.1</w:t>
            </w: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Crane is visually checked for any damage or defects</w:t>
            </w:r>
          </w:p>
        </w:tc>
      </w:tr>
      <w:tr w:rsidTr="00146C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2.2</w:t>
            </w: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Crane is accessed in a safe manner</w:t>
            </w:r>
          </w:p>
        </w:tc>
      </w:tr>
      <w:tr w:rsidTr="00146C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2.3</w:t>
            </w: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All signage and labels are visible and legible according to the appropriate standard</w:t>
            </w:r>
          </w:p>
        </w:tc>
      </w:tr>
      <w:tr w:rsidTr="00146C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2.4</w:t>
            </w: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Routine pre-operational crane checks are carried out according to procedures</w:t>
            </w:r>
          </w:p>
        </w:tc>
      </w:tr>
      <w:tr w:rsidTr="00146C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2.5</w:t>
            </w: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All controls are located and identified</w:t>
            </w:r>
          </w:p>
        </w:tc>
      </w:tr>
      <w:tr w:rsidTr="00146C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2.6</w:t>
            </w: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Crane service logbook is checked for compliance</w:t>
            </w:r>
          </w:p>
        </w:tc>
      </w:tr>
      <w:tr w:rsidTr="00146C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2.7</w:t>
            </w: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Crane is started according to procedures and checked for any abnormal noises</w:t>
            </w:r>
          </w:p>
        </w:tc>
      </w:tr>
      <w:tr w:rsidTr="00146C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2.8</w:t>
            </w: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All crane safety devices are tested according to procedures</w:t>
            </w:r>
          </w:p>
        </w:tc>
      </w:tr>
      <w:tr w:rsidTr="00146C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2.9</w:t>
            </w: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Post-start operational checks are carried out according to procedures</w:t>
            </w:r>
          </w:p>
        </w:tc>
      </w:tr>
      <w:tr w:rsidTr="00146C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2.10</w:t>
            </w: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All communication equipment</w:t>
            </w:r>
            <w:r w:rsidRPr="00CA3BF1">
              <w:t xml:space="preserve"> is checked for serviceability</w:t>
            </w:r>
          </w:p>
        </w:tc>
      </w:tr>
      <w:tr w:rsidTr="00146C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2.11</w:t>
            </w: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All damage and defects are reported and recorded according to procedures, and appropriate action is taken</w:t>
            </w:r>
          </w:p>
        </w:tc>
      </w:tr>
      <w:tr w:rsidTr="00146CE9">
        <w:tblPrEx>
          <w:tblW w:w="0" w:type="auto"/>
          <w:tblCellMar>
            <w:left w:w="62" w:type="dxa"/>
            <w:right w:w="62" w:type="dxa"/>
          </w:tblCellMar>
          <w:tblLook w:val="0000"/>
        </w:tblPrEx>
        <w:trPr>
          <w:trHeight w:val="361"/>
        </w:trPr>
        <w:tc>
          <w:tcPr>
            <w:tcW w:w="0" w:type="auto"/>
            <w:vMerge w:val="restart"/>
            <w:tcBorders>
              <w:top w:val="nil"/>
              <w:left w:val="nil"/>
              <w:bottom w:val="nil"/>
              <w:right w:val="nil"/>
            </w:tcBorders>
            <w:tcMar>
              <w:top w:w="0" w:type="dxa"/>
              <w:left w:w="62" w:type="dxa"/>
              <w:bottom w:w="0" w:type="dxa"/>
              <w:right w:w="62" w:type="dxa"/>
            </w:tcMar>
          </w:tcPr>
          <w:p w:rsidR="00000000" w:rsidRPr="00CA3BF1" w:rsidP="00CA3BF1">
            <w:pPr>
              <w:pStyle w:val="BodyText"/>
            </w:pPr>
            <w:r w:rsidRPr="00CA3BF1">
              <w:t>3</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CA3BF1" w:rsidP="00CA3BF1">
            <w:pPr>
              <w:pStyle w:val="BodyText"/>
            </w:pPr>
            <w:r w:rsidRPr="00CA3BF1">
              <w:t>Set up crane</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3.1</w:t>
            </w: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Ground suitability is checked</w:t>
            </w:r>
          </w:p>
        </w:tc>
      </w:tr>
      <w:tr w:rsidTr="00146C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3.2</w:t>
            </w: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Crane is driven to the work area accordi</w:t>
            </w:r>
            <w:r w:rsidRPr="00CA3BF1">
              <w:t>ng to procedures</w:t>
            </w:r>
          </w:p>
        </w:tc>
      </w:tr>
      <w:tr w:rsidTr="00146C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3.3</w:t>
            </w: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Crane is positioned for work application and stability according to procedures</w:t>
            </w:r>
          </w:p>
        </w:tc>
      </w:tr>
      <w:tr w:rsidTr="00146C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3.4</w:t>
            </w: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 xml:space="preserve">Appropriate crane configuration for work task is determined according to procedures </w:t>
            </w:r>
          </w:p>
        </w:tc>
      </w:tr>
      <w:tr w:rsidTr="00146C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3.5</w:t>
            </w: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Boom or jib and counterweight configuration data is in</w:t>
            </w:r>
            <w:r w:rsidRPr="00CA3BF1">
              <w:t>put into the crane computer, where applicable</w:t>
            </w:r>
          </w:p>
        </w:tc>
      </w:tr>
      <w:tr w:rsidTr="00146C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3.6</w:t>
            </w: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Appropriate hazard prevention or control measures are applied to the work area according to procedures</w:t>
            </w:r>
          </w:p>
        </w:tc>
      </w:tr>
      <w:tr w:rsidTr="00146C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3.7</w:t>
            </w: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All communications equipment is tested for functionality</w:t>
            </w:r>
          </w:p>
        </w:tc>
      </w:tr>
      <w:tr w:rsidTr="00146CE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A3BF1" w:rsidP="00CA3BF1">
            <w:pPr>
              <w:pStyle w:val="BodyText"/>
            </w:pPr>
            <w:r w:rsidRPr="00CA3BF1">
              <w:t>4</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CA3BF1" w:rsidP="00CA3BF1">
            <w:pPr>
              <w:pStyle w:val="BodyText"/>
            </w:pPr>
            <w:r w:rsidRPr="00CA3BF1">
              <w:t>Lift and transfer load</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4.1</w:t>
            </w: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Lifts are determined within the capacity of the crane and environmental conditions</w:t>
            </w:r>
          </w:p>
        </w:tc>
      </w:tr>
      <w:tr w:rsidTr="00146C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4.2</w:t>
            </w: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Boom or jib and hoist block is positioned over load following directions from associated personnel</w:t>
            </w:r>
          </w:p>
        </w:tc>
      </w:tr>
      <w:tr w:rsidTr="00146C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4.3</w:t>
            </w: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 xml:space="preserve">Test lift is carried out according to procedures </w:t>
            </w:r>
          </w:p>
        </w:tc>
      </w:tr>
      <w:tr w:rsidTr="00146C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4.4</w:t>
            </w: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Loads are lifted and where required transferred or mobiled using all relevant crane movements according to procedures and the appropriate standard</w:t>
            </w:r>
          </w:p>
        </w:tc>
      </w:tr>
      <w:tr w:rsidTr="00146C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4.5</w:t>
            </w: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Appropriate path is followed where load is transferred or mobiled</w:t>
            </w:r>
          </w:p>
        </w:tc>
      </w:tr>
      <w:tr w:rsidTr="00146C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4.6</w:t>
            </w: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All required communication signals are correctly interpreted according to procedures and the appropriate standard</w:t>
            </w:r>
          </w:p>
        </w:tc>
      </w:tr>
      <w:tr w:rsidTr="00146C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4.7</w:t>
            </w: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 xml:space="preserve">Load movement is monitored constantly ensuring safety to personnel and stability of load and crane </w:t>
            </w:r>
          </w:p>
        </w:tc>
      </w:tr>
      <w:tr w:rsidTr="00146C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4.8</w:t>
            </w: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Unplanned and unsafe situati</w:t>
            </w:r>
            <w:r w:rsidRPr="00CA3BF1">
              <w:t>ons are responded to in line with procedures</w:t>
            </w:r>
          </w:p>
        </w:tc>
      </w:tr>
      <w:tr w:rsidTr="00146CE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A3BF1" w:rsidP="00CA3BF1">
            <w:pPr>
              <w:pStyle w:val="BodyText"/>
            </w:pPr>
            <w:r w:rsidRPr="00CA3BF1">
              <w:t>5</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CA3BF1" w:rsidP="00CA3BF1">
            <w:pPr>
              <w:pStyle w:val="BodyText"/>
            </w:pPr>
            <w:r w:rsidRPr="00CA3BF1">
              <w:t>Shut down and secure crane</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5.1</w:t>
            </w: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Crane boom or jib and associated equipment is stowed and secured according to procedures and the appropriate standard</w:t>
            </w:r>
          </w:p>
        </w:tc>
      </w:tr>
      <w:tr w:rsidTr="00146C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5.2</w:t>
            </w: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Relevant motion locks and brakes are applied, where applicable</w:t>
            </w:r>
          </w:p>
        </w:tc>
      </w:tr>
      <w:tr w:rsidTr="00146C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5.3</w:t>
            </w: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Outriggers/stabilisers are stowed and secured according to procedures, where applicable</w:t>
            </w:r>
          </w:p>
        </w:tc>
      </w:tr>
      <w:tr w:rsidTr="00146C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5.4</w:t>
            </w: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Crane is shut down according to procedures</w:t>
            </w:r>
          </w:p>
        </w:tc>
      </w:tr>
      <w:tr w:rsidTr="00146C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5.5</w:t>
            </w: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Routine post-operational crane checks are carried out according to procedures</w:t>
            </w:r>
          </w:p>
        </w:tc>
      </w:tr>
      <w:tr w:rsidTr="00146C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5.6</w:t>
            </w: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Plates or packing are stowed and secured, where applicable</w:t>
            </w:r>
          </w:p>
        </w:tc>
      </w:tr>
      <w:tr w:rsidTr="00146C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3BF1">
            <w:pPr>
              <w:pStyle w:val="BodyText"/>
              <w:rPr>
                <w:lang w:val="en-NZ"/>
              </w:rPr>
            </w:pPr>
            <w:r w:rsidRPr="00CA3BF1">
              <w:t>5.7</w:t>
            </w:r>
          </w:p>
        </w:tc>
        <w:tc>
          <w:tcPr>
            <w:tcW w:w="0" w:type="auto"/>
            <w:tcBorders>
              <w:top w:val="nil"/>
              <w:left w:val="nil"/>
              <w:bottom w:val="nil"/>
              <w:right w:val="nil"/>
            </w:tcBorders>
            <w:tcMar>
              <w:top w:w="0" w:type="dxa"/>
              <w:left w:w="62" w:type="dxa"/>
              <w:bottom w:w="0" w:type="dxa"/>
              <w:right w:w="62" w:type="dxa"/>
            </w:tcMar>
          </w:tcPr>
          <w:p w:rsidR="00000000" w:rsidRPr="00CA3BF1" w:rsidP="00CA3BF1">
            <w:pPr>
              <w:pStyle w:val="BodyText"/>
            </w:pPr>
            <w:r w:rsidRPr="00CA3BF1">
              <w:t>All damage and defects are recorded and reported according to procedures, and appropriate action is taken</w:t>
            </w:r>
          </w:p>
        </w:tc>
      </w:tr>
    </w:tbl>
    <w:p w:rsidR="00000000" w:rsidRPr="00CA3BF1" w:rsidP="00CA3BF1">
      <w:pPr>
        <w:pStyle w:val="BodyText"/>
      </w:pPr>
    </w:p>
    <w:p w:rsidR="00000000" w:rsidRPr="00CA3BF1" w:rsidP="00CA3BF1">
      <w:pPr>
        <w:pStyle w:val="AllowPageBreak"/>
      </w:pPr>
    </w:p>
    <w:p w:rsidR="00000000" w:rsidRPr="00CA3BF1" w:rsidP="00CA3BF1">
      <w:pPr>
        <w:pStyle w:val="Heading1"/>
      </w:pPr>
      <w:bookmarkStart w:id="9" w:name="O_338178"/>
      <w:bookmarkEnd w:id="9"/>
      <w:r w:rsidRPr="00CA3BF1">
        <w:t>Required Skills and Knowledge</w:t>
      </w:r>
    </w:p>
    <w:tbl>
      <w:tblPr>
        <w:tblW w:w="0" w:type="auto"/>
        <w:tblCellMar>
          <w:left w:w="62" w:type="dxa"/>
          <w:right w:w="62" w:type="dxa"/>
        </w:tblCellMar>
        <w:tblLook w:val="0000"/>
      </w:tblPr>
      <w:tblGrid>
        <w:gridCol w:w="9196"/>
      </w:tblGrid>
      <w:tr w:rsidTr="00146CE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BF1" w:rsidP="00CA3BF1">
            <w:pPr>
              <w:pStyle w:val="BodyText"/>
            </w:pPr>
            <w:r w:rsidRPr="00CA3BF1">
              <w:t>Required knowledge includes:</w:t>
            </w:r>
          </w:p>
          <w:p w:rsidR="00000000" w:rsidRPr="00CA3BF1" w:rsidP="00CA3BF1">
            <w:pPr>
              <w:pStyle w:val="ListBullet"/>
            </w:pPr>
            <w:r w:rsidRPr="00CA3BF1">
              <w:t>appropriate mathematical procedures for estimation and measurement of loads</w:t>
            </w:r>
          </w:p>
          <w:p w:rsidR="00000000" w:rsidRPr="00CA3BF1" w:rsidP="00CA3BF1">
            <w:pPr>
              <w:pStyle w:val="ListBullet"/>
            </w:pPr>
            <w:r w:rsidRPr="00CA3BF1">
              <w:t>federal, state or territory occupational health and safety (OHS) legislation, standards and codes of practice relevant to the full range of processes for the crane class</w:t>
            </w:r>
          </w:p>
          <w:p w:rsidR="00000000" w:rsidRPr="00CA3BF1" w:rsidP="00CA3BF1">
            <w:pPr>
              <w:pStyle w:val="ListBullet"/>
            </w:pPr>
            <w:r w:rsidRPr="00CA3BF1">
              <w:t>crane characteristics and capabilities, including use of load charts, to allow the con</w:t>
            </w:r>
            <w:r w:rsidRPr="00CA3BF1">
              <w:t>figuration of the crane to suit the range of loads</w:t>
            </w:r>
          </w:p>
          <w:p w:rsidR="00000000" w:rsidRPr="00CA3BF1" w:rsidP="00CA3BF1">
            <w:pPr>
              <w:pStyle w:val="ListBullet"/>
            </w:pPr>
            <w:r w:rsidRPr="00CA3BF1">
              <w:t>the hierarchy of hazard identification and control</w:t>
            </w:r>
          </w:p>
          <w:p w:rsidR="00000000" w:rsidRPr="00CA3BF1" w:rsidP="00CA3BF1">
            <w:pPr>
              <w:pStyle w:val="ListBullet"/>
            </w:pPr>
            <w:r w:rsidRPr="00CA3BF1">
              <w:t>organisational and workplace standards, requirements, policies and procedures for conducting operations for the crane class</w:t>
            </w:r>
          </w:p>
          <w:p w:rsidR="00000000" w:rsidRPr="00CA3BF1" w:rsidP="00CA3BF1">
            <w:pPr>
              <w:pStyle w:val="ListBullet"/>
            </w:pPr>
            <w:r w:rsidRPr="00CA3BF1">
              <w:t xml:space="preserve">procedures for the recording, </w:t>
            </w:r>
            <w:r w:rsidRPr="00CA3BF1">
              <w:t>reporting and maintenance of workplace records and information</w:t>
            </w:r>
          </w:p>
          <w:p w:rsidR="00000000" w:rsidRPr="00CA3BF1" w:rsidP="00CA3BF1">
            <w:pPr>
              <w:pStyle w:val="ListBullet"/>
            </w:pPr>
            <w:r w:rsidRPr="00CA3BF1">
              <w:t>typical routine problems encountered in the operation of the crane and equipment and adjustments required for correction</w:t>
            </w:r>
          </w:p>
          <w:p w:rsidR="00000000" w:rsidRPr="00CA3BF1" w:rsidP="00CA3BF1">
            <w:pPr>
              <w:pStyle w:val="BodyText"/>
            </w:pPr>
            <w:r w:rsidRPr="00CA3BF1">
              <w:t>Required skills include:</w:t>
            </w:r>
          </w:p>
          <w:p w:rsidR="00000000" w:rsidRPr="00CA3BF1" w:rsidP="00CA3BF1">
            <w:pPr>
              <w:pStyle w:val="ListBullet"/>
            </w:pPr>
            <w:r w:rsidRPr="00CA3BF1">
              <w:t>accurately recording and maintaining informatio</w:t>
            </w:r>
            <w:r w:rsidRPr="00CA3BF1">
              <w:t>n relating to crane operations</w:t>
            </w:r>
          </w:p>
          <w:p w:rsidR="00000000" w:rsidRPr="00CA3BF1" w:rsidP="00CA3BF1">
            <w:pPr>
              <w:pStyle w:val="ListBullet"/>
            </w:pPr>
            <w:r w:rsidRPr="00CA3BF1">
              <w:t>using communication techniques in the workplace, including whistles, hand signals and two-way radios</w:t>
            </w:r>
          </w:p>
          <w:p w:rsidR="00000000" w:rsidRPr="00CA3BF1" w:rsidP="00CA3BF1">
            <w:pPr>
              <w:pStyle w:val="ListBullet"/>
            </w:pPr>
            <w:r w:rsidRPr="00CA3BF1">
              <w:t>using interpersonal communication skills at a level sufficient to communicate with other site personnel</w:t>
            </w:r>
          </w:p>
          <w:p w:rsidR="00000000" w:rsidRPr="00CA3BF1" w:rsidP="00CA3BF1">
            <w:pPr>
              <w:pStyle w:val="ListBullet"/>
            </w:pPr>
            <w:r w:rsidRPr="00CA3BF1">
              <w:t>assessing ground con</w:t>
            </w:r>
            <w:r w:rsidRPr="00CA3BF1">
              <w:t>ditions to confirm that the site is suitable (e.g. firm, level and safe) to operate crane</w:t>
            </w:r>
          </w:p>
          <w:p w:rsidR="00000000" w:rsidRPr="00CA3BF1" w:rsidP="00CA3BF1">
            <w:pPr>
              <w:pStyle w:val="ListBullet"/>
            </w:pPr>
            <w:r w:rsidRPr="00CA3BF1">
              <w:t>liaising with others to ensure crane working combines efficiently with other enterprise operations (e.g. production, receiving or despatch activities)</w:t>
            </w:r>
          </w:p>
          <w:p w:rsidR="00000000" w:rsidRPr="00CA3BF1" w:rsidP="00CA3BF1">
            <w:pPr>
              <w:pStyle w:val="ListBullet"/>
            </w:pPr>
            <w:r w:rsidRPr="00CA3BF1">
              <w:t>operating crane</w:t>
            </w:r>
            <w:r w:rsidRPr="00CA3BF1">
              <w:t>, including all functions to their maximum extension in the lifting and moving of loads to the safe working rated capacity, in conjunction with other associated personnel</w:t>
            </w:r>
          </w:p>
          <w:p w:rsidR="00000000" w:rsidRPr="00CA3BF1" w:rsidP="00CA3BF1">
            <w:pPr>
              <w:pStyle w:val="ListBullet"/>
            </w:pPr>
            <w:r w:rsidRPr="00CA3BF1">
              <w:t>undertaking mobile load transfers where load is lifted and transferred to a different</w:t>
            </w:r>
            <w:r w:rsidRPr="00CA3BF1">
              <w:t xml:space="preserve"> location by the crane</w:t>
            </w:r>
          </w:p>
          <w:p w:rsidR="00000000" w:rsidRPr="00CA3BF1" w:rsidP="00CA3BF1">
            <w:pPr>
              <w:pStyle w:val="ListBullet"/>
            </w:pPr>
            <w:r w:rsidRPr="00CA3BF1">
              <w:t>applying risk assessment and hazard control strategies, including hierarchy of control as applied to the positioning and safe operation of the crane, in particular, awareness of the risks associated with overhead powerlines/electrica</w:t>
            </w:r>
            <w:r w:rsidRPr="00CA3BF1">
              <w:t>l cables, ground conditions, crane tipping and demolition sites</w:t>
            </w:r>
          </w:p>
          <w:p w:rsidR="00000000" w:rsidRPr="00CA3BF1" w:rsidP="00CA3BF1">
            <w:pPr>
              <w:pStyle w:val="ListBullet"/>
            </w:pPr>
            <w:r w:rsidRPr="00CA3BF1">
              <w:t>using and interpreting crane manufacturer specifications and data, including load charts, to enable the crane to be configured for the load</w:t>
            </w:r>
          </w:p>
          <w:p w:rsidR="00000000" w:rsidRPr="00CA3BF1" w:rsidP="00CA3BF1">
            <w:pPr>
              <w:pStyle w:val="ListBullet"/>
            </w:pPr>
            <w:r w:rsidRPr="00CA3BF1">
              <w:t>verifying problems and equipment faults and demonstr</w:t>
            </w:r>
            <w:r w:rsidRPr="00CA3BF1">
              <w:t>ating appropriate response procedures</w:t>
            </w:r>
          </w:p>
          <w:p w:rsidR="00000000" w:rsidRPr="00CA3BF1" w:rsidP="00CA3BF1">
            <w:pPr>
              <w:pStyle w:val="ListBullet"/>
            </w:pPr>
            <w:r w:rsidRPr="00CA3BF1">
              <w:t>reading and comprehending manufacturer instructions, procedures and safety signs</w:t>
            </w:r>
          </w:p>
          <w:p w:rsidR="00000000" w:rsidRPr="00CA3BF1" w:rsidP="00CA3BF1">
            <w:pPr>
              <w:pStyle w:val="BodyText"/>
            </w:pPr>
          </w:p>
        </w:tc>
      </w:tr>
    </w:tbl>
    <w:p w:rsidR="00000000" w:rsidRPr="00CA3BF1" w:rsidP="00CA3BF1">
      <w:pPr>
        <w:pStyle w:val="BodyText"/>
      </w:pPr>
    </w:p>
    <w:p w:rsidR="00000000" w:rsidRPr="00CA3BF1" w:rsidP="00CA3BF1">
      <w:pPr>
        <w:pStyle w:val="AllowPageBreak"/>
      </w:pPr>
    </w:p>
    <w:p w:rsidR="00000000" w:rsidRPr="00CA3BF1" w:rsidP="00CA3BF1">
      <w:pPr>
        <w:pStyle w:val="Heading1"/>
      </w:pPr>
      <w:bookmarkStart w:id="10" w:name="O_338179"/>
      <w:bookmarkEnd w:id="10"/>
      <w:r w:rsidRPr="00CA3BF1">
        <w:t>Evidence Guide</w:t>
      </w:r>
    </w:p>
    <w:tbl>
      <w:tblPr>
        <w:tblW w:w="9354" w:type="dxa"/>
        <w:tblLayout w:type="fixed"/>
        <w:tblCellMar>
          <w:left w:w="62" w:type="dxa"/>
          <w:right w:w="62" w:type="dxa"/>
        </w:tblCellMar>
        <w:tblLook w:val="0000"/>
      </w:tblPr>
      <w:tblGrid>
        <w:gridCol w:w="3692"/>
        <w:gridCol w:w="5662"/>
      </w:tblGrid>
      <w:tr w:rsidTr="00CA3BF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BF1">
            <w:pPr>
              <w:pStyle w:val="Heading4"/>
              <w:rPr>
                <w:lang w:val="en-NZ"/>
              </w:rPr>
            </w:pPr>
            <w:r w:rsidRPr="00CA3BF1">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BF1">
            <w:pPr>
              <w:pStyle w:val="BodyText"/>
              <w:rPr>
                <w:lang w:val="en-NZ"/>
              </w:rPr>
            </w:pPr>
            <w:r w:rsidRPr="00CA3BF1">
              <w:t>A person who demonstrates competency in this unit must be able to operate a non-slewing mobile crane of greater than three tonnes capacity to industry and enterprise standards, manufacturer specifications, and in accordance with safety regulations and proc</w:t>
            </w:r>
            <w:r w:rsidRPr="00CA3BF1">
              <w:t>edures.</w:t>
            </w:r>
          </w:p>
        </w:tc>
      </w:tr>
      <w:tr w:rsidTr="00CA3BF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BF1">
            <w:pPr>
              <w:pStyle w:val="Heading4"/>
              <w:rPr>
                <w:lang w:val="en-NZ"/>
              </w:rPr>
            </w:pPr>
            <w:r w:rsidRPr="00CA3BF1">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BF1" w:rsidP="00CA3BF1">
            <w:pPr>
              <w:pStyle w:val="BodyText"/>
            </w:pPr>
            <w:r w:rsidRPr="00CA3BF1">
              <w:t>A person who demonstrates competency in this unit must be able to provide evidence of the ability to:</w:t>
            </w:r>
          </w:p>
          <w:p w:rsidR="00000000" w:rsidRPr="00CA3BF1" w:rsidP="00CA3BF1">
            <w:pPr>
              <w:pStyle w:val="ListBullet"/>
            </w:pPr>
            <w:r w:rsidRPr="00CA3BF1">
              <w:t>comply with OHS licensing legislation</w:t>
            </w:r>
          </w:p>
          <w:p w:rsidR="00000000" w:rsidRPr="00CA3BF1" w:rsidP="00CA3BF1">
            <w:pPr>
              <w:pStyle w:val="ListBullet"/>
            </w:pPr>
            <w:r w:rsidRPr="00CA3BF1">
              <w:t>communicate an</w:t>
            </w:r>
            <w:r w:rsidRPr="00CA3BF1">
              <w:t>d work safely with others in the work area</w:t>
            </w:r>
          </w:p>
          <w:p w:rsidR="00000000" w:rsidRPr="00CA3BF1" w:rsidP="00CA3BF1">
            <w:pPr>
              <w:pStyle w:val="ListBullet"/>
            </w:pPr>
            <w:r w:rsidRPr="00CA3BF1">
              <w:t>apply risk assessment and management procedures (particular awareness of the risks associated with overhead powerlines/electrical cables, ground conditions, crane tipping, other vehicles and personnel)</w:t>
            </w:r>
          </w:p>
          <w:p w:rsidR="00000000" w:rsidRPr="00CA3BF1" w:rsidP="00CA3BF1">
            <w:pPr>
              <w:pStyle w:val="ListBullet"/>
            </w:pPr>
            <w:r w:rsidRPr="00CA3BF1">
              <w:t>operate a n</w:t>
            </w:r>
            <w:r w:rsidRPr="00CA3BF1">
              <w:t>on-slewing mobile crane, including all functions to their maximum extension in the lifting and moving of loads to the safe working rated capacity of non-slewing mobile cranes (over three tonnes capacity), in conjunction with other associated personnel</w:t>
            </w:r>
          </w:p>
          <w:p w:rsidR="00000000" w:rsidRPr="00CA3BF1" w:rsidP="00CA3BF1">
            <w:pPr>
              <w:pStyle w:val="ListBullet"/>
            </w:pPr>
            <w:r w:rsidRPr="00CA3BF1">
              <w:t>use appropriate mathematical procedures for estimation of loads</w:t>
            </w:r>
          </w:p>
          <w:p w:rsidR="00000000" w:rsidP="00CA3BF1">
            <w:pPr>
              <w:pStyle w:val="ListBullet"/>
              <w:rPr>
                <w:lang w:val="en-NZ"/>
              </w:rPr>
            </w:pPr>
            <w:r w:rsidRPr="00CA3BF1">
              <w:t>conduct lifts and transfers to designated locations and via appropriate paths.</w:t>
            </w:r>
          </w:p>
        </w:tc>
      </w:tr>
      <w:tr w:rsidTr="00CA3BF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BF1">
            <w:pPr>
              <w:pStyle w:val="Heading4"/>
              <w:rPr>
                <w:lang w:val="en-NZ"/>
              </w:rPr>
            </w:pPr>
            <w:r w:rsidRPr="00CA3BF1">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BF1" w:rsidP="00CA3BF1">
            <w:pPr>
              <w:pStyle w:val="ListBullet"/>
            </w:pPr>
            <w:r w:rsidRPr="00CA3BF1">
              <w:t>Assessment of the safe and effective application of knowledge a</w:t>
            </w:r>
            <w:r w:rsidRPr="00CA3BF1">
              <w:t>nd skill to workplace tasks (performance) must be undertaken using the endorsed Assessment Instrument.</w:t>
            </w:r>
          </w:p>
          <w:p w:rsidR="00000000" w:rsidRPr="00CA3BF1" w:rsidP="00CA3BF1">
            <w:pPr>
              <w:pStyle w:val="ListBullet"/>
            </w:pPr>
            <w:r w:rsidRPr="00CA3BF1">
              <w:t>Assessment of performance must be undertaken either in the workplace or in a realistically simulated workplace setting.</w:t>
            </w:r>
          </w:p>
          <w:p w:rsidR="00000000" w:rsidRPr="00CA3BF1" w:rsidP="00CA3BF1">
            <w:pPr>
              <w:pStyle w:val="ListBullet"/>
            </w:pPr>
            <w:r w:rsidRPr="00CA3BF1">
              <w:t>Assessors must ensure that the as</w:t>
            </w:r>
            <w:r w:rsidRPr="00CA3BF1">
              <w:t>sessment in the workplace is organised to ensure that all the required equipment and materials and a suitable working area is made available to suit the assessment and the workplace.</w:t>
            </w:r>
          </w:p>
          <w:p w:rsidR="00000000" w:rsidRPr="00CA3BF1" w:rsidP="00CA3BF1">
            <w:pPr>
              <w:pStyle w:val="ListBullet"/>
            </w:pPr>
            <w:r w:rsidRPr="00CA3BF1">
              <w:t>Assessment must occur under standard and authorised work practices, safet</w:t>
            </w:r>
            <w:r w:rsidRPr="00CA3BF1">
              <w:t>y requirements and environmental constraints.</w:t>
            </w:r>
          </w:p>
          <w:p w:rsidR="00000000" w:rsidRPr="00CA3BF1" w:rsidP="00CA3BF1">
            <w:pPr>
              <w:pStyle w:val="ListBullet"/>
            </w:pPr>
            <w:r w:rsidRPr="00CA3BF1">
              <w:t>Assessment is to comply with relevant appropriate standard requirements.</w:t>
            </w:r>
          </w:p>
          <w:p w:rsidR="00000000" w:rsidRPr="00CA3BF1" w:rsidP="00CA3BF1">
            <w:pPr>
              <w:pStyle w:val="ListBullet"/>
            </w:pPr>
            <w:r w:rsidRPr="00CA3BF1">
              <w:t xml:space="preserve">Applicants must have access to: </w:t>
            </w:r>
          </w:p>
          <w:p w:rsidR="00000000" w:rsidRPr="00CA3BF1" w:rsidP="00CA3BF1">
            <w:pPr>
              <w:pStyle w:val="ListBullet2"/>
            </w:pPr>
            <w:r w:rsidRPr="00CA3BF1">
              <w:t>personal protective equipment for the purpose of the Performance Assessment</w:t>
            </w:r>
          </w:p>
          <w:p w:rsidR="00000000" w:rsidRPr="00CA3BF1" w:rsidP="00CA3BF1">
            <w:pPr>
              <w:pStyle w:val="ListBullet2"/>
            </w:pPr>
            <w:r w:rsidRPr="00CA3BF1">
              <w:t>appropriate non-slewing crane (greater than three tonnes) and associated equipment in safe condition</w:t>
            </w:r>
          </w:p>
          <w:p w:rsidR="00000000" w:rsidRPr="00CA3BF1" w:rsidP="00CA3BF1">
            <w:pPr>
              <w:pStyle w:val="ListBullet2"/>
            </w:pPr>
            <w:r w:rsidRPr="00CA3BF1">
              <w:t>suitable loads as specified by endorsed Assessment Instrument</w:t>
            </w:r>
          </w:p>
          <w:p w:rsidR="00000000" w:rsidRPr="00CA3BF1" w:rsidP="00CA3BF1">
            <w:pPr>
              <w:pStyle w:val="ListBullet2"/>
            </w:pPr>
            <w:r w:rsidRPr="00CA3BF1">
              <w:t>communication equipment (e.g. two-way radios and whistles)</w:t>
            </w:r>
          </w:p>
          <w:p w:rsidR="00000000" w:rsidP="00CA3BF1">
            <w:pPr>
              <w:pStyle w:val="ListBullet2"/>
              <w:rPr>
                <w:lang w:val="en-NZ"/>
              </w:rPr>
            </w:pPr>
            <w:r w:rsidRPr="00CA3BF1">
              <w:t>other associated personnel to slin</w:t>
            </w:r>
            <w:r w:rsidRPr="00CA3BF1">
              <w:t>g and direct the loads.</w:t>
            </w:r>
          </w:p>
        </w:tc>
      </w:tr>
      <w:tr w:rsidTr="00CA3BF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BF1">
            <w:pPr>
              <w:pStyle w:val="Heading4"/>
              <w:rPr>
                <w:lang w:val="en-NZ"/>
              </w:rPr>
            </w:pPr>
            <w:r w:rsidRPr="00CA3BF1">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BF1" w:rsidP="00CA3BF1">
            <w:pPr>
              <w:pStyle w:val="ListBullet"/>
            </w:pPr>
            <w:r w:rsidRPr="00CA3BF1">
              <w:t xml:space="preserve">The use of ‘simulators’ in the assessment of this unit of competency is not acceptable. </w:t>
            </w:r>
          </w:p>
          <w:p w:rsidR="00000000" w:rsidRPr="00CA3BF1" w:rsidP="00CA3BF1">
            <w:pPr>
              <w:pStyle w:val="ListBullet"/>
            </w:pPr>
            <w:r w:rsidRPr="00CA3BF1">
              <w:t>Assessment may be in conjunction with the assessment of other units of competency.</w:t>
            </w:r>
          </w:p>
          <w:p w:rsidR="00000000" w:rsidRPr="00CA3BF1" w:rsidP="00CA3BF1">
            <w:pPr>
              <w:pStyle w:val="ListBullet"/>
            </w:pPr>
            <w:r w:rsidRPr="00CA3BF1">
              <w:t>Assessment methods must confirm consis</w:t>
            </w:r>
            <w:r w:rsidRPr="00CA3BF1">
              <w:t xml:space="preserve">tency and accuracy </w:t>
            </w:r>
            <w:r w:rsidRPr="00CA3BF1">
              <w:t>of performance together with application of underpinning knowledge.</w:t>
            </w:r>
          </w:p>
          <w:p w:rsidR="00000000" w:rsidP="00CA3BF1">
            <w:pPr>
              <w:pStyle w:val="ListBullet"/>
              <w:rPr>
                <w:lang w:val="en-NZ"/>
              </w:rPr>
            </w:pPr>
            <w:r w:rsidRPr="00CA3BF1">
              <w:t>Assessment must confirm a reasonable inference that competency is not only able to be satisfied under the particular circumstances, but is able to be transferred to othe</w:t>
            </w:r>
            <w:r w:rsidRPr="00CA3BF1">
              <w:t>r circumstances.</w:t>
            </w:r>
          </w:p>
        </w:tc>
      </w:tr>
      <w:tr w:rsidTr="00CA3BF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BF1">
            <w:pPr>
              <w:pStyle w:val="Heading4"/>
              <w:rPr>
                <w:lang w:val="en-NZ"/>
              </w:rPr>
            </w:pPr>
            <w:r w:rsidRPr="00CA3BF1">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BF1" w:rsidP="00CA3BF1">
            <w:pPr>
              <w:pStyle w:val="BodyText"/>
            </w:pPr>
          </w:p>
        </w:tc>
      </w:tr>
    </w:tbl>
    <w:p w:rsidR="00000000" w:rsidRPr="00CA3BF1" w:rsidP="00CA3BF1">
      <w:pPr>
        <w:pStyle w:val="BodyText"/>
      </w:pPr>
    </w:p>
    <w:p w:rsidR="00000000" w:rsidRPr="00CA3BF1" w:rsidP="00CA3BF1">
      <w:pPr>
        <w:pStyle w:val="AllowPageBreak"/>
      </w:pPr>
    </w:p>
    <w:p w:rsidR="00000000" w:rsidRPr="00CA3BF1" w:rsidP="00CA3BF1">
      <w:pPr>
        <w:pStyle w:val="Heading1"/>
      </w:pPr>
      <w:bookmarkStart w:id="11" w:name="O_338180"/>
      <w:bookmarkEnd w:id="11"/>
      <w:r w:rsidRPr="00CA3BF1">
        <w:t>Range Statement</w:t>
      </w:r>
    </w:p>
    <w:tbl>
      <w:tblPr>
        <w:tblW w:w="9354" w:type="dxa"/>
        <w:tblLayout w:type="fixed"/>
        <w:tblCellMar>
          <w:left w:w="62" w:type="dxa"/>
          <w:right w:w="62" w:type="dxa"/>
        </w:tblCellMar>
        <w:tblLook w:val="0000"/>
      </w:tblPr>
      <w:tblGrid>
        <w:gridCol w:w="3692"/>
        <w:gridCol w:w="5662"/>
      </w:tblGrid>
      <w:tr w:rsidTr="00CA3BF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BF1">
            <w:pPr>
              <w:pStyle w:val="Heading4"/>
              <w:rPr>
                <w:lang w:val="en-NZ"/>
              </w:rPr>
            </w:pPr>
            <w:r w:rsidRPr="00CA3BF1">
              <w:t>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BF1" w:rsidP="00CA3BF1">
            <w:pPr>
              <w:pStyle w:val="TableBodyText"/>
            </w:pPr>
            <w:r w:rsidRPr="00CA3BF1">
              <w:t xml:space="preserve">Hazards may include, but are not limited to: </w:t>
            </w:r>
          </w:p>
          <w:p w:rsidR="00000000" w:rsidRPr="00CA3BF1" w:rsidP="00CA3BF1">
            <w:pPr>
              <w:pStyle w:val="ListBullet"/>
            </w:pPr>
            <w:r w:rsidRPr="00CA3BF1">
              <w:t>ground stability (e.g. ground condition, recently filled trenches and slopes)</w:t>
            </w:r>
          </w:p>
          <w:p w:rsidR="00000000" w:rsidRPr="00CA3BF1" w:rsidP="00CA3BF1">
            <w:pPr>
              <w:pStyle w:val="ListBullet"/>
            </w:pPr>
            <w:r w:rsidRPr="00CA3BF1">
              <w:t>overhead hazards (e.g. powerlines and service pipes)</w:t>
            </w:r>
          </w:p>
          <w:p w:rsidR="00000000" w:rsidRPr="00CA3BF1" w:rsidP="00CA3BF1">
            <w:pPr>
              <w:pStyle w:val="ListBullet"/>
            </w:pPr>
            <w:r w:rsidRPr="00CA3BF1">
              <w:t>insufficient lighting</w:t>
            </w:r>
          </w:p>
          <w:p w:rsidR="00000000" w:rsidRPr="00CA3BF1" w:rsidP="00CA3BF1">
            <w:pPr>
              <w:pStyle w:val="ListBullet"/>
            </w:pPr>
            <w:r w:rsidRPr="00CA3BF1">
              <w:t>traffic (e.g. pedestrians, vehicles and other plant)</w:t>
            </w:r>
          </w:p>
          <w:p w:rsidR="00000000" w:rsidRPr="00CA3BF1" w:rsidP="00CA3BF1">
            <w:pPr>
              <w:pStyle w:val="ListBullet"/>
            </w:pPr>
            <w:r w:rsidRPr="00CA3BF1">
              <w:t>fixed equipment, including machinery, tanks and conveyors</w:t>
            </w:r>
          </w:p>
          <w:p w:rsidR="00000000" w:rsidRPr="00CA3BF1" w:rsidP="00CA3BF1">
            <w:pPr>
              <w:pStyle w:val="ListBullet"/>
            </w:pPr>
            <w:r w:rsidRPr="00CA3BF1">
              <w:t>environmental conditions (e.g. wind, lightning and storms)</w:t>
            </w:r>
          </w:p>
          <w:p w:rsidR="00000000" w:rsidP="00CA3BF1">
            <w:pPr>
              <w:pStyle w:val="ListBullet"/>
              <w:rPr>
                <w:lang w:val="en-NZ"/>
              </w:rPr>
            </w:pPr>
            <w:r w:rsidRPr="00CA3BF1">
              <w:t>other speci</w:t>
            </w:r>
            <w:r w:rsidRPr="00CA3BF1">
              <w:t>fic hazards (e.g. dangerous materials)</w:t>
            </w:r>
          </w:p>
        </w:tc>
      </w:tr>
      <w:tr w:rsidTr="00CA3BF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BF1">
            <w:pPr>
              <w:pStyle w:val="Heading4"/>
              <w:rPr>
                <w:lang w:val="en-NZ"/>
              </w:rPr>
            </w:pPr>
            <w:r w:rsidRPr="00CA3BF1">
              <w:t>Hazard control measures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BF1" w:rsidP="00CA3BF1">
            <w:pPr>
              <w:pStyle w:val="TableBodyText"/>
            </w:pPr>
            <w:r w:rsidRPr="00CA3BF1">
              <w:t>Hazard control measures refer to the systematic process of eliminating or reducing the risk to personnel and property through the application of controls.</w:t>
            </w:r>
          </w:p>
          <w:p w:rsidR="00000000" w:rsidRPr="00CA3BF1" w:rsidP="00CA3BF1">
            <w:pPr>
              <w:pStyle w:val="TableBodyText"/>
            </w:pPr>
            <w:r w:rsidRPr="00CA3BF1">
              <w:t>It includes the application of the hierarchy of control, the six-step preference of control measures to manage and control risk:</w:t>
            </w:r>
          </w:p>
          <w:p w:rsidR="00000000" w:rsidRPr="00CA3BF1" w:rsidP="00CA3BF1">
            <w:pPr>
              <w:pStyle w:val="ListNumber"/>
            </w:pPr>
            <w:r w:rsidRPr="00CA3BF1">
              <w:t>elimination</w:t>
            </w:r>
          </w:p>
          <w:p w:rsidR="00000000" w:rsidRPr="00CA3BF1" w:rsidP="00CA3BF1">
            <w:pPr>
              <w:pStyle w:val="ListNumber"/>
            </w:pPr>
            <w:r w:rsidRPr="00CA3BF1">
              <w:t>substitution</w:t>
            </w:r>
          </w:p>
          <w:p w:rsidR="00000000" w:rsidRPr="00CA3BF1" w:rsidP="00CA3BF1">
            <w:pPr>
              <w:pStyle w:val="ListNumber"/>
            </w:pPr>
            <w:r w:rsidRPr="00CA3BF1">
              <w:t>isolation</w:t>
            </w:r>
          </w:p>
          <w:p w:rsidR="00000000" w:rsidRPr="00CA3BF1" w:rsidP="00CA3BF1">
            <w:pPr>
              <w:pStyle w:val="ListNumber"/>
            </w:pPr>
            <w:r w:rsidRPr="00CA3BF1">
              <w:t>engineering control measures</w:t>
            </w:r>
          </w:p>
          <w:p w:rsidR="00000000" w:rsidRPr="00CA3BF1" w:rsidP="00CA3BF1">
            <w:pPr>
              <w:pStyle w:val="ListNumber"/>
            </w:pPr>
            <w:r w:rsidRPr="00CA3BF1">
              <w:t>using safe work practices</w:t>
            </w:r>
          </w:p>
          <w:p w:rsidR="00000000" w:rsidP="00CA3BF1">
            <w:pPr>
              <w:pStyle w:val="ListNumber"/>
              <w:rPr>
                <w:lang w:val="en-NZ"/>
              </w:rPr>
            </w:pPr>
            <w:r w:rsidRPr="00CA3BF1">
              <w:t>personal protective equipment</w:t>
            </w:r>
          </w:p>
        </w:tc>
      </w:tr>
      <w:tr w:rsidTr="00CA3BF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BF1">
            <w:pPr>
              <w:pStyle w:val="Heading4"/>
              <w:rPr>
                <w:lang w:val="en-NZ"/>
              </w:rPr>
            </w:pPr>
            <w:r w:rsidRPr="00CA3BF1">
              <w:t>Appro</w:t>
            </w:r>
            <w:r w:rsidRPr="00CA3BF1">
              <w:t>priate path</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BF1" w:rsidP="00CA3BF1">
            <w:pPr>
              <w:pStyle w:val="TableBodyText"/>
            </w:pPr>
            <w:r w:rsidRPr="00CA3BF1">
              <w:t>An appropriate path is one which:</w:t>
            </w:r>
          </w:p>
          <w:p w:rsidR="00000000" w:rsidRPr="00CA3BF1" w:rsidP="00CA3BF1">
            <w:pPr>
              <w:pStyle w:val="ListBullet"/>
            </w:pPr>
            <w:r w:rsidRPr="00CA3BF1">
              <w:t>maximises safety and stability during lifting and transferring, including mobile operation of the crane and depositing of the load</w:t>
            </w:r>
          </w:p>
          <w:p w:rsidR="00000000" w:rsidRPr="00CA3BF1" w:rsidP="00CA3BF1">
            <w:pPr>
              <w:pStyle w:val="ListBullet"/>
            </w:pPr>
            <w:r w:rsidRPr="00CA3BF1">
              <w:t>minimises disruption to other operations in the enterprise</w:t>
            </w:r>
          </w:p>
          <w:p w:rsidR="00000000" w:rsidP="00CA3BF1">
            <w:pPr>
              <w:pStyle w:val="ListBullet"/>
              <w:rPr>
                <w:lang w:val="en-NZ"/>
              </w:rPr>
            </w:pPr>
            <w:r w:rsidRPr="00CA3BF1">
              <w:t xml:space="preserve">without compromising safety, stability and avoidance of disruption, is the most efficient route for the transfer of the load </w:t>
            </w:r>
          </w:p>
        </w:tc>
      </w:tr>
      <w:tr w:rsidTr="00CA3BF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BF1">
            <w:pPr>
              <w:pStyle w:val="Heading4"/>
              <w:rPr>
                <w:lang w:val="en-NZ"/>
              </w:rPr>
            </w:pPr>
            <w:r w:rsidRPr="00CA3BF1">
              <w:t xml:space="preserve">Appropriate standards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BF1" w:rsidP="00CA3BF1">
            <w:pPr>
              <w:pStyle w:val="TableBodyText"/>
            </w:pPr>
            <w:r w:rsidRPr="00CA3BF1">
              <w:t xml:space="preserve">Appropriate standards may include, but are not limited to: </w:t>
            </w:r>
          </w:p>
          <w:p w:rsidR="00000000" w:rsidRPr="00CA3BF1" w:rsidP="00CA3BF1">
            <w:pPr>
              <w:pStyle w:val="ListBullet"/>
            </w:pPr>
            <w:r w:rsidRPr="00CA3BF1">
              <w:t>codes of practice</w:t>
            </w:r>
          </w:p>
          <w:p w:rsidR="00000000" w:rsidRPr="00CA3BF1" w:rsidP="00CA3BF1">
            <w:pPr>
              <w:pStyle w:val="ListBullet"/>
            </w:pPr>
            <w:r w:rsidRPr="00CA3BF1">
              <w:t>legislation</w:t>
            </w:r>
          </w:p>
          <w:p w:rsidR="00000000" w:rsidRPr="00CA3BF1" w:rsidP="00CA3BF1">
            <w:pPr>
              <w:pStyle w:val="ListBullet"/>
            </w:pPr>
            <w:r w:rsidRPr="00CA3BF1">
              <w:t>Australian stand</w:t>
            </w:r>
            <w:r w:rsidRPr="00CA3BF1">
              <w:t>ards</w:t>
            </w:r>
          </w:p>
          <w:p w:rsidR="00000000" w:rsidRPr="00CA3BF1" w:rsidP="00CA3BF1">
            <w:pPr>
              <w:pStyle w:val="ListBullet"/>
            </w:pPr>
            <w:r w:rsidRPr="00CA3BF1">
              <w:t>manufacturer specifications</w:t>
            </w:r>
          </w:p>
          <w:p w:rsidR="00000000" w:rsidP="00CA3BF1">
            <w:pPr>
              <w:pStyle w:val="ListBullet"/>
              <w:rPr>
                <w:lang w:val="en-NZ"/>
              </w:rPr>
            </w:pPr>
            <w:r w:rsidRPr="00CA3BF1">
              <w:t>enterprise and industry standards, where applicable</w:t>
            </w:r>
          </w:p>
        </w:tc>
      </w:tr>
      <w:tr w:rsidTr="00CA3BF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BF1">
            <w:pPr>
              <w:pStyle w:val="Heading4"/>
              <w:rPr>
                <w:lang w:val="en-NZ"/>
              </w:rPr>
            </w:pPr>
            <w:r w:rsidRPr="00CA3BF1">
              <w:t>Associated personnel</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BF1" w:rsidP="00CA3BF1">
            <w:pPr>
              <w:pStyle w:val="TableBodyText"/>
            </w:pPr>
            <w:r w:rsidRPr="00CA3BF1">
              <w:t xml:space="preserve">Associated personnel may include, but are not limited to: </w:t>
            </w:r>
          </w:p>
          <w:p w:rsidR="00000000" w:rsidRPr="00CA3BF1" w:rsidP="00CA3BF1">
            <w:pPr>
              <w:pStyle w:val="ListBullet"/>
            </w:pPr>
            <w:r w:rsidRPr="00CA3BF1">
              <w:t>doggers</w:t>
            </w:r>
          </w:p>
          <w:p w:rsidR="00000000" w:rsidRPr="00CA3BF1" w:rsidP="00CA3BF1">
            <w:pPr>
              <w:pStyle w:val="ListBullet"/>
            </w:pPr>
            <w:r w:rsidRPr="00CA3BF1">
              <w:t>riggers</w:t>
            </w:r>
          </w:p>
          <w:p w:rsidR="00000000" w:rsidRPr="00CA3BF1" w:rsidP="00CA3BF1">
            <w:pPr>
              <w:pStyle w:val="ListBullet"/>
            </w:pPr>
            <w:r w:rsidRPr="00CA3BF1">
              <w:t>forklift and truck drivers</w:t>
            </w:r>
          </w:p>
          <w:p w:rsidR="00000000" w:rsidP="00CA3BF1">
            <w:pPr>
              <w:pStyle w:val="ListBullet"/>
              <w:rPr>
                <w:lang w:val="en-NZ"/>
              </w:rPr>
            </w:pPr>
            <w:r w:rsidRPr="00CA3BF1">
              <w:t>production and trades employees</w:t>
            </w:r>
          </w:p>
        </w:tc>
      </w:tr>
      <w:tr w:rsidTr="00CA3BF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BF1">
            <w:pPr>
              <w:pStyle w:val="Heading4"/>
              <w:rPr>
                <w:lang w:val="en-NZ"/>
              </w:rPr>
            </w:pPr>
            <w:r w:rsidRPr="00CA3BF1">
              <w:t>Environmental conditions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BF1" w:rsidP="00CA3BF1">
            <w:pPr>
              <w:pStyle w:val="TableBodyText"/>
            </w:pPr>
            <w:r w:rsidRPr="00CA3BF1">
              <w:t>Environmental conditions may include, but are not limited to:</w:t>
            </w:r>
          </w:p>
          <w:p w:rsidR="00000000" w:rsidRPr="00CA3BF1" w:rsidP="00CA3BF1">
            <w:pPr>
              <w:pStyle w:val="ListBullet"/>
            </w:pPr>
            <w:r w:rsidRPr="00CA3BF1">
              <w:t>wind</w:t>
            </w:r>
          </w:p>
          <w:p w:rsidR="00000000" w:rsidRPr="00CA3BF1" w:rsidP="00CA3BF1">
            <w:pPr>
              <w:pStyle w:val="ListBullet"/>
            </w:pPr>
            <w:r w:rsidRPr="00CA3BF1">
              <w:t>lightning</w:t>
            </w:r>
          </w:p>
          <w:p w:rsidR="00000000" w:rsidRPr="00CA3BF1" w:rsidP="00CA3BF1">
            <w:pPr>
              <w:pStyle w:val="ListBullet"/>
            </w:pPr>
            <w:r w:rsidRPr="00CA3BF1">
              <w:t>storms</w:t>
            </w:r>
          </w:p>
          <w:p w:rsidR="00000000" w:rsidP="00CA3BF1">
            <w:pPr>
              <w:pStyle w:val="ListBullet"/>
              <w:rPr>
                <w:lang w:val="en-NZ"/>
              </w:rPr>
            </w:pPr>
            <w:r w:rsidRPr="00CA3BF1">
              <w:t>poor light</w:t>
            </w:r>
          </w:p>
        </w:tc>
      </w:tr>
      <w:tr w:rsidTr="00CA3BF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BF1">
            <w:pPr>
              <w:pStyle w:val="Heading4"/>
              <w:rPr>
                <w:lang w:val="en-NZ"/>
              </w:rPr>
            </w:pPr>
            <w:r w:rsidRPr="00CA3BF1">
              <w:t>Crane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BF1" w:rsidP="00CA3BF1">
            <w:pPr>
              <w:pStyle w:val="TableBodyText"/>
            </w:pPr>
            <w:r w:rsidRPr="00CA3BF1">
              <w:t>Crane may include:</w:t>
            </w:r>
          </w:p>
          <w:p w:rsidR="00000000" w:rsidRPr="00CA3BF1" w:rsidP="00CA3BF1">
            <w:pPr>
              <w:pStyle w:val="ListBullet"/>
            </w:pPr>
            <w:r w:rsidRPr="00CA3BF1">
              <w:t>a crane (greater than three tonnes capacity) which meets the requirements of AS 1418 Set-2009 Cranes, hoists a</w:t>
            </w:r>
            <w:r w:rsidRPr="00CA3BF1">
              <w:t>nd winches Set</w:t>
            </w:r>
          </w:p>
          <w:p w:rsidR="00000000" w:rsidRPr="00CA3BF1" w:rsidP="00CA3BF1">
            <w:pPr>
              <w:pStyle w:val="ListBullet"/>
            </w:pPr>
            <w:r w:rsidRPr="00CA3BF1">
              <w:t>articulated type mobile cranes</w:t>
            </w:r>
          </w:p>
          <w:p w:rsidR="00000000" w:rsidP="00CA3BF1">
            <w:pPr>
              <w:pStyle w:val="ListBullet"/>
              <w:rPr>
                <w:lang w:val="en-NZ"/>
              </w:rPr>
            </w:pPr>
            <w:r w:rsidRPr="00CA3BF1">
              <w:t>locomotive hauled and self-propelled rail cranes</w:t>
            </w:r>
          </w:p>
        </w:tc>
      </w:tr>
      <w:tr w:rsidTr="00CA3BF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BF1">
            <w:pPr>
              <w:pStyle w:val="Heading4"/>
              <w:rPr>
                <w:lang w:val="en-NZ"/>
              </w:rPr>
            </w:pPr>
            <w:r w:rsidRPr="00CA3BF1">
              <w:t>Communication methods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BF1" w:rsidP="00CA3BF1">
            <w:pPr>
              <w:pStyle w:val="TableBodyText"/>
            </w:pPr>
            <w:r w:rsidRPr="00CA3BF1">
              <w:t>Communication methods may include, but are not limited to:</w:t>
            </w:r>
          </w:p>
          <w:p w:rsidR="00000000" w:rsidRPr="00CA3BF1" w:rsidP="00CA3BF1">
            <w:pPr>
              <w:pStyle w:val="ListBullet"/>
            </w:pPr>
            <w:r w:rsidRPr="00CA3BF1">
              <w:t>verbal and non-verbal language</w:t>
            </w:r>
          </w:p>
          <w:p w:rsidR="00000000" w:rsidRPr="00CA3BF1" w:rsidP="00CA3BF1">
            <w:pPr>
              <w:pStyle w:val="ListBullet"/>
            </w:pPr>
            <w:r w:rsidRPr="00CA3BF1">
              <w:t>written instructions</w:t>
            </w:r>
          </w:p>
          <w:p w:rsidR="00000000" w:rsidRPr="00CA3BF1" w:rsidP="00CA3BF1">
            <w:pPr>
              <w:pStyle w:val="ListBullet"/>
            </w:pPr>
            <w:r w:rsidRPr="00CA3BF1">
              <w:t>signage</w:t>
            </w:r>
          </w:p>
          <w:p w:rsidR="00000000" w:rsidRPr="00CA3BF1" w:rsidP="00CA3BF1">
            <w:pPr>
              <w:pStyle w:val="ListBullet"/>
            </w:pPr>
            <w:r w:rsidRPr="00CA3BF1">
              <w:t>hand signals</w:t>
            </w:r>
          </w:p>
          <w:p w:rsidR="00000000" w:rsidRPr="00CA3BF1" w:rsidP="00CA3BF1">
            <w:pPr>
              <w:pStyle w:val="ListBullet"/>
            </w:pPr>
            <w:r w:rsidRPr="00CA3BF1">
              <w:t>listening</w:t>
            </w:r>
          </w:p>
          <w:p w:rsidR="00000000" w:rsidRPr="00CA3BF1" w:rsidP="00CA3BF1">
            <w:pPr>
              <w:pStyle w:val="ListBullet"/>
            </w:pPr>
            <w:r w:rsidRPr="00CA3BF1">
              <w:t>questioning to confirm understanding</w:t>
            </w:r>
          </w:p>
          <w:p w:rsidR="00000000" w:rsidP="00CA3BF1">
            <w:pPr>
              <w:pStyle w:val="ListBullet"/>
              <w:rPr>
                <w:lang w:val="en-NZ"/>
              </w:rPr>
            </w:pPr>
            <w:r w:rsidRPr="00CA3BF1">
              <w:t>appropriate worksite protocol</w:t>
            </w:r>
          </w:p>
        </w:tc>
      </w:tr>
      <w:tr w:rsidTr="00CA3BF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BF1">
            <w:pPr>
              <w:pStyle w:val="Heading4"/>
              <w:rPr>
                <w:lang w:val="en-NZ"/>
              </w:rPr>
            </w:pPr>
            <w:r w:rsidRPr="00CA3BF1">
              <w:t>Signage and labels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BF1" w:rsidP="00CA3BF1">
            <w:pPr>
              <w:pStyle w:val="TableBodyText"/>
            </w:pPr>
            <w:r w:rsidRPr="00CA3BF1">
              <w:t>Signage and labels may include, but are not limited to:</w:t>
            </w:r>
          </w:p>
          <w:p w:rsidR="00000000" w:rsidRPr="00CA3BF1" w:rsidP="00CA3BF1">
            <w:pPr>
              <w:pStyle w:val="ListBullet"/>
            </w:pPr>
            <w:r w:rsidRPr="00CA3BF1">
              <w:t>crane data plates/labels</w:t>
            </w:r>
          </w:p>
          <w:p w:rsidR="00000000" w:rsidRPr="00CA3BF1" w:rsidP="00CA3BF1">
            <w:pPr>
              <w:pStyle w:val="ListBullet"/>
            </w:pPr>
            <w:r w:rsidRPr="00CA3BF1">
              <w:t>load charts</w:t>
            </w:r>
          </w:p>
          <w:p w:rsidR="00000000" w:rsidRPr="00CA3BF1" w:rsidP="00CA3BF1">
            <w:pPr>
              <w:pStyle w:val="ListBullet"/>
            </w:pPr>
            <w:r w:rsidRPr="00CA3BF1">
              <w:t>crane decals</w:t>
            </w:r>
          </w:p>
          <w:p w:rsidR="00000000" w:rsidP="00CA3BF1">
            <w:pPr>
              <w:pStyle w:val="ListBullet"/>
              <w:rPr>
                <w:lang w:val="en-NZ"/>
              </w:rPr>
            </w:pPr>
            <w:r w:rsidRPr="00CA3BF1">
              <w:t>control labels</w:t>
            </w:r>
          </w:p>
        </w:tc>
      </w:tr>
      <w:tr w:rsidTr="00CA3BF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BF1">
            <w:pPr>
              <w:pStyle w:val="Heading4"/>
              <w:rPr>
                <w:lang w:val="en-NZ"/>
              </w:rPr>
            </w:pPr>
            <w:r w:rsidRPr="00CA3BF1">
              <w:t>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BF1" w:rsidP="00CA3BF1">
            <w:pPr>
              <w:pStyle w:val="TableBodyText"/>
            </w:pPr>
            <w:r w:rsidRPr="00CA3BF1">
              <w:t>Procedures may include, bu</w:t>
            </w:r>
            <w:r w:rsidRPr="00CA3BF1">
              <w:t>t are not limited to:</w:t>
            </w:r>
          </w:p>
          <w:p w:rsidR="00000000" w:rsidRPr="00CA3BF1" w:rsidP="00CA3BF1">
            <w:pPr>
              <w:pStyle w:val="ListBullet"/>
            </w:pPr>
            <w:r w:rsidRPr="00CA3BF1">
              <w:t>manufacturer guidelines (instructions, specifications, operators manual or checklists)</w:t>
            </w:r>
          </w:p>
          <w:p w:rsidR="00000000" w:rsidRPr="00CA3BF1" w:rsidP="00CA3BF1">
            <w:pPr>
              <w:pStyle w:val="ListBullet"/>
            </w:pPr>
            <w:r w:rsidRPr="00CA3BF1">
              <w:t>industry operating procedures</w:t>
            </w:r>
          </w:p>
          <w:p w:rsidR="00000000" w:rsidP="00CA3BF1">
            <w:pPr>
              <w:pStyle w:val="ListBullet"/>
              <w:rPr>
                <w:lang w:val="en-NZ"/>
              </w:rPr>
            </w:pPr>
            <w:r w:rsidRPr="00CA3BF1">
              <w:t>workplace procedures (work instructions, operating procedures and checklists)</w:t>
            </w:r>
          </w:p>
        </w:tc>
      </w:tr>
      <w:tr w:rsidTr="00CA3BF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BF1">
            <w:pPr>
              <w:pStyle w:val="Heading4"/>
              <w:rPr>
                <w:lang w:val="en-NZ"/>
              </w:rPr>
            </w:pPr>
            <w:r w:rsidRPr="00CA3BF1">
              <w:t>Controls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BF1" w:rsidP="00CA3BF1">
            <w:pPr>
              <w:pStyle w:val="TableBodyText"/>
            </w:pPr>
            <w:r w:rsidRPr="00CA3BF1">
              <w:t>Controls may include, but are not limited to:</w:t>
            </w:r>
          </w:p>
          <w:p w:rsidR="00000000" w:rsidRPr="00CA3BF1" w:rsidP="00CA3BF1">
            <w:pPr>
              <w:pStyle w:val="ListBullet"/>
            </w:pPr>
            <w:r w:rsidRPr="00CA3BF1">
              <w:t>luffing levers</w:t>
            </w:r>
          </w:p>
          <w:p w:rsidR="00000000" w:rsidRPr="00CA3BF1" w:rsidP="00CA3BF1">
            <w:pPr>
              <w:pStyle w:val="ListBullet"/>
            </w:pPr>
            <w:r w:rsidRPr="00CA3BF1">
              <w:t>hoisting and lowering levers</w:t>
            </w:r>
          </w:p>
          <w:p w:rsidR="00000000" w:rsidRPr="00CA3BF1" w:rsidP="00CA3BF1">
            <w:pPr>
              <w:pStyle w:val="ListBullet"/>
            </w:pPr>
            <w:r w:rsidRPr="00CA3BF1">
              <w:t>slewing levers, including brake</w:t>
            </w:r>
          </w:p>
          <w:p w:rsidR="00000000" w:rsidP="00CA3BF1">
            <w:pPr>
              <w:pStyle w:val="ListBullet"/>
              <w:rPr>
                <w:lang w:val="en-NZ"/>
              </w:rPr>
            </w:pPr>
            <w:r w:rsidRPr="00CA3BF1">
              <w:t>boom extension levers (where fitted)</w:t>
            </w:r>
          </w:p>
        </w:tc>
      </w:tr>
      <w:tr w:rsidTr="00CA3BF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BF1">
            <w:pPr>
              <w:pStyle w:val="Heading4"/>
              <w:rPr>
                <w:lang w:val="en-NZ"/>
              </w:rPr>
            </w:pPr>
            <w:r w:rsidRPr="00CA3BF1">
              <w:t>Service logbook</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BF1" w:rsidP="00CA3BF1">
            <w:pPr>
              <w:pStyle w:val="TableBodyText"/>
            </w:pPr>
            <w:r w:rsidRPr="00CA3BF1">
              <w:t>Service logbook may include, but is not limited to:</w:t>
            </w:r>
          </w:p>
          <w:p w:rsidR="00000000" w:rsidRPr="00CA3BF1" w:rsidP="00CA3BF1">
            <w:pPr>
              <w:pStyle w:val="ListBullet"/>
            </w:pPr>
            <w:r w:rsidRPr="00CA3BF1">
              <w:t>any logbook</w:t>
            </w:r>
          </w:p>
          <w:p w:rsidR="00000000" w:rsidRPr="00CA3BF1" w:rsidP="00CA3BF1">
            <w:pPr>
              <w:pStyle w:val="ListBullet"/>
            </w:pPr>
            <w:r w:rsidRPr="00CA3BF1">
              <w:t>service book</w:t>
            </w:r>
          </w:p>
          <w:p w:rsidR="00000000" w:rsidP="00CA3BF1">
            <w:pPr>
              <w:pStyle w:val="ListBullet"/>
              <w:rPr>
                <w:lang w:val="en-NZ"/>
              </w:rPr>
            </w:pPr>
            <w:r w:rsidRPr="00CA3BF1">
              <w:t>his</w:t>
            </w:r>
            <w:r w:rsidRPr="00CA3BF1">
              <w:t>tory record system where the service and maintenance history is kept</w:t>
            </w:r>
          </w:p>
        </w:tc>
      </w:tr>
      <w:tr w:rsidTr="00CA3BF1">
        <w:tblPrEx>
          <w:tblW w:w="9354" w:type="dxa"/>
          <w:tblLayout w:type="fixed"/>
          <w:tblCellMar>
            <w:left w:w="62" w:type="dxa"/>
            <w:right w:w="62" w:type="dxa"/>
          </w:tblCellMar>
          <w:tblLook w:val="0000"/>
        </w:tblPrEx>
        <w:trPr>
          <w:trHeight w:val="1275"/>
        </w:trPr>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BF1">
            <w:pPr>
              <w:pStyle w:val="Heading4"/>
              <w:rPr>
                <w:lang w:val="en-NZ"/>
              </w:rPr>
            </w:pPr>
            <w:r w:rsidRPr="00CA3BF1">
              <w:t>Crane safety devices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BF1" w:rsidP="00CA3BF1">
            <w:pPr>
              <w:pStyle w:val="TableBodyText"/>
            </w:pPr>
            <w:r w:rsidRPr="00CA3BF1">
              <w:t>Crane safety devices may include, but are not limited to:</w:t>
            </w:r>
          </w:p>
          <w:p w:rsidR="00000000" w:rsidRPr="00CA3BF1" w:rsidP="00CA3BF1">
            <w:pPr>
              <w:pStyle w:val="ListBullet"/>
            </w:pPr>
            <w:r w:rsidRPr="00CA3BF1">
              <w:t>horns/sirens</w:t>
            </w:r>
          </w:p>
          <w:p w:rsidR="00000000" w:rsidRPr="00CA3BF1" w:rsidP="00CA3BF1">
            <w:pPr>
              <w:pStyle w:val="ListBullet"/>
            </w:pPr>
            <w:r w:rsidRPr="00CA3BF1">
              <w:t>audible and visual reversing devices</w:t>
            </w:r>
          </w:p>
          <w:p w:rsidR="00000000" w:rsidRPr="00CA3BF1" w:rsidP="00CA3BF1">
            <w:pPr>
              <w:pStyle w:val="ListBullet"/>
            </w:pPr>
            <w:r w:rsidRPr="00CA3BF1">
              <w:t>operator restraint devices</w:t>
            </w:r>
          </w:p>
          <w:p w:rsidR="00000000" w:rsidP="00CA3BF1">
            <w:pPr>
              <w:pStyle w:val="ListBullet"/>
              <w:rPr>
                <w:lang w:val="en-NZ"/>
              </w:rPr>
            </w:pPr>
            <w:r w:rsidRPr="00CA3BF1">
              <w:t>lights</w:t>
            </w:r>
          </w:p>
        </w:tc>
      </w:tr>
      <w:tr w:rsidTr="00CA3BF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BF1">
            <w:pPr>
              <w:pStyle w:val="Heading4"/>
              <w:rPr>
                <w:lang w:val="en-NZ"/>
              </w:rPr>
            </w:pPr>
            <w:r w:rsidRPr="00CA3BF1">
              <w:t>Communication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BF1" w:rsidP="00CA3BF1">
            <w:pPr>
              <w:pStyle w:val="TableBodyText"/>
            </w:pPr>
            <w:r w:rsidRPr="00CA3BF1">
              <w:t>Communication equipment may include, but is not limited to:</w:t>
            </w:r>
          </w:p>
          <w:p w:rsidR="00000000" w:rsidRPr="00CA3BF1" w:rsidP="00CA3BF1">
            <w:pPr>
              <w:pStyle w:val="ListBullet"/>
            </w:pPr>
            <w:r w:rsidRPr="00CA3BF1">
              <w:t>fixed channel two-way radios</w:t>
            </w:r>
          </w:p>
          <w:p w:rsidR="00000000" w:rsidRPr="00CA3BF1" w:rsidP="00CA3BF1">
            <w:pPr>
              <w:pStyle w:val="ListBullet"/>
            </w:pPr>
            <w:r w:rsidRPr="00CA3BF1">
              <w:t>whistles</w:t>
            </w:r>
          </w:p>
          <w:p w:rsidR="00000000" w:rsidRPr="00CA3BF1" w:rsidP="00CA3BF1">
            <w:pPr>
              <w:pStyle w:val="ListBullet"/>
            </w:pPr>
            <w:r w:rsidRPr="00CA3BF1">
              <w:t>bells</w:t>
            </w:r>
          </w:p>
          <w:p w:rsidR="00000000" w:rsidRPr="00CA3BF1" w:rsidP="00CA3BF1">
            <w:pPr>
              <w:pStyle w:val="ListBullet"/>
            </w:pPr>
            <w:r w:rsidRPr="00CA3BF1">
              <w:t>buzzers</w:t>
            </w:r>
          </w:p>
          <w:p w:rsidR="00000000" w:rsidP="00CA3BF1">
            <w:pPr>
              <w:pStyle w:val="TableBodyText"/>
              <w:rPr>
                <w:lang w:val="en-NZ"/>
              </w:rPr>
            </w:pPr>
            <w:r w:rsidRPr="00CA3BF1">
              <w:t>NB</w:t>
            </w:r>
            <w:r w:rsidRPr="00CA3BF1">
              <w:t>: Where radio communication equipment is used the transmitting frequencies of the equipment must be selected to preven</w:t>
            </w:r>
            <w:r w:rsidRPr="00CA3BF1">
              <w:t>t interference to or from other radio equipment being used in the vicinity of the crane</w:t>
            </w:r>
          </w:p>
        </w:tc>
      </w:tr>
      <w:tr w:rsidTr="00CA3BF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BF1">
            <w:pPr>
              <w:pStyle w:val="Heading4"/>
              <w:rPr>
                <w:lang w:val="en-NZ"/>
              </w:rPr>
            </w:pPr>
            <w:r w:rsidRPr="00CA3BF1">
              <w:t>Ground suitability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BF1" w:rsidP="00CA3BF1">
            <w:pPr>
              <w:pStyle w:val="TableBodyText"/>
            </w:pPr>
            <w:r w:rsidRPr="00CA3BF1">
              <w:t>Ground suitability may include, but is not limited to:</w:t>
            </w:r>
          </w:p>
          <w:p w:rsidR="00000000" w:rsidRPr="00CA3BF1" w:rsidP="00CA3BF1">
            <w:pPr>
              <w:pStyle w:val="ListBullet"/>
            </w:pPr>
            <w:r w:rsidRPr="00CA3BF1">
              <w:t>rough, uneven ground</w:t>
            </w:r>
          </w:p>
          <w:p w:rsidR="00000000" w:rsidRPr="00CA3BF1" w:rsidP="00CA3BF1">
            <w:pPr>
              <w:pStyle w:val="ListBullet"/>
            </w:pPr>
            <w:r w:rsidRPr="00CA3BF1">
              <w:t>backfilled ground</w:t>
            </w:r>
          </w:p>
          <w:p w:rsidR="00000000" w:rsidRPr="00CA3BF1" w:rsidP="00CA3BF1">
            <w:pPr>
              <w:pStyle w:val="ListBullet"/>
            </w:pPr>
            <w:r w:rsidRPr="00CA3BF1">
              <w:t>soft soils</w:t>
            </w:r>
          </w:p>
          <w:p w:rsidR="00000000" w:rsidRPr="00CA3BF1" w:rsidP="00CA3BF1">
            <w:pPr>
              <w:pStyle w:val="ListBullet"/>
            </w:pPr>
            <w:r w:rsidRPr="00CA3BF1">
              <w:t>hard, compacted soil</w:t>
            </w:r>
          </w:p>
          <w:p w:rsidR="00000000" w:rsidRPr="00CA3BF1" w:rsidP="00CA3BF1">
            <w:pPr>
              <w:pStyle w:val="ListBullet"/>
            </w:pPr>
            <w:r w:rsidRPr="00CA3BF1">
              <w:t>rock</w:t>
            </w:r>
          </w:p>
          <w:p w:rsidR="00000000" w:rsidRPr="00CA3BF1" w:rsidP="00CA3BF1">
            <w:pPr>
              <w:pStyle w:val="ListBullet"/>
            </w:pPr>
            <w:r w:rsidRPr="00CA3BF1">
              <w:t>bitumen</w:t>
            </w:r>
          </w:p>
          <w:p w:rsidR="00000000" w:rsidP="00CA3BF1">
            <w:pPr>
              <w:pStyle w:val="ListBullet"/>
              <w:rPr>
                <w:lang w:val="en-NZ"/>
              </w:rPr>
            </w:pPr>
            <w:r w:rsidRPr="00CA3BF1">
              <w:t>concrete</w:t>
            </w:r>
          </w:p>
        </w:tc>
      </w:tr>
      <w:tr w:rsidTr="00CA3BF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BF1">
            <w:pPr>
              <w:pStyle w:val="Heading4"/>
              <w:rPr>
                <w:lang w:val="en-NZ"/>
              </w:rPr>
            </w:pPr>
            <w:r w:rsidRPr="00CA3BF1">
              <w:t>Stability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BF1" w:rsidP="00CA3BF1">
            <w:pPr>
              <w:pStyle w:val="TableBodyText"/>
            </w:pPr>
            <w:r w:rsidRPr="00CA3BF1">
              <w:t>Stability may include, but is not limited to:</w:t>
            </w:r>
          </w:p>
          <w:p w:rsidR="00000000" w:rsidRPr="00CA3BF1" w:rsidP="00CA3BF1">
            <w:pPr>
              <w:pStyle w:val="ListBullet"/>
            </w:pPr>
            <w:r w:rsidRPr="00CA3BF1">
              <w:t>deploying outriggers</w:t>
            </w:r>
          </w:p>
          <w:p w:rsidR="00000000" w:rsidRPr="00CA3BF1" w:rsidP="00CA3BF1">
            <w:pPr>
              <w:pStyle w:val="ListBullet"/>
            </w:pPr>
            <w:r w:rsidRPr="00CA3BF1">
              <w:t>establishing correct size plates or packing</w:t>
            </w:r>
          </w:p>
          <w:p w:rsidR="00000000" w:rsidP="00CA3BF1">
            <w:pPr>
              <w:pStyle w:val="ListBullet"/>
              <w:rPr>
                <w:lang w:val="en-NZ"/>
              </w:rPr>
            </w:pPr>
            <w:r w:rsidRPr="00CA3BF1">
              <w:t>correctly positioning plates or packing</w:t>
            </w:r>
          </w:p>
        </w:tc>
      </w:tr>
      <w:tr w:rsidTr="00CA3BF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BF1">
            <w:pPr>
              <w:pStyle w:val="Heading4"/>
              <w:rPr>
                <w:lang w:val="en-NZ"/>
              </w:rPr>
            </w:pPr>
            <w:r w:rsidRPr="00CA3BF1">
              <w:t>Crane configuration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BF1" w:rsidP="00CA3BF1">
            <w:pPr>
              <w:pStyle w:val="TableBodyText"/>
            </w:pPr>
            <w:r w:rsidRPr="00CA3BF1">
              <w:t>Crane configuration includes set up of crane for:</w:t>
            </w:r>
          </w:p>
          <w:p w:rsidR="00000000" w:rsidRPr="00CA3BF1" w:rsidP="00CA3BF1">
            <w:pPr>
              <w:pStyle w:val="ListBullet"/>
            </w:pPr>
            <w:r w:rsidRPr="00CA3BF1">
              <w:t>lift and lowering of lo</w:t>
            </w:r>
            <w:r w:rsidRPr="00CA3BF1">
              <w:t xml:space="preserve">ads where crane is not required to move (e.g. where a load is lifted of a truck and the truck then moves away to allow load to be lowered) </w:t>
            </w:r>
          </w:p>
          <w:p w:rsidR="00000000" w:rsidRPr="00CA3BF1" w:rsidP="00CA3BF1">
            <w:pPr>
              <w:pStyle w:val="ListBullet"/>
            </w:pPr>
            <w:r w:rsidRPr="00CA3BF1">
              <w:t xml:space="preserve">mobile load transfer where load is lifted and transferred to a </w:t>
            </w:r>
            <w:r w:rsidRPr="00CA3BF1">
              <w:t>different location by the crane</w:t>
            </w:r>
          </w:p>
          <w:p w:rsidR="00000000" w:rsidRPr="00CA3BF1" w:rsidP="00CA3BF1">
            <w:pPr>
              <w:pStyle w:val="TableBodyText"/>
            </w:pPr>
            <w:r w:rsidRPr="00CA3BF1">
              <w:t>The configuration may</w:t>
            </w:r>
            <w:r w:rsidRPr="00CA3BF1">
              <w:t xml:space="preserve"> include, but is not limited to:</w:t>
            </w:r>
          </w:p>
          <w:p w:rsidR="00000000" w:rsidRPr="00CA3BF1" w:rsidP="00CA3BF1">
            <w:pPr>
              <w:pStyle w:val="ListBullet"/>
            </w:pPr>
            <w:r w:rsidRPr="00CA3BF1">
              <w:t>boom/jib</w:t>
            </w:r>
          </w:p>
          <w:p w:rsidR="00000000" w:rsidRPr="00CA3BF1" w:rsidP="00CA3BF1">
            <w:pPr>
              <w:pStyle w:val="ListBullet"/>
            </w:pPr>
            <w:r w:rsidRPr="00CA3BF1">
              <w:t>fly-jib</w:t>
            </w:r>
          </w:p>
          <w:p w:rsidR="00000000" w:rsidP="00CA3BF1">
            <w:pPr>
              <w:pStyle w:val="ListBullet"/>
              <w:rPr>
                <w:lang w:val="en-NZ"/>
              </w:rPr>
            </w:pPr>
            <w:r w:rsidRPr="00CA3BF1">
              <w:t>counterweights</w:t>
            </w:r>
          </w:p>
        </w:tc>
      </w:tr>
      <w:tr w:rsidTr="00CA3BF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BF1">
            <w:pPr>
              <w:pStyle w:val="Heading4"/>
              <w:rPr>
                <w:lang w:val="en-NZ"/>
              </w:rPr>
            </w:pPr>
            <w:r w:rsidRPr="00CA3BF1">
              <w:t>Hazard prevention/control measures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BF1" w:rsidP="00CA3BF1">
            <w:pPr>
              <w:pStyle w:val="TableBodyText"/>
            </w:pPr>
            <w:r w:rsidRPr="00CA3BF1">
              <w:t>Hazard prevention/control measures may include, but are not limited to:</w:t>
            </w:r>
          </w:p>
          <w:p w:rsidR="00000000" w:rsidRPr="00CA3BF1" w:rsidP="00CA3BF1">
            <w:pPr>
              <w:pStyle w:val="ListBullet"/>
            </w:pPr>
            <w:r w:rsidRPr="00CA3BF1">
              <w:t>safety tags on electrical switches/isolators</w:t>
            </w:r>
          </w:p>
          <w:p w:rsidR="00000000" w:rsidRPr="00CA3BF1" w:rsidP="00CA3BF1">
            <w:pPr>
              <w:pStyle w:val="ListBullet"/>
            </w:pPr>
            <w:r w:rsidRPr="00CA3BF1">
              <w:t>insulated power lines</w:t>
            </w:r>
          </w:p>
          <w:p w:rsidR="00000000" w:rsidRPr="00CA3BF1" w:rsidP="00CA3BF1">
            <w:pPr>
              <w:pStyle w:val="ListBullet"/>
            </w:pPr>
            <w:r w:rsidRPr="00CA3BF1">
              <w:t>safety observer used inside exclusion zone</w:t>
            </w:r>
          </w:p>
          <w:p w:rsidR="00000000" w:rsidRPr="00CA3BF1" w:rsidP="00CA3BF1">
            <w:pPr>
              <w:pStyle w:val="ListBullet"/>
            </w:pPr>
            <w:r w:rsidRPr="00CA3BF1">
              <w:t>disconnected power</w:t>
            </w:r>
          </w:p>
          <w:p w:rsidR="00000000" w:rsidRPr="00CA3BF1" w:rsidP="00CA3BF1">
            <w:pPr>
              <w:pStyle w:val="ListBullet"/>
            </w:pPr>
            <w:r w:rsidRPr="00CA3BF1">
              <w:t>traffic barricades and controls</w:t>
            </w:r>
          </w:p>
          <w:p w:rsidR="00000000" w:rsidRPr="00CA3BF1" w:rsidP="00CA3BF1">
            <w:pPr>
              <w:pStyle w:val="ListBullet"/>
            </w:pPr>
            <w:r w:rsidRPr="00CA3BF1">
              <w:t>pedestrian controls</w:t>
            </w:r>
          </w:p>
          <w:p w:rsidR="00000000" w:rsidRPr="00CA3BF1" w:rsidP="00CA3BF1">
            <w:pPr>
              <w:pStyle w:val="ListBullet"/>
            </w:pPr>
            <w:r w:rsidRPr="00CA3BF1">
              <w:t>trench covers</w:t>
            </w:r>
          </w:p>
          <w:p w:rsidR="00000000" w:rsidRPr="00CA3BF1" w:rsidP="00CA3BF1">
            <w:pPr>
              <w:pStyle w:val="ListBullet"/>
            </w:pPr>
            <w:r w:rsidRPr="00CA3BF1">
              <w:t>movement of obstructions</w:t>
            </w:r>
          </w:p>
          <w:p w:rsidR="00000000" w:rsidRPr="00CA3BF1" w:rsidP="00CA3BF1">
            <w:pPr>
              <w:pStyle w:val="ListBullet"/>
            </w:pPr>
            <w:r w:rsidRPr="00CA3BF1">
              <w:t>personal protective equipment</w:t>
            </w:r>
          </w:p>
          <w:p w:rsidR="00000000" w:rsidP="00CA3BF1">
            <w:pPr>
              <w:pStyle w:val="ListBullet"/>
              <w:rPr>
                <w:lang w:val="en-NZ"/>
              </w:rPr>
            </w:pPr>
            <w:r w:rsidRPr="00CA3BF1">
              <w:t>adequate illumination</w:t>
            </w:r>
          </w:p>
        </w:tc>
      </w:tr>
      <w:tr w:rsidTr="00CA3BF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BF1">
            <w:pPr>
              <w:pStyle w:val="Heading4"/>
              <w:rPr>
                <w:lang w:val="en-NZ"/>
              </w:rPr>
            </w:pPr>
            <w:r w:rsidRPr="00CA3BF1">
              <w:t>Test lift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BF1" w:rsidP="00CA3BF1">
            <w:pPr>
              <w:pStyle w:val="TableBodyText"/>
            </w:pPr>
            <w:r w:rsidRPr="00CA3BF1">
              <w:t>Test list means the load is lifted just clear of the lifting plane to allow for checks to be safely made in consultation with associated personnel to ensure that:</w:t>
            </w:r>
          </w:p>
          <w:p w:rsidR="00000000" w:rsidRPr="00CA3BF1" w:rsidP="00CA3BF1">
            <w:pPr>
              <w:pStyle w:val="ListBullet"/>
            </w:pPr>
            <w:r w:rsidRPr="00CA3BF1">
              <w:t>near capacity loads do not overload the crane</w:t>
            </w:r>
          </w:p>
          <w:p w:rsidR="00000000" w:rsidRPr="00CA3BF1" w:rsidP="00CA3BF1">
            <w:pPr>
              <w:pStyle w:val="ListBullet"/>
            </w:pPr>
            <w:r w:rsidRPr="00CA3BF1">
              <w:t>loads of unusual shape or weight distribution are correctly slung</w:t>
            </w:r>
          </w:p>
          <w:p w:rsidR="00000000" w:rsidRPr="00CA3BF1" w:rsidP="00CA3BF1">
            <w:pPr>
              <w:pStyle w:val="ListBullet"/>
            </w:pPr>
            <w:r w:rsidRPr="00CA3BF1">
              <w:t>load measuring equipment can be used to verify the calculated weight of the load</w:t>
            </w:r>
          </w:p>
          <w:p w:rsidR="00000000" w:rsidRPr="00CA3BF1" w:rsidP="00CA3BF1">
            <w:pPr>
              <w:pStyle w:val="ListBullet"/>
            </w:pPr>
            <w:r w:rsidRPr="00CA3BF1">
              <w:t>all crane equipment is functioning properly</w:t>
            </w:r>
          </w:p>
          <w:p w:rsidR="00000000" w:rsidP="00CA3BF1">
            <w:pPr>
              <w:pStyle w:val="ListBullet"/>
              <w:rPr>
                <w:lang w:val="en-NZ"/>
              </w:rPr>
            </w:pPr>
            <w:r w:rsidRPr="00CA3BF1">
              <w:t>adjustments to the slinging can be made in a safe manner</w:t>
            </w:r>
          </w:p>
        </w:tc>
      </w:tr>
      <w:tr w:rsidTr="00CA3BF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BF1">
            <w:pPr>
              <w:pStyle w:val="Heading4"/>
              <w:rPr>
                <w:lang w:val="en-NZ"/>
              </w:rPr>
            </w:pPr>
            <w:r w:rsidRPr="00CA3BF1">
              <w:t>Relevan</w:t>
            </w:r>
            <w:r w:rsidRPr="00CA3BF1">
              <w:t>t crane movements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BF1" w:rsidP="00CA3BF1">
            <w:pPr>
              <w:pStyle w:val="TableBodyText"/>
            </w:pPr>
            <w:r w:rsidRPr="00CA3BF1">
              <w:t>Relevant crane movements may include, but are not limited to:</w:t>
            </w:r>
          </w:p>
          <w:p w:rsidR="00000000" w:rsidRPr="00CA3BF1" w:rsidP="00CA3BF1">
            <w:pPr>
              <w:pStyle w:val="ListBullet"/>
            </w:pPr>
            <w:r w:rsidRPr="00CA3BF1">
              <w:t>telescope in and out</w:t>
            </w:r>
          </w:p>
          <w:p w:rsidR="00000000" w:rsidRPr="00CA3BF1" w:rsidP="00CA3BF1">
            <w:pPr>
              <w:pStyle w:val="ListBullet"/>
            </w:pPr>
            <w:r w:rsidRPr="00CA3BF1">
              <w:t>boom/jib up and down</w:t>
            </w:r>
          </w:p>
          <w:p w:rsidR="00000000" w:rsidRPr="00CA3BF1" w:rsidP="00CA3BF1">
            <w:pPr>
              <w:pStyle w:val="ListBullet"/>
            </w:pPr>
            <w:r w:rsidRPr="00CA3BF1">
              <w:t>articulating (as applicable)</w:t>
            </w:r>
          </w:p>
          <w:p w:rsidR="00000000" w:rsidP="00CA3BF1">
            <w:pPr>
              <w:pStyle w:val="ListBullet"/>
              <w:rPr>
                <w:lang w:val="en-NZ"/>
              </w:rPr>
            </w:pPr>
            <w:r w:rsidRPr="00CA3BF1">
              <w:t>raise and lower hoist (as applicable)</w:t>
            </w:r>
          </w:p>
        </w:tc>
      </w:tr>
      <w:tr w:rsidTr="00CA3BF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BF1">
            <w:pPr>
              <w:pStyle w:val="Heading4"/>
              <w:rPr>
                <w:lang w:val="en-NZ"/>
              </w:rPr>
            </w:pPr>
            <w:r w:rsidRPr="00CA3BF1">
              <w:t>Communication signals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BF1" w:rsidP="00CA3BF1">
            <w:pPr>
              <w:pStyle w:val="TableBodyText"/>
            </w:pPr>
            <w:r w:rsidRPr="00CA3BF1">
              <w:t>Communication signals may include, but are n</w:t>
            </w:r>
            <w:r w:rsidRPr="00CA3BF1">
              <w:t>ot limited to:</w:t>
            </w:r>
          </w:p>
          <w:p w:rsidR="00000000" w:rsidRPr="00CA3BF1" w:rsidP="00CA3BF1">
            <w:pPr>
              <w:pStyle w:val="ListBullet"/>
            </w:pPr>
            <w:r w:rsidRPr="00CA3BF1">
              <w:t>stop - hand</w:t>
            </w:r>
          </w:p>
          <w:p w:rsidR="00000000" w:rsidRPr="00CA3BF1" w:rsidP="00CA3BF1">
            <w:pPr>
              <w:pStyle w:val="ListBullet"/>
            </w:pPr>
            <w:r w:rsidRPr="00CA3BF1">
              <w:t>stop - whistle</w:t>
            </w:r>
          </w:p>
          <w:p w:rsidR="00000000" w:rsidRPr="00CA3BF1" w:rsidP="00CA3BF1">
            <w:pPr>
              <w:pStyle w:val="ListBullet"/>
            </w:pPr>
            <w:r w:rsidRPr="00CA3BF1">
              <w:t>hoist up - hand</w:t>
            </w:r>
          </w:p>
          <w:p w:rsidR="00000000" w:rsidRPr="00CA3BF1" w:rsidP="00CA3BF1">
            <w:pPr>
              <w:pStyle w:val="ListBullet"/>
            </w:pPr>
            <w:r w:rsidRPr="00CA3BF1">
              <w:t>hoist up - whistle</w:t>
            </w:r>
          </w:p>
          <w:p w:rsidR="00000000" w:rsidRPr="00CA3BF1" w:rsidP="00CA3BF1">
            <w:pPr>
              <w:pStyle w:val="ListBullet"/>
            </w:pPr>
            <w:r w:rsidRPr="00CA3BF1">
              <w:t>hoist down - hand</w:t>
            </w:r>
          </w:p>
          <w:p w:rsidR="00000000" w:rsidRPr="00CA3BF1" w:rsidP="00CA3BF1">
            <w:pPr>
              <w:pStyle w:val="ListBullet"/>
            </w:pPr>
            <w:r w:rsidRPr="00CA3BF1">
              <w:t>hoist down - whistle</w:t>
            </w:r>
          </w:p>
          <w:p w:rsidR="00000000" w:rsidRPr="00CA3BF1" w:rsidP="00CA3BF1">
            <w:pPr>
              <w:pStyle w:val="ListBullet"/>
            </w:pPr>
            <w:r w:rsidRPr="00CA3BF1">
              <w:t>luff boom down - hand</w:t>
            </w:r>
          </w:p>
          <w:p w:rsidR="00000000" w:rsidRPr="00CA3BF1" w:rsidP="00CA3BF1">
            <w:pPr>
              <w:pStyle w:val="ListBullet"/>
            </w:pPr>
            <w:r w:rsidRPr="00CA3BF1">
              <w:t>luff boom down - whistle</w:t>
            </w:r>
          </w:p>
          <w:p w:rsidR="00000000" w:rsidRPr="00CA3BF1" w:rsidP="00CA3BF1">
            <w:pPr>
              <w:pStyle w:val="ListBullet"/>
            </w:pPr>
            <w:r w:rsidRPr="00CA3BF1">
              <w:t>luff boom up - hand</w:t>
            </w:r>
          </w:p>
          <w:p w:rsidR="00000000" w:rsidRPr="00CA3BF1" w:rsidP="00CA3BF1">
            <w:pPr>
              <w:pStyle w:val="ListBullet"/>
            </w:pPr>
            <w:r w:rsidRPr="00CA3BF1">
              <w:t>luff boom up - whistle</w:t>
            </w:r>
          </w:p>
          <w:p w:rsidR="00000000" w:rsidRPr="00CA3BF1" w:rsidP="00CA3BF1">
            <w:pPr>
              <w:pStyle w:val="ListBullet"/>
            </w:pPr>
            <w:r w:rsidRPr="00CA3BF1">
              <w:t>telescope out - hand</w:t>
            </w:r>
          </w:p>
          <w:p w:rsidR="00000000" w:rsidRPr="00CA3BF1" w:rsidP="00CA3BF1">
            <w:pPr>
              <w:pStyle w:val="ListBullet"/>
            </w:pPr>
            <w:r w:rsidRPr="00CA3BF1">
              <w:t>telescope out - whistle</w:t>
            </w:r>
          </w:p>
          <w:p w:rsidR="00000000" w:rsidRPr="00CA3BF1" w:rsidP="00CA3BF1">
            <w:pPr>
              <w:pStyle w:val="ListBullet"/>
            </w:pPr>
            <w:r w:rsidRPr="00CA3BF1">
              <w:t>telescope in - hand</w:t>
            </w:r>
          </w:p>
          <w:p w:rsidR="00000000" w:rsidRPr="00CA3BF1" w:rsidP="00CA3BF1">
            <w:pPr>
              <w:pStyle w:val="ListBullet"/>
            </w:pPr>
            <w:r w:rsidRPr="00CA3BF1">
              <w:t>telescope in - whistle</w:t>
            </w:r>
          </w:p>
          <w:p w:rsidR="00000000" w:rsidRPr="00CA3BF1" w:rsidP="00CA3BF1">
            <w:pPr>
              <w:pStyle w:val="ListBullet"/>
            </w:pPr>
            <w:r w:rsidRPr="00CA3BF1">
              <w:t>slew/articulate right - hand</w:t>
            </w:r>
          </w:p>
          <w:p w:rsidR="00000000" w:rsidRPr="00CA3BF1" w:rsidP="00CA3BF1">
            <w:pPr>
              <w:pStyle w:val="ListBullet"/>
            </w:pPr>
            <w:r w:rsidRPr="00CA3BF1">
              <w:t>slew/articulate right - whistle</w:t>
            </w:r>
          </w:p>
          <w:p w:rsidR="00000000" w:rsidRPr="00CA3BF1" w:rsidP="00CA3BF1">
            <w:pPr>
              <w:pStyle w:val="ListBullet"/>
            </w:pPr>
            <w:r w:rsidRPr="00CA3BF1">
              <w:t>slew/articulate left - hand</w:t>
            </w:r>
          </w:p>
          <w:p w:rsidR="00000000" w:rsidP="00CA3BF1">
            <w:pPr>
              <w:pStyle w:val="ListBullet"/>
              <w:rPr>
                <w:lang w:val="en-NZ"/>
              </w:rPr>
            </w:pPr>
            <w:r w:rsidRPr="00CA3BF1">
              <w:t>slew/articulate left - whistle</w:t>
            </w:r>
          </w:p>
        </w:tc>
      </w:tr>
      <w:tr w:rsidTr="00CA3BF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BF1">
            <w:pPr>
              <w:pStyle w:val="Heading4"/>
              <w:rPr>
                <w:lang w:val="en-NZ"/>
              </w:rPr>
            </w:pPr>
            <w:r w:rsidRPr="00CA3BF1">
              <w:t>Unplanned and/or unsafe situations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BF1" w:rsidP="00CA3BF1">
            <w:pPr>
              <w:pStyle w:val="TableBodyText"/>
            </w:pPr>
            <w:r w:rsidRPr="00CA3BF1">
              <w:t>Unplanned and/or unsafe situations may include, but are n</w:t>
            </w:r>
            <w:r w:rsidRPr="00CA3BF1">
              <w:t>ot limited to:</w:t>
            </w:r>
          </w:p>
          <w:p w:rsidR="00000000" w:rsidRPr="00CA3BF1" w:rsidP="00CA3BF1">
            <w:pPr>
              <w:pStyle w:val="ListBullet"/>
            </w:pPr>
            <w:r w:rsidRPr="00CA3BF1">
              <w:t>failure/loss of control (e.g. brakes and steering)</w:t>
            </w:r>
          </w:p>
          <w:p w:rsidR="00000000" w:rsidRPr="00CA3BF1" w:rsidP="00CA3BF1">
            <w:pPr>
              <w:pStyle w:val="ListBullet"/>
            </w:pPr>
            <w:r w:rsidRPr="00CA3BF1">
              <w:t>failure of equipment (e.g. hydraulic system)</w:t>
            </w:r>
          </w:p>
          <w:p w:rsidR="00000000" w:rsidP="00CA3BF1">
            <w:pPr>
              <w:pStyle w:val="ListBullet"/>
              <w:rPr>
                <w:lang w:val="en-NZ"/>
              </w:rPr>
            </w:pPr>
            <w:r w:rsidRPr="00CA3BF1">
              <w:t>environmental conditions (e.g. wind, lightning and storms)</w:t>
            </w:r>
          </w:p>
        </w:tc>
      </w:tr>
      <w:tr w:rsidTr="00CA3BF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BF1">
            <w:pPr>
              <w:pStyle w:val="Heading4"/>
              <w:rPr>
                <w:lang w:val="en-NZ"/>
              </w:rPr>
            </w:pPr>
            <w:r w:rsidRPr="00CA3BF1">
              <w:t>Planned route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BF1" w:rsidP="00CA3BF1">
            <w:pPr>
              <w:pStyle w:val="TableBodyText"/>
            </w:pPr>
            <w:r w:rsidRPr="00CA3BF1">
              <w:t>Planned route may include, but is not limited to:</w:t>
            </w:r>
          </w:p>
          <w:p w:rsidR="00000000" w:rsidRPr="00CA3BF1" w:rsidP="00CA3BF1">
            <w:pPr>
              <w:pStyle w:val="ListBullet"/>
            </w:pPr>
            <w:r w:rsidRPr="00CA3BF1">
              <w:t>unusual or difficult terrains</w:t>
            </w:r>
          </w:p>
          <w:p w:rsidR="00000000" w:rsidP="00CA3BF1">
            <w:pPr>
              <w:pStyle w:val="ListBullet"/>
              <w:rPr>
                <w:lang w:val="en-NZ"/>
              </w:rPr>
            </w:pPr>
            <w:r w:rsidRPr="00CA3BF1">
              <w:t>obstacles or obstruction</w:t>
            </w:r>
          </w:p>
        </w:tc>
      </w:tr>
      <w:tr w:rsidTr="00CA3BF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BF1">
            <w:pPr>
              <w:pStyle w:val="Heading4"/>
              <w:rPr>
                <w:lang w:val="en-NZ"/>
              </w:rPr>
            </w:pPr>
            <w:r w:rsidRPr="00CA3BF1">
              <w:t>Best mobile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BF1" w:rsidP="00CA3BF1">
            <w:pPr>
              <w:pStyle w:val="TableBodyText"/>
            </w:pPr>
            <w:r w:rsidRPr="00CA3BF1">
              <w:t>Best mobile practice may include, but is not limited to:</w:t>
            </w:r>
          </w:p>
          <w:p w:rsidR="00000000" w:rsidRPr="00CA3BF1" w:rsidP="00CA3BF1">
            <w:pPr>
              <w:pStyle w:val="ListBullet"/>
            </w:pPr>
            <w:r w:rsidRPr="00CA3BF1">
              <w:t>minimum speed</w:t>
            </w:r>
          </w:p>
          <w:p w:rsidR="00000000" w:rsidRPr="00CA3BF1" w:rsidP="00CA3BF1">
            <w:pPr>
              <w:pStyle w:val="ListBullet"/>
            </w:pPr>
            <w:r w:rsidRPr="00CA3BF1">
              <w:t>gentle acceleration and braking (to minimise load swing)</w:t>
            </w:r>
          </w:p>
          <w:p w:rsidR="00000000" w:rsidRPr="00CA3BF1" w:rsidP="00CA3BF1">
            <w:pPr>
              <w:pStyle w:val="ListBullet"/>
            </w:pPr>
            <w:r w:rsidRPr="00CA3BF1">
              <w:t>minimum boom/jib length</w:t>
            </w:r>
          </w:p>
          <w:p w:rsidR="00000000" w:rsidRPr="00CA3BF1" w:rsidP="00CA3BF1">
            <w:pPr>
              <w:pStyle w:val="ListBullet"/>
            </w:pPr>
            <w:r w:rsidRPr="00CA3BF1">
              <w:t>carrying the load near to t</w:t>
            </w:r>
            <w:r w:rsidRPr="00CA3BF1">
              <w:t xml:space="preserve">he ground surface </w:t>
            </w:r>
          </w:p>
          <w:p w:rsidR="00000000" w:rsidP="00CA3BF1">
            <w:pPr>
              <w:pStyle w:val="ListBullet"/>
              <w:rPr>
                <w:lang w:val="en-NZ"/>
              </w:rPr>
            </w:pPr>
            <w:r w:rsidRPr="00CA3BF1">
              <w:t>use of handheld taglines</w:t>
            </w:r>
          </w:p>
        </w:tc>
      </w:tr>
      <w:tr w:rsidTr="00CA3BF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BF1">
            <w:pPr>
              <w:pStyle w:val="Heading4"/>
              <w:rPr>
                <w:lang w:val="en-NZ"/>
              </w:rPr>
            </w:pPr>
            <w:r w:rsidRPr="00CA3BF1">
              <w:t>Shutdown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BF1" w:rsidP="00CA3BF1">
            <w:pPr>
              <w:pStyle w:val="TableBodyText"/>
            </w:pPr>
            <w:r w:rsidRPr="00CA3BF1">
              <w:t>Shutdown may include, but is not limited to:</w:t>
            </w:r>
          </w:p>
          <w:p w:rsidR="00000000" w:rsidRPr="00CA3BF1" w:rsidP="00CA3BF1">
            <w:pPr>
              <w:pStyle w:val="ListBullet"/>
            </w:pPr>
            <w:r w:rsidRPr="00CA3BF1">
              <w:t>retracting boom/jib/fly, where applicable</w:t>
            </w:r>
          </w:p>
          <w:p w:rsidR="00000000" w:rsidRPr="00CA3BF1" w:rsidP="00CA3BF1">
            <w:pPr>
              <w:pStyle w:val="ListBullet"/>
            </w:pPr>
            <w:r w:rsidRPr="00CA3BF1">
              <w:t>retracting hoist rope and hook block</w:t>
            </w:r>
          </w:p>
          <w:p w:rsidR="00000000" w:rsidRPr="00CA3BF1" w:rsidP="00CA3BF1">
            <w:pPr>
              <w:pStyle w:val="ListBullet"/>
            </w:pPr>
            <w:r w:rsidRPr="00CA3BF1">
              <w:t>idling engine to stabilise temperature</w:t>
            </w:r>
          </w:p>
          <w:p w:rsidR="00000000" w:rsidRPr="00CA3BF1" w:rsidP="00CA3BF1">
            <w:pPr>
              <w:pStyle w:val="ListBullet"/>
            </w:pPr>
            <w:r w:rsidRPr="00CA3BF1">
              <w:t>retracting outriggers/stabilisers, where applicable</w:t>
            </w:r>
          </w:p>
          <w:p w:rsidR="00000000" w:rsidRPr="00CA3BF1" w:rsidP="00CA3BF1">
            <w:pPr>
              <w:pStyle w:val="ListBullet"/>
            </w:pPr>
            <w:r w:rsidRPr="00CA3BF1">
              <w:t>turning off engine</w:t>
            </w:r>
          </w:p>
        </w:tc>
      </w:tr>
    </w:tbl>
    <w:p w:rsidR="00146CE9" w:rsidP="00CA3BF1"/>
    <w:p w:rsidR="00146CE9" w:rsidP="00CA3BF1"/>
    <w:p w:rsidR="00000000" w:rsidRPr="00CA3BF1" w:rsidP="00CA3BF1">
      <w:pPr>
        <w:pStyle w:val="Heading1"/>
      </w:pPr>
      <w:bookmarkStart w:id="12" w:name="O_338181"/>
      <w:bookmarkEnd w:id="12"/>
      <w:r w:rsidRPr="00CA3BF1">
        <w:t>Unit Sector(s)</w:t>
      </w:r>
    </w:p>
    <w:p w:rsidR="00000000" w:rsidRPr="00CA3BF1" w:rsidP="00CA3BF1">
      <w:pPr>
        <w:pStyle w:val="BodyText"/>
      </w:pPr>
      <w:r w:rsidRPr="00CA3BF1">
        <w:t>Materials handling</w:t>
      </w:r>
    </w:p>
    <w:p w:rsidR="00000000" w:rsidRPr="00CA3BF1" w:rsidP="00CA3BF1">
      <w:pPr>
        <w:pStyle w:val="AllowPageBreak"/>
      </w:pPr>
    </w:p>
    <w:p w:rsidR="00000000" w:rsidRPr="00CA3BF1" w:rsidP="00CA3BF1">
      <w:pPr>
        <w:pStyle w:val="Heading1"/>
      </w:pPr>
      <w:bookmarkStart w:id="13" w:name="O_338182"/>
      <w:bookmarkEnd w:id="13"/>
      <w:r w:rsidRPr="00CA3BF1">
        <w:t>Custom Content Section</w:t>
      </w:r>
    </w:p>
    <w:p w:rsidR="00000000" w:rsidRPr="00CA3BF1" w:rsidP="00CA3BF1">
      <w:pPr>
        <w:pStyle w:val="BodyText"/>
      </w:pPr>
      <w:r w:rsidRPr="00CA3BF1">
        <w:t>Not applicable.</w:t>
      </w:r>
    </w:p>
    <w:p w:rsidR="00000000" w:rsidRPr="00CA3BF1" w:rsidP="00CA3BF1"/>
    <w:sectPr w:rsidSect="00CA3B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B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6CE9" w:rsidP="00146CE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B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CE9" w:rsidP="00CA3BF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46CE9" w:rsidP="00CA3B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46CE9" w:rsidP="00CA3B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B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BF1" w:rsidRPr="00146CE9" w:rsidP="00146CE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B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CE9" w:rsidRPr="002D2AF8" w:rsidP="00CA3BF1">
    <w:pPr>
      <w:pStyle w:val="Header"/>
      <w:framePr w:wrap="around"/>
    </w:pPr>
    <w:r>
      <w:fldChar w:fldCharType="begin"/>
    </w:r>
    <w:r>
      <w:instrText xml:space="preserve"> TITLE   \* MERGEFORMAT </w:instrText>
    </w:r>
    <w:r>
      <w:fldChar w:fldCharType="separate"/>
    </w:r>
    <w:r>
      <w:t>MEM11025A Operate a non-slewing mobile crane of greater than three tonnes capacity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146CE9" w:rsidP="00CA3B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0A47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8F0AE112"/>
    <w:lvl w:ilvl="0">
      <w:start w:val="1"/>
      <w:numFmt w:val="decimal"/>
      <w:pStyle w:val="ListNumber"/>
      <w:lvlText w:val="%1."/>
      <w:lvlJc w:val="left"/>
      <w:pPr>
        <w:tabs>
          <w:tab w:val="num" w:pos="360"/>
        </w:tabs>
        <w:ind w:left="360" w:hanging="360"/>
      </w:pPr>
    </w:lvl>
  </w:abstractNum>
  <w:abstractNum w:abstractNumId="8">
    <w:nsid w:val="FFFFFF89"/>
    <w:multiLevelType w:val="singleLevel"/>
    <w:tmpl w:val="6BB45078"/>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DD8A7FE2"/>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6"/>
  </w:num>
  <w:num w:numId="3">
    <w:abstractNumId w:val="7"/>
  </w:num>
  <w:num w:numId="4">
    <w:abstractNumId w:val="4"/>
  </w:num>
  <w:num w:numId="5">
    <w:abstractNumId w:val="3"/>
  </w:num>
  <w:num w:numId="6">
    <w:abstractNumId w:val="2"/>
  </w:num>
  <w:num w:numId="7">
    <w:abstractNumId w:val="1"/>
  </w:num>
  <w:num w:numId="8">
    <w:abstractNumId w:val="0"/>
  </w:num>
  <w:num w:numId="9">
    <w:abstractNumId w:val="15"/>
  </w:num>
  <w:num w:numId="10">
    <w:abstractNumId w:val="12"/>
  </w:num>
  <w:num w:numId="11">
    <w:abstractNumId w:val="16"/>
  </w:num>
  <w:num w:numId="12">
    <w:abstractNumId w:val="14"/>
  </w:num>
  <w:num w:numId="13">
    <w:abstractNumId w:val="10"/>
  </w:num>
  <w:num w:numId="14">
    <w:abstractNumId w:val="13"/>
  </w:num>
  <w:num w:numId="15">
    <w:abstractNumId w:val="11"/>
  </w:num>
  <w:num w:numId="16">
    <w:abstractNumId w:val="5"/>
  </w:num>
  <w:num w:numId="17">
    <w:abstractNumId w:val="9"/>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unhideWhenUsed="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B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3BF1"/>
    <w:pPr>
      <w:spacing w:before="360" w:after="60"/>
      <w:outlineLvl w:val="0"/>
    </w:pPr>
    <w:rPr>
      <w:sz w:val="32"/>
    </w:rPr>
  </w:style>
  <w:style w:type="paragraph" w:styleId="Heading2">
    <w:name w:val="heading 2"/>
    <w:basedOn w:val="HeadingBase"/>
    <w:next w:val="BodyText"/>
    <w:link w:val="Heading2Char"/>
    <w:qFormat/>
    <w:rsid w:val="00CA3BF1"/>
    <w:pPr>
      <w:keepLines/>
      <w:spacing w:before="240" w:after="120"/>
      <w:outlineLvl w:val="1"/>
    </w:pPr>
    <w:rPr>
      <w:sz w:val="28"/>
      <w:szCs w:val="40"/>
    </w:rPr>
  </w:style>
  <w:style w:type="paragraph" w:styleId="Heading3">
    <w:name w:val="heading 3"/>
    <w:basedOn w:val="HeadingBase"/>
    <w:next w:val="BodyText"/>
    <w:link w:val="Heading3Char"/>
    <w:qFormat/>
    <w:rsid w:val="00CA3BF1"/>
    <w:pPr>
      <w:spacing w:before="180" w:after="120"/>
      <w:outlineLvl w:val="2"/>
    </w:pPr>
    <w:rPr>
      <w:spacing w:val="-10"/>
      <w:kern w:val="32"/>
    </w:rPr>
  </w:style>
  <w:style w:type="paragraph" w:styleId="Heading4">
    <w:name w:val="heading 4"/>
    <w:basedOn w:val="HeadingBase"/>
    <w:next w:val="BodyText"/>
    <w:link w:val="Heading4Char"/>
    <w:qFormat/>
    <w:rsid w:val="00CA3BF1"/>
    <w:pPr>
      <w:spacing w:before="160" w:after="120"/>
      <w:outlineLvl w:val="3"/>
    </w:pPr>
    <w:rPr>
      <w:sz w:val="22"/>
    </w:rPr>
  </w:style>
  <w:style w:type="paragraph" w:styleId="Heading5">
    <w:name w:val="heading 5"/>
    <w:basedOn w:val="HeadingBase"/>
    <w:next w:val="Normal"/>
    <w:link w:val="Heading5Char"/>
    <w:qFormat/>
    <w:rsid w:val="00CA3BF1"/>
    <w:pPr>
      <w:spacing w:before="80"/>
      <w:outlineLvl w:val="4"/>
    </w:pPr>
    <w:rPr>
      <w:color w:val="918585"/>
      <w:sz w:val="20"/>
    </w:rPr>
  </w:style>
  <w:style w:type="paragraph" w:styleId="Heading6">
    <w:name w:val="heading 6"/>
    <w:basedOn w:val="HeadingBase"/>
    <w:next w:val="Normal"/>
    <w:link w:val="Heading6Char"/>
    <w:qFormat/>
    <w:rsid w:val="00CA3BF1"/>
    <w:pPr>
      <w:spacing w:before="60"/>
      <w:outlineLvl w:val="5"/>
    </w:pPr>
    <w:rPr>
      <w:color w:val="918585"/>
      <w:sz w:val="20"/>
    </w:rPr>
  </w:style>
  <w:style w:type="paragraph" w:styleId="Heading7">
    <w:name w:val="heading 7"/>
    <w:basedOn w:val="Normal"/>
    <w:next w:val="Normal"/>
    <w:link w:val="Heading7Char"/>
    <w:qFormat/>
    <w:rsid w:val="00CA3BF1"/>
    <w:pPr>
      <w:ind w:left="720"/>
      <w:outlineLvl w:val="6"/>
    </w:pPr>
    <w:rPr>
      <w:i/>
    </w:rPr>
  </w:style>
  <w:style w:type="paragraph" w:styleId="Heading8">
    <w:name w:val="heading 8"/>
    <w:basedOn w:val="Normal"/>
    <w:next w:val="Normal"/>
    <w:link w:val="Heading8Char"/>
    <w:qFormat/>
    <w:rsid w:val="00CA3BF1"/>
    <w:pPr>
      <w:ind w:left="720"/>
      <w:outlineLvl w:val="7"/>
    </w:pPr>
    <w:rPr>
      <w:i/>
    </w:rPr>
  </w:style>
  <w:style w:type="paragraph" w:styleId="Heading9">
    <w:name w:val="heading 9"/>
    <w:basedOn w:val="Normal"/>
    <w:next w:val="Normal"/>
    <w:link w:val="Heading9Char"/>
    <w:qFormat/>
    <w:rsid w:val="00CA3BF1"/>
    <w:pPr>
      <w:ind w:left="720"/>
      <w:outlineLvl w:val="8"/>
    </w:pPr>
    <w:rPr>
      <w:i/>
    </w:rPr>
  </w:style>
  <w:style w:type="character" w:default="1" w:styleId="DefaultParagraphFont">
    <w:name w:val="Default Paragraph Font"/>
    <w:uiPriority w:val="1"/>
    <w:unhideWhenUsed/>
    <w:rsid w:val="00CA3B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3BF1"/>
  </w:style>
  <w:style w:type="character" w:customStyle="1" w:styleId="Heading1Char">
    <w:name w:val="Heading 1 Char"/>
    <w:basedOn w:val="DefaultParagraphFont"/>
    <w:link w:val="Heading1"/>
    <w:rsid w:val="00CA3BF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A3BF1"/>
    <w:rPr>
      <w:rFonts w:ascii="Times New Roman" w:eastAsia="Times New Roman" w:hAnsi="Times New Roman" w:cs="Times New Roman"/>
      <w:b/>
      <w:szCs w:val="20"/>
      <w:lang w:eastAsia="en-US"/>
    </w:rPr>
  </w:style>
  <w:style w:type="paragraph" w:styleId="BodyText">
    <w:name w:val="Body Text"/>
    <w:basedOn w:val="Normal"/>
    <w:link w:val="BodyTextChar"/>
    <w:rsid w:val="00CA3B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3BF1"/>
    <w:rPr>
      <w:rFonts w:ascii="Times New Roman" w:eastAsia="Times New Roman" w:hAnsi="Times New Roman" w:cs="Times New Roman"/>
      <w:sz w:val="24"/>
      <w:lang w:eastAsia="en-US"/>
    </w:rPr>
  </w:style>
  <w:style w:type="paragraph" w:styleId="Footer">
    <w:name w:val="footer"/>
    <w:basedOn w:val="Normal"/>
    <w:link w:val="FooterChar"/>
    <w:rsid w:val="00CA3B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3BF1"/>
    <w:rPr>
      <w:rFonts w:ascii="Times New Roman" w:eastAsia="Times New Roman" w:hAnsi="Times New Roman" w:cs="Times New Roman"/>
      <w:sz w:val="16"/>
      <w:lang w:eastAsia="en-US"/>
    </w:rPr>
  </w:style>
  <w:style w:type="paragraph" w:styleId="ListBullet">
    <w:name w:val="List Bullet"/>
    <w:basedOn w:val="List"/>
    <w:rsid w:val="00CA3BF1"/>
    <w:pPr>
      <w:numPr>
        <w:numId w:val="14"/>
      </w:numPr>
      <w:tabs>
        <w:tab w:val="clear" w:pos="340"/>
      </w:tabs>
      <w:spacing w:before="40" w:after="40"/>
    </w:pPr>
  </w:style>
  <w:style w:type="paragraph" w:styleId="ListBullet2">
    <w:name w:val="List Bullet 2"/>
    <w:basedOn w:val="List2"/>
    <w:rsid w:val="00CA3BF1"/>
    <w:pPr>
      <w:numPr>
        <w:numId w:val="15"/>
      </w:numPr>
      <w:tabs>
        <w:tab w:val="clear" w:pos="680"/>
      </w:tabs>
    </w:pPr>
  </w:style>
  <w:style w:type="paragraph" w:customStyle="1" w:styleId="SuperHeading">
    <w:name w:val="SuperHeading"/>
    <w:basedOn w:val="Normal"/>
    <w:rsid w:val="00CA3BF1"/>
    <w:pPr>
      <w:spacing w:before="240" w:after="120"/>
      <w:outlineLvl w:val="0"/>
    </w:pPr>
    <w:rPr>
      <w:rFonts w:ascii="Times New Roman" w:hAnsi="Times New Roman"/>
      <w:b/>
      <w:sz w:val="28"/>
    </w:rPr>
  </w:style>
  <w:style w:type="paragraph" w:styleId="ListNumber">
    <w:name w:val="List Number"/>
    <w:basedOn w:val="List"/>
    <w:rsid w:val="00CA3BF1"/>
    <w:pPr>
      <w:numPr>
        <w:numId w:val="12"/>
      </w:numPr>
    </w:pPr>
  </w:style>
  <w:style w:type="paragraph" w:customStyle="1" w:styleId="AllowPageBreak">
    <w:name w:val="AllowPageBreak"/>
    <w:rsid w:val="00CA3BF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CA3BF1"/>
    <w:pPr>
      <w:spacing w:before="60" w:after="60"/>
    </w:pPr>
  </w:style>
  <w:style w:type="character" w:customStyle="1" w:styleId="Heading2Char">
    <w:name w:val="Heading 2 Char"/>
    <w:basedOn w:val="DefaultParagraphFont"/>
    <w:link w:val="Heading2"/>
    <w:rsid w:val="00CA3B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3BF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A3B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3B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3B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3B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3BF1"/>
    <w:rPr>
      <w:rFonts w:ascii="Courier New" w:eastAsia="Times New Roman" w:hAnsi="Courier New" w:cs="Times New Roman"/>
      <w:i/>
      <w:szCs w:val="20"/>
      <w:lang w:eastAsia="en-US"/>
    </w:rPr>
  </w:style>
  <w:style w:type="paragraph" w:customStyle="1" w:styleId="HeadingBase">
    <w:name w:val="Heading Base"/>
    <w:rsid w:val="00CA3B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3BF1"/>
    <w:pPr>
      <w:tabs>
        <w:tab w:val="right" w:leader="dot" w:pos="9072"/>
      </w:tabs>
      <w:ind w:left="567"/>
    </w:pPr>
    <w:rPr>
      <w:szCs w:val="22"/>
    </w:rPr>
  </w:style>
  <w:style w:type="paragraph" w:customStyle="1" w:styleId="TOCBase">
    <w:name w:val="TOC Base"/>
    <w:rsid w:val="00CA3B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3BF1"/>
    <w:pPr>
      <w:tabs>
        <w:tab w:val="right" w:leader="dot" w:pos="9072"/>
      </w:tabs>
      <w:spacing w:before="40" w:after="40"/>
      <w:ind w:left="284"/>
    </w:pPr>
    <w:rPr>
      <w:rFonts w:ascii="Times New Roman" w:hAnsi="Times New Roman"/>
    </w:rPr>
  </w:style>
  <w:style w:type="paragraph" w:styleId="TOC1">
    <w:name w:val="toc 1"/>
    <w:basedOn w:val="TOCBase"/>
    <w:next w:val="Normal"/>
    <w:rsid w:val="00CA3B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3BF1"/>
    <w:pPr>
      <w:spacing w:before="5040"/>
      <w:jc w:val="center"/>
    </w:pPr>
    <w:rPr>
      <w:sz w:val="48"/>
      <w:szCs w:val="72"/>
      <w:lang w:val="en-US"/>
    </w:rPr>
  </w:style>
  <w:style w:type="character" w:customStyle="1" w:styleId="TitleChar">
    <w:name w:val="Title Char"/>
    <w:basedOn w:val="DefaultParagraphFont"/>
    <w:link w:val="Title"/>
    <w:rsid w:val="00CA3B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3BF1"/>
    <w:pPr>
      <w:tabs>
        <w:tab w:val="left" w:pos="3600"/>
        <w:tab w:val="left" w:pos="3958"/>
      </w:tabs>
    </w:pPr>
  </w:style>
  <w:style w:type="paragraph" w:styleId="List">
    <w:name w:val="List"/>
    <w:basedOn w:val="BodyText"/>
    <w:next w:val="BodyText"/>
    <w:rsid w:val="00CA3BF1"/>
    <w:pPr>
      <w:tabs>
        <w:tab w:val="left" w:pos="340"/>
      </w:tabs>
      <w:spacing w:before="60" w:after="60"/>
      <w:ind w:left="340" w:hanging="340"/>
    </w:pPr>
  </w:style>
  <w:style w:type="paragraph" w:customStyle="1" w:styleId="Note">
    <w:name w:val="Note"/>
    <w:basedOn w:val="BodyText"/>
    <w:rsid w:val="00CA3BF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A3BF1"/>
    <w:rPr>
      <w:b/>
      <w:spacing w:val="0"/>
    </w:rPr>
  </w:style>
  <w:style w:type="paragraph" w:customStyle="1" w:styleId="SuperTitle">
    <w:name w:val="SuperTitle"/>
    <w:basedOn w:val="Title"/>
    <w:rsid w:val="00CA3BF1"/>
    <w:pPr>
      <w:framePr w:wrap="auto" w:hAnchor="text" w:y="6049"/>
    </w:pPr>
    <w:rPr>
      <w:color w:val="000000"/>
      <w:sz w:val="40"/>
    </w:rPr>
  </w:style>
  <w:style w:type="paragraph" w:customStyle="1" w:styleId="TOCTitle">
    <w:name w:val="TOCTitle"/>
    <w:basedOn w:val="Heading1"/>
    <w:rsid w:val="00CA3BF1"/>
    <w:pPr>
      <w:spacing w:after="240"/>
      <w:jc w:val="center"/>
      <w:outlineLvl w:val="9"/>
    </w:pPr>
    <w:rPr>
      <w:caps/>
    </w:rPr>
  </w:style>
  <w:style w:type="paragraph" w:customStyle="1" w:styleId="Version">
    <w:name w:val="Version"/>
    <w:rsid w:val="00CA3B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3BF1"/>
    <w:pPr>
      <w:keepNext w:val="0"/>
      <w:tabs>
        <w:tab w:val="right" w:pos="4176"/>
      </w:tabs>
      <w:ind w:left="198" w:hanging="198"/>
    </w:pPr>
    <w:rPr>
      <w:rFonts w:ascii="Garamond" w:hAnsi="Garamond"/>
    </w:rPr>
  </w:style>
  <w:style w:type="paragraph" w:styleId="IndexHeading">
    <w:name w:val="index heading"/>
    <w:basedOn w:val="Normal"/>
    <w:next w:val="Index1"/>
    <w:semiHidden/>
    <w:rsid w:val="00CA3BF1"/>
    <w:pPr>
      <w:spacing w:before="120" w:after="120"/>
    </w:pPr>
    <w:rPr>
      <w:rFonts w:ascii="Arial" w:hAnsi="Arial"/>
      <w:b/>
      <w:color w:val="918585"/>
      <w:sz w:val="24"/>
    </w:rPr>
  </w:style>
  <w:style w:type="paragraph" w:styleId="Header">
    <w:name w:val="header"/>
    <w:basedOn w:val="Normal"/>
    <w:link w:val="HeaderChar"/>
    <w:rsid w:val="00CA3B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3BF1"/>
    <w:rPr>
      <w:rFonts w:ascii="Times New Roman" w:eastAsia="Times New Roman" w:hAnsi="Times New Roman" w:cs="Times New Roman"/>
      <w:sz w:val="16"/>
      <w:szCs w:val="20"/>
      <w:lang w:val="en-GB" w:eastAsia="en-US"/>
    </w:rPr>
  </w:style>
  <w:style w:type="paragraph" w:customStyle="1" w:styleId="Chapter">
    <w:name w:val="Chapter"/>
    <w:basedOn w:val="Normal"/>
    <w:rsid w:val="00CA3BF1"/>
    <w:pPr>
      <w:spacing w:before="240"/>
    </w:pPr>
    <w:rPr>
      <w:rFonts w:ascii="Times New Roman" w:hAnsi="Times New Roman"/>
      <w:smallCaps/>
      <w:spacing w:val="80"/>
      <w:sz w:val="28"/>
    </w:rPr>
  </w:style>
  <w:style w:type="paragraph" w:customStyle="1" w:styleId="InChapter">
    <w:name w:val="InChapter"/>
    <w:basedOn w:val="Heading3"/>
    <w:rsid w:val="00CA3BF1"/>
    <w:pPr>
      <w:spacing w:after="240"/>
      <w:outlineLvl w:val="9"/>
    </w:pPr>
    <w:rPr>
      <w:noProof/>
    </w:rPr>
  </w:style>
  <w:style w:type="paragraph" w:styleId="Index2">
    <w:name w:val="index 2"/>
    <w:basedOn w:val="Normal"/>
    <w:next w:val="Normal"/>
    <w:semiHidden/>
    <w:rsid w:val="00CA3BF1"/>
    <w:pPr>
      <w:tabs>
        <w:tab w:val="right" w:pos="4176"/>
      </w:tabs>
      <w:ind w:left="568" w:hanging="284"/>
    </w:pPr>
    <w:rPr>
      <w:rFonts w:ascii="Garamond" w:hAnsi="Garamond"/>
    </w:rPr>
  </w:style>
  <w:style w:type="paragraph" w:customStyle="1" w:styleId="Byline">
    <w:name w:val="Byline"/>
    <w:rsid w:val="00CA3B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3BF1"/>
    <w:pPr>
      <w:tabs>
        <w:tab w:val="clear" w:pos="3600"/>
        <w:tab w:val="clear" w:pos="3958"/>
      </w:tabs>
      <w:jc w:val="right"/>
    </w:pPr>
  </w:style>
  <w:style w:type="character" w:styleId="Emphasis">
    <w:name w:val="Emphasis"/>
    <w:basedOn w:val="DefaultParagraphFont"/>
    <w:qFormat/>
    <w:rsid w:val="00CA3BF1"/>
    <w:rPr>
      <w:i/>
    </w:rPr>
  </w:style>
  <w:style w:type="paragraph" w:styleId="Caption">
    <w:name w:val="caption"/>
    <w:basedOn w:val="BodyText"/>
    <w:next w:val="Normal"/>
    <w:qFormat/>
    <w:rsid w:val="00CA3BF1"/>
    <w:pPr>
      <w:framePr w:w="2268" w:hSpace="181" w:vSpace="181" w:wrap="around" w:vAnchor="text" w:hAnchor="page" w:x="1135" w:y="285" w:anchorLock="1"/>
    </w:pPr>
    <w:rPr>
      <w:i/>
    </w:rPr>
  </w:style>
  <w:style w:type="paragraph" w:customStyle="1" w:styleId="MiniTOCTitle">
    <w:name w:val="MiniTOCTitle"/>
    <w:basedOn w:val="Heading4"/>
    <w:rsid w:val="00CA3BF1"/>
    <w:pPr>
      <w:spacing w:before="240"/>
      <w:outlineLvl w:val="9"/>
    </w:pPr>
    <w:rPr>
      <w:noProof/>
      <w:sz w:val="24"/>
    </w:rPr>
  </w:style>
  <w:style w:type="paragraph" w:customStyle="1" w:styleId="MiniTOCItem">
    <w:name w:val="MiniTOCItem"/>
    <w:basedOn w:val="ListBullet"/>
    <w:rsid w:val="00CA3BF1"/>
    <w:pPr>
      <w:numPr>
        <w:numId w:val="0"/>
      </w:numPr>
      <w:tabs>
        <w:tab w:val="right" w:leader="dot" w:pos="6521"/>
      </w:tabs>
      <w:spacing w:before="0" w:after="0"/>
    </w:pPr>
  </w:style>
  <w:style w:type="paragraph" w:customStyle="1" w:styleId="TOFTitle">
    <w:name w:val="TOFTitle"/>
    <w:basedOn w:val="TOCTitle"/>
    <w:rsid w:val="00CA3BF1"/>
  </w:style>
  <w:style w:type="paragraph" w:styleId="TableofFigures">
    <w:name w:val="table of figures"/>
    <w:basedOn w:val="Normal"/>
    <w:next w:val="Normal"/>
    <w:semiHidden/>
    <w:rsid w:val="00CA3BF1"/>
    <w:pPr>
      <w:tabs>
        <w:tab w:val="right" w:leader="dot" w:pos="9072"/>
      </w:tabs>
      <w:ind w:left="970" w:hanging="403"/>
    </w:pPr>
    <w:rPr>
      <w:rFonts w:ascii="Times New Roman" w:hAnsi="Times New Roman"/>
      <w:b/>
    </w:rPr>
  </w:style>
  <w:style w:type="character" w:customStyle="1" w:styleId="WingdingSymbols">
    <w:name w:val="Wingding Symbols"/>
    <w:rsid w:val="00CA3BF1"/>
    <w:rPr>
      <w:rFonts w:ascii="Wingdings" w:hAnsi="Wingdings"/>
    </w:rPr>
  </w:style>
  <w:style w:type="paragraph" w:customStyle="1" w:styleId="TableHeading">
    <w:name w:val="Table Heading"/>
    <w:basedOn w:val="HeadingBase"/>
    <w:rsid w:val="00CA3BF1"/>
    <w:pPr>
      <w:keepLines/>
      <w:pBdr>
        <w:bottom w:val="single" w:sz="6" w:space="1" w:color="918585"/>
      </w:pBdr>
      <w:spacing w:before="240"/>
    </w:pPr>
  </w:style>
  <w:style w:type="character" w:customStyle="1" w:styleId="HotSpot">
    <w:name w:val="HotSpot"/>
    <w:rsid w:val="00CA3BF1"/>
    <w:rPr>
      <w:color w:val="0033CC"/>
      <w:u w:val="none"/>
    </w:rPr>
  </w:style>
  <w:style w:type="paragraph" w:customStyle="1" w:styleId="BodyTextRight">
    <w:name w:val="Body Text Right"/>
    <w:basedOn w:val="BodyText"/>
    <w:rsid w:val="00CA3BF1"/>
    <w:pPr>
      <w:spacing w:before="0" w:after="0"/>
      <w:jc w:val="right"/>
    </w:pPr>
  </w:style>
  <w:style w:type="paragraph" w:styleId="Index3">
    <w:name w:val="index 3"/>
    <w:basedOn w:val="ListNumber2"/>
    <w:next w:val="Normal"/>
    <w:semiHidden/>
    <w:rsid w:val="00CA3BF1"/>
    <w:pPr>
      <w:numPr>
        <w:numId w:val="0"/>
      </w:numPr>
      <w:tabs>
        <w:tab w:val="right" w:leader="dot" w:pos="4176"/>
      </w:tabs>
    </w:pPr>
  </w:style>
  <w:style w:type="paragraph" w:styleId="ListNumber2">
    <w:name w:val="List Number 2"/>
    <w:basedOn w:val="List2"/>
    <w:rsid w:val="00CA3BF1"/>
    <w:pPr>
      <w:numPr>
        <w:numId w:val="11"/>
      </w:numPr>
      <w:tabs>
        <w:tab w:val="clear" w:pos="1060"/>
      </w:tabs>
    </w:pPr>
  </w:style>
  <w:style w:type="paragraph" w:customStyle="1" w:styleId="MarginNote">
    <w:name w:val="Margin Note"/>
    <w:basedOn w:val="BodyText"/>
    <w:rsid w:val="00CA3B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3B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3B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3BF1"/>
    <w:rPr>
      <w:sz w:val="32"/>
    </w:rPr>
  </w:style>
  <w:style w:type="paragraph" w:customStyle="1" w:styleId="HeadingProcedure">
    <w:name w:val="Heading Procedure"/>
    <w:basedOn w:val="HeadingBase"/>
    <w:next w:val="Normal"/>
    <w:rsid w:val="00CA3BF1"/>
    <w:pPr>
      <w:tabs>
        <w:tab w:val="left" w:pos="0"/>
      </w:tabs>
      <w:spacing w:before="120" w:after="60"/>
    </w:pPr>
    <w:rPr>
      <w:i/>
      <w:color w:val="918585"/>
      <w:sz w:val="22"/>
    </w:rPr>
  </w:style>
  <w:style w:type="paragraph" w:styleId="ListContinue">
    <w:name w:val="List Continue"/>
    <w:basedOn w:val="List"/>
    <w:rsid w:val="00CA3BF1"/>
    <w:pPr>
      <w:ind w:firstLine="0"/>
    </w:pPr>
  </w:style>
  <w:style w:type="paragraph" w:customStyle="1" w:styleId="ListNote">
    <w:name w:val="List Note"/>
    <w:basedOn w:val="List"/>
    <w:rsid w:val="00CA3BF1"/>
    <w:pPr>
      <w:pBdr>
        <w:top w:val="single" w:sz="6" w:space="2" w:color="918585"/>
        <w:bottom w:val="single" w:sz="6" w:space="2" w:color="918585"/>
      </w:pBdr>
      <w:tabs>
        <w:tab w:val="left" w:pos="1021"/>
      </w:tabs>
      <w:ind w:firstLine="0"/>
    </w:pPr>
  </w:style>
  <w:style w:type="paragraph" w:customStyle="1" w:styleId="Warning">
    <w:name w:val="Warning"/>
    <w:basedOn w:val="BodyText"/>
    <w:rsid w:val="00CA3BF1"/>
    <w:pPr>
      <w:shd w:val="clear" w:color="auto" w:fill="D9D9D9"/>
      <w:tabs>
        <w:tab w:val="left" w:pos="992"/>
      </w:tabs>
      <w:ind w:left="119" w:right="119"/>
    </w:pPr>
    <w:rPr>
      <w:sz w:val="20"/>
    </w:rPr>
  </w:style>
  <w:style w:type="paragraph" w:customStyle="1" w:styleId="MarginIcons">
    <w:name w:val="Margin Icons"/>
    <w:basedOn w:val="BodyText"/>
    <w:rsid w:val="00CA3B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3BF1"/>
    <w:rPr>
      <w:rFonts w:ascii="Courier New" w:hAnsi="Courier New"/>
    </w:rPr>
  </w:style>
  <w:style w:type="paragraph" w:customStyle="1" w:styleId="NoteBullet">
    <w:name w:val="Note Bullet"/>
    <w:basedOn w:val="Note"/>
    <w:rsid w:val="00CA3BF1"/>
    <w:pPr>
      <w:tabs>
        <w:tab w:val="clear" w:pos="680"/>
      </w:tabs>
      <w:spacing w:before="60" w:after="60"/>
    </w:pPr>
  </w:style>
  <w:style w:type="paragraph" w:customStyle="1" w:styleId="SubHeading2">
    <w:name w:val="SubHeading2"/>
    <w:basedOn w:val="HeadingBase"/>
    <w:rsid w:val="00CA3BF1"/>
    <w:pPr>
      <w:spacing w:before="240" w:after="60"/>
    </w:pPr>
    <w:rPr>
      <w:sz w:val="20"/>
    </w:rPr>
  </w:style>
  <w:style w:type="paragraph" w:customStyle="1" w:styleId="SubHeading1">
    <w:name w:val="SubHeading1"/>
    <w:basedOn w:val="HeadingBase"/>
    <w:rsid w:val="00CA3BF1"/>
    <w:pPr>
      <w:spacing w:before="240" w:after="60"/>
    </w:pPr>
    <w:rPr>
      <w:color w:val="918585"/>
      <w:sz w:val="22"/>
    </w:rPr>
  </w:style>
  <w:style w:type="paragraph" w:customStyle="1" w:styleId="SideHeading">
    <w:name w:val="Side Heading"/>
    <w:basedOn w:val="HeadingBase"/>
    <w:rsid w:val="00CA3B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3BF1"/>
    <w:pPr>
      <w:numPr>
        <w:numId w:val="13"/>
      </w:numPr>
    </w:pPr>
  </w:style>
  <w:style w:type="paragraph" w:styleId="PlainText">
    <w:name w:val="Plain Text"/>
    <w:basedOn w:val="Normal"/>
    <w:link w:val="PlainTextChar"/>
    <w:rsid w:val="00CA3BF1"/>
    <w:rPr>
      <w:sz w:val="20"/>
    </w:rPr>
  </w:style>
  <w:style w:type="character" w:customStyle="1" w:styleId="PlainTextChar">
    <w:name w:val="Plain Text Char"/>
    <w:basedOn w:val="DefaultParagraphFont"/>
    <w:link w:val="PlainText"/>
    <w:rsid w:val="00CA3BF1"/>
    <w:rPr>
      <w:rFonts w:ascii="Courier New" w:eastAsia="Times New Roman" w:hAnsi="Courier New" w:cs="Times New Roman"/>
      <w:sz w:val="20"/>
      <w:szCs w:val="20"/>
      <w:lang w:eastAsia="en-US"/>
    </w:rPr>
  </w:style>
  <w:style w:type="character" w:customStyle="1" w:styleId="MenuOption">
    <w:name w:val="Menu Option"/>
    <w:basedOn w:val="DefaultParagraphFont"/>
    <w:rsid w:val="00CA3BF1"/>
    <w:rPr>
      <w:b/>
      <w:smallCaps/>
    </w:rPr>
  </w:style>
  <w:style w:type="paragraph" w:customStyle="1" w:styleId="TableListNumber">
    <w:name w:val="Table List Number"/>
    <w:basedOn w:val="ListNumber"/>
    <w:rsid w:val="00CA3BF1"/>
    <w:pPr>
      <w:numPr>
        <w:numId w:val="0"/>
      </w:numPr>
    </w:pPr>
  </w:style>
  <w:style w:type="paragraph" w:styleId="TOC4">
    <w:name w:val="toc 4"/>
    <w:basedOn w:val="TOCBase"/>
    <w:next w:val="Normal"/>
    <w:semiHidden/>
    <w:rsid w:val="00CA3BF1"/>
    <w:pPr>
      <w:tabs>
        <w:tab w:val="right" w:leader="dot" w:pos="9071"/>
      </w:tabs>
      <w:ind w:left="1701"/>
    </w:pPr>
  </w:style>
  <w:style w:type="paragraph" w:customStyle="1" w:styleId="ListAlpha">
    <w:name w:val="List Alpha"/>
    <w:basedOn w:val="List"/>
    <w:rsid w:val="00CA3BF1"/>
    <w:pPr>
      <w:numPr>
        <w:numId w:val="10"/>
      </w:numPr>
    </w:pPr>
  </w:style>
  <w:style w:type="paragraph" w:customStyle="1" w:styleId="ListAlpha2">
    <w:name w:val="List Alpha 2"/>
    <w:basedOn w:val="List2"/>
    <w:rsid w:val="00CA3BF1"/>
    <w:pPr>
      <w:numPr>
        <w:numId w:val="9"/>
      </w:numPr>
    </w:pPr>
  </w:style>
  <w:style w:type="paragraph" w:styleId="List2">
    <w:name w:val="List 2"/>
    <w:basedOn w:val="BodyText"/>
    <w:rsid w:val="00CA3BF1"/>
    <w:pPr>
      <w:tabs>
        <w:tab w:val="left" w:pos="680"/>
      </w:tabs>
      <w:spacing w:before="60" w:after="60"/>
      <w:ind w:left="680" w:hanging="340"/>
    </w:pPr>
  </w:style>
  <w:style w:type="paragraph" w:styleId="List3">
    <w:name w:val="List 3"/>
    <w:basedOn w:val="BodyText"/>
    <w:rsid w:val="00CA3BF1"/>
    <w:pPr>
      <w:tabs>
        <w:tab w:val="left" w:pos="1021"/>
      </w:tabs>
      <w:spacing w:before="60" w:after="60"/>
      <w:ind w:left="1020" w:hanging="340"/>
    </w:pPr>
  </w:style>
  <w:style w:type="paragraph" w:styleId="List4">
    <w:name w:val="List 4"/>
    <w:basedOn w:val="BodyText"/>
    <w:rsid w:val="00CA3BF1"/>
    <w:pPr>
      <w:tabs>
        <w:tab w:val="left" w:pos="1361"/>
      </w:tabs>
      <w:spacing w:before="60" w:after="60"/>
      <w:ind w:left="1361" w:hanging="340"/>
    </w:pPr>
  </w:style>
  <w:style w:type="paragraph" w:styleId="List5">
    <w:name w:val="List 5"/>
    <w:basedOn w:val="BodyText"/>
    <w:rsid w:val="00CA3BF1"/>
    <w:pPr>
      <w:tabs>
        <w:tab w:val="left" w:pos="1701"/>
      </w:tabs>
      <w:spacing w:before="60" w:after="60"/>
      <w:ind w:left="1701" w:hanging="340"/>
    </w:pPr>
  </w:style>
  <w:style w:type="paragraph" w:styleId="ListBullet3">
    <w:name w:val="List Bullet 3"/>
    <w:basedOn w:val="List3"/>
    <w:rsid w:val="00CA3BF1"/>
    <w:pPr>
      <w:numPr>
        <w:numId w:val="16"/>
      </w:numPr>
      <w:tabs>
        <w:tab w:val="clear" w:pos="1021"/>
      </w:tabs>
      <w:ind w:left="1037" w:hanging="357"/>
    </w:pPr>
  </w:style>
  <w:style w:type="paragraph" w:styleId="ListBullet4">
    <w:name w:val="List Bullet 4"/>
    <w:basedOn w:val="List4"/>
    <w:rsid w:val="00CA3BF1"/>
    <w:pPr>
      <w:numPr>
        <w:numId w:val="4"/>
      </w:numPr>
    </w:pPr>
  </w:style>
  <w:style w:type="paragraph" w:styleId="ListBullet5">
    <w:name w:val="List Bullet 5"/>
    <w:basedOn w:val="List5"/>
    <w:rsid w:val="00CA3BF1"/>
    <w:pPr>
      <w:numPr>
        <w:numId w:val="5"/>
      </w:numPr>
    </w:pPr>
  </w:style>
  <w:style w:type="paragraph" w:styleId="ListContinue2">
    <w:name w:val="List Continue 2"/>
    <w:basedOn w:val="List2"/>
    <w:rsid w:val="00CA3BF1"/>
    <w:pPr>
      <w:ind w:firstLine="0"/>
    </w:pPr>
  </w:style>
  <w:style w:type="paragraph" w:styleId="ListContinue3">
    <w:name w:val="List Continue 3"/>
    <w:basedOn w:val="List3"/>
    <w:rsid w:val="00CA3BF1"/>
    <w:pPr>
      <w:ind w:left="1021" w:firstLine="0"/>
    </w:pPr>
  </w:style>
  <w:style w:type="paragraph" w:styleId="ListContinue4">
    <w:name w:val="List Continue 4"/>
    <w:basedOn w:val="List4"/>
    <w:rsid w:val="00CA3BF1"/>
    <w:pPr>
      <w:ind w:firstLine="0"/>
    </w:pPr>
  </w:style>
  <w:style w:type="paragraph" w:styleId="ListContinue5">
    <w:name w:val="List Continue 5"/>
    <w:basedOn w:val="List5"/>
    <w:rsid w:val="00CA3BF1"/>
    <w:pPr>
      <w:ind w:firstLine="0"/>
    </w:pPr>
  </w:style>
  <w:style w:type="paragraph" w:styleId="ListNumber3">
    <w:name w:val="List Number 3"/>
    <w:basedOn w:val="List3"/>
    <w:rsid w:val="00CA3BF1"/>
    <w:pPr>
      <w:numPr>
        <w:numId w:val="6"/>
      </w:numPr>
    </w:pPr>
  </w:style>
  <w:style w:type="paragraph" w:styleId="ListNumber4">
    <w:name w:val="List Number 4"/>
    <w:basedOn w:val="List4"/>
    <w:rsid w:val="00CA3BF1"/>
    <w:pPr>
      <w:numPr>
        <w:numId w:val="7"/>
      </w:numPr>
    </w:pPr>
  </w:style>
  <w:style w:type="paragraph" w:styleId="ListNumber5">
    <w:name w:val="List Number 5"/>
    <w:basedOn w:val="List5"/>
    <w:rsid w:val="00CA3BF1"/>
    <w:pPr>
      <w:numPr>
        <w:numId w:val="8"/>
      </w:numPr>
    </w:pPr>
  </w:style>
  <w:style w:type="paragraph" w:styleId="BlockText">
    <w:name w:val="Block Text"/>
    <w:basedOn w:val="Normal"/>
    <w:rsid w:val="00CA3BF1"/>
    <w:pPr>
      <w:spacing w:after="120"/>
      <w:ind w:left="1440" w:right="1440"/>
    </w:pPr>
  </w:style>
  <w:style w:type="character" w:customStyle="1" w:styleId="Subscript">
    <w:name w:val="Subscript"/>
    <w:basedOn w:val="DefaultParagraphFont"/>
    <w:rsid w:val="00CA3BF1"/>
    <w:rPr>
      <w:sz w:val="16"/>
      <w:vertAlign w:val="subscript"/>
    </w:rPr>
  </w:style>
  <w:style w:type="character" w:customStyle="1" w:styleId="Superscript">
    <w:name w:val="Superscript"/>
    <w:basedOn w:val="DefaultParagraphFont"/>
    <w:rsid w:val="00CA3BF1"/>
    <w:rPr>
      <w:sz w:val="16"/>
      <w:vertAlign w:val="superscript"/>
    </w:rPr>
  </w:style>
  <w:style w:type="character" w:customStyle="1" w:styleId="Symbols">
    <w:name w:val="Symbols"/>
    <w:basedOn w:val="DefaultParagraphFont"/>
    <w:rsid w:val="00CA3BF1"/>
    <w:rPr>
      <w:rFonts w:ascii="Symbol" w:hAnsi="Symbol"/>
    </w:rPr>
  </w:style>
  <w:style w:type="character" w:customStyle="1" w:styleId="MenuOptions">
    <w:name w:val="Menu Options"/>
    <w:basedOn w:val="DefaultParagraphFont"/>
    <w:rsid w:val="00CA3BF1"/>
    <w:rPr>
      <w:rFonts w:ascii="Arial Narrow" w:hAnsi="Arial Narrow"/>
      <w:smallCaps/>
    </w:rPr>
  </w:style>
  <w:style w:type="character" w:customStyle="1" w:styleId="Buttons">
    <w:name w:val="Buttons"/>
    <w:basedOn w:val="DefaultParagraphFont"/>
    <w:rsid w:val="00CA3BF1"/>
    <w:rPr>
      <w:b/>
    </w:rPr>
  </w:style>
  <w:style w:type="character" w:customStyle="1" w:styleId="Underlined">
    <w:name w:val="Underlined"/>
    <w:basedOn w:val="DefaultParagraphFont"/>
    <w:rsid w:val="00CA3BF1"/>
    <w:rPr>
      <w:u w:val="single"/>
    </w:rPr>
  </w:style>
  <w:style w:type="paragraph" w:customStyle="1" w:styleId="TableBodyTextRight">
    <w:name w:val="Table Body Text Right"/>
    <w:basedOn w:val="TableBodyText"/>
    <w:rsid w:val="00CA3BF1"/>
    <w:pPr>
      <w:widowControl w:val="0"/>
      <w:autoSpaceDE w:val="0"/>
      <w:autoSpaceDN w:val="0"/>
      <w:adjustRightInd w:val="0"/>
      <w:jc w:val="right"/>
    </w:pPr>
    <w:rPr>
      <w:rFonts w:cs="Arial"/>
      <w:szCs w:val="18"/>
    </w:rPr>
  </w:style>
  <w:style w:type="paragraph" w:customStyle="1" w:styleId="CopyrightText">
    <w:name w:val="Copyright Text"/>
    <w:basedOn w:val="BodyText"/>
    <w:rsid w:val="00CA3BF1"/>
    <w:rPr>
      <w:sz w:val="18"/>
    </w:rPr>
  </w:style>
  <w:style w:type="paragraph" w:customStyle="1" w:styleId="BodySmallRight">
    <w:name w:val="Body Small Right"/>
    <w:basedOn w:val="BodyTextRight"/>
    <w:rsid w:val="00CA3BF1"/>
    <w:rPr>
      <w:sz w:val="18"/>
      <w:szCs w:val="18"/>
    </w:rPr>
  </w:style>
  <w:style w:type="paragraph" w:customStyle="1" w:styleId="MarginEdition">
    <w:name w:val="Margin Edition"/>
    <w:basedOn w:val="MarginNote"/>
    <w:rsid w:val="00CA3BF1"/>
    <w:pPr>
      <w:spacing w:before="0" w:after="0"/>
    </w:pPr>
    <w:rPr>
      <w:rFonts w:ascii="Times New Roman" w:hAnsi="Times New Roman"/>
      <w:color w:val="999999"/>
    </w:rPr>
  </w:style>
  <w:style w:type="paragraph" w:customStyle="1" w:styleId="Spacer">
    <w:name w:val="Spacer"/>
    <w:basedOn w:val="Normal"/>
    <w:rsid w:val="00CA3BF1"/>
    <w:rPr>
      <w:sz w:val="2"/>
      <w:szCs w:val="2"/>
    </w:rPr>
  </w:style>
  <w:style w:type="character" w:customStyle="1" w:styleId="Small">
    <w:name w:val="Small"/>
    <w:basedOn w:val="DefaultParagraphFont"/>
    <w:rsid w:val="00CA3BF1"/>
    <w:rPr>
      <w:sz w:val="16"/>
    </w:rPr>
  </w:style>
  <w:style w:type="paragraph" w:customStyle="1" w:styleId="WideTable">
    <w:name w:val="Wide Table"/>
    <w:basedOn w:val="Normal"/>
    <w:rsid w:val="00CA3BF1"/>
    <w:pPr>
      <w:ind w:left="-1418"/>
    </w:pPr>
    <w:rPr>
      <w:sz w:val="2"/>
      <w:szCs w:val="2"/>
    </w:rPr>
  </w:style>
  <w:style w:type="character" w:styleId="PageNumber">
    <w:name w:val="page number"/>
    <w:basedOn w:val="DefaultParagraphFont"/>
    <w:rsid w:val="00CA3BF1"/>
  </w:style>
  <w:style w:type="paragraph" w:styleId="Quote">
    <w:name w:val="Quote"/>
    <w:basedOn w:val="Heading1"/>
    <w:link w:val="QuoteChar"/>
    <w:qFormat/>
    <w:rsid w:val="00CA3BF1"/>
    <w:rPr>
      <w:b w:val="0"/>
      <w:sz w:val="72"/>
      <w:szCs w:val="72"/>
      <w:lang w:val="en-NZ"/>
    </w:rPr>
  </w:style>
  <w:style w:type="character" w:customStyle="1" w:styleId="QuoteChar">
    <w:name w:val="Quote Char"/>
    <w:basedOn w:val="DefaultParagraphFont"/>
    <w:link w:val="Quote"/>
    <w:rsid w:val="00CA3B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3BF1"/>
    <w:pPr>
      <w:pageBreakBefore/>
    </w:pPr>
  </w:style>
  <w:style w:type="paragraph" w:customStyle="1" w:styleId="Border">
    <w:name w:val="Border"/>
    <w:basedOn w:val="Normal"/>
    <w:qFormat/>
    <w:rsid w:val="00CA3B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3BF1"/>
    <w:rPr>
      <w:b/>
      <w:bCs/>
      <w:i/>
      <w:iCs/>
      <w:color w:val="auto"/>
    </w:rPr>
  </w:style>
  <w:style w:type="paragraph" w:styleId="IntenseQuote">
    <w:name w:val="Intense Quote"/>
    <w:basedOn w:val="Normal"/>
    <w:next w:val="Normal"/>
    <w:link w:val="IntenseQuoteChar"/>
    <w:uiPriority w:val="30"/>
    <w:qFormat/>
    <w:rsid w:val="00CA3B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3B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3BF1"/>
    <w:rPr>
      <w:smallCaps/>
      <w:color w:val="auto"/>
      <w:u w:val="single"/>
    </w:rPr>
  </w:style>
  <w:style w:type="character" w:styleId="IntenseReference">
    <w:name w:val="Intense Reference"/>
    <w:basedOn w:val="DefaultParagraphFont"/>
    <w:uiPriority w:val="32"/>
    <w:qFormat/>
    <w:rsid w:val="00CA3BF1"/>
    <w:rPr>
      <w:b/>
      <w:bCs/>
      <w:smallCaps/>
      <w:color w:val="auto"/>
      <w:spacing w:val="5"/>
      <w:u w:val="single"/>
    </w:rPr>
  </w:style>
  <w:style w:type="paragraph" w:customStyle="1" w:styleId="2ColumnHeading">
    <w:name w:val="2Column Heading"/>
    <w:basedOn w:val="BodyText"/>
    <w:qFormat/>
    <w:rsid w:val="00CA3BF1"/>
    <w:pPr>
      <w:spacing w:after="60"/>
      <w:ind w:left="-2268"/>
    </w:pPr>
    <w:rPr>
      <w:b/>
    </w:rPr>
  </w:style>
  <w:style w:type="paragraph" w:customStyle="1" w:styleId="Heading1TOC">
    <w:name w:val="Heading1 TOC"/>
    <w:basedOn w:val="Normal"/>
    <w:qFormat/>
    <w:rsid w:val="00CA3BF1"/>
    <w:pPr>
      <w:spacing w:before="240" w:after="120"/>
    </w:pPr>
    <w:rPr>
      <w:rFonts w:ascii="Times New Roman" w:hAnsi="Times New Roman"/>
      <w:b/>
      <w:sz w:val="32"/>
    </w:rPr>
  </w:style>
  <w:style w:type="paragraph" w:customStyle="1" w:styleId="Heading2TOC">
    <w:name w:val="Heading2 TOC"/>
    <w:basedOn w:val="Normal"/>
    <w:qFormat/>
    <w:rsid w:val="00CA3BF1"/>
    <w:pPr>
      <w:spacing w:before="240" w:after="60"/>
    </w:pPr>
    <w:rPr>
      <w:rFonts w:ascii="Times New Roman" w:hAnsi="Times New Roman"/>
      <w:b/>
      <w:sz w:val="28"/>
    </w:rPr>
  </w:style>
  <w:style w:type="character" w:customStyle="1" w:styleId="Underline">
    <w:name w:val="Underline"/>
    <w:basedOn w:val="DefaultParagraphFont"/>
    <w:qFormat/>
    <w:rsid w:val="00CA3BF1"/>
    <w:rPr>
      <w:u w:val="single"/>
    </w:rPr>
  </w:style>
  <w:style w:type="character" w:customStyle="1" w:styleId="BoldandItalics">
    <w:name w:val="Bold and Italics"/>
    <w:qFormat/>
    <w:rsid w:val="00CA3BF1"/>
    <w:rPr>
      <w:b/>
      <w:i/>
      <w:u w:val="none"/>
    </w:rPr>
  </w:style>
  <w:style w:type="paragraph" w:styleId="BalloonText">
    <w:name w:val="Balloon Text"/>
    <w:basedOn w:val="Normal"/>
    <w:link w:val="BalloonTextChar"/>
    <w:rsid w:val="00CA3BF1"/>
    <w:rPr>
      <w:rFonts w:ascii="Tahoma" w:hAnsi="Tahoma" w:cs="Tahoma"/>
      <w:sz w:val="16"/>
      <w:szCs w:val="16"/>
    </w:rPr>
  </w:style>
  <w:style w:type="character" w:customStyle="1" w:styleId="BalloonTextChar">
    <w:name w:val="Balloon Text Char"/>
    <w:basedOn w:val="DefaultParagraphFont"/>
    <w:link w:val="BalloonText"/>
    <w:rsid w:val="00CA3B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3B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3B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3BF1"/>
    <w:rPr>
      <w:b/>
      <w:color w:val="660033"/>
      <w:spacing w:val="0"/>
    </w:rPr>
  </w:style>
  <w:style w:type="paragraph" w:customStyle="1" w:styleId="Nameditemlist">
    <w:name w:val="Named item list"/>
    <w:basedOn w:val="BodyText"/>
    <w:qFormat/>
    <w:rsid w:val="00CA3BF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2437</Words>
  <Characters>14552</Characters>
  <Application>Microsoft Office Word</Application>
  <DocSecurity>0</DocSecurity>
  <Lines>564</Lines>
  <Paragraphs>348</Paragraphs>
  <ScaleCrop>false</ScaleCrop>
  <Company>Author-it Software Corporation Ltd.</Company>
  <LinksUpToDate>false</LinksUpToDate>
  <CharactersWithSpaces>16817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MEM11025A Operate a non-slewing mobile crane of greater than three tonnes capacity</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2012-10-05T07:08:00Z</dcterms:created>
  <dcterms:modified xsi:type="dcterms:W3CDTF">2012-10-05T07:08:00Z</dcterms:modified>
</cp:coreProperties>
</file>