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DEB" w:rsidP="005E0DEB">
      <w:pPr>
        <w:pStyle w:val="Title"/>
      </w:pPr>
      <w:r>
        <w:fldChar w:fldCharType="begin"/>
      </w:r>
      <w:r>
        <w:instrText xml:space="preserve"> TITLE   \* MERGEFORMAT </w:instrText>
      </w:r>
      <w:r>
        <w:fldChar w:fldCharType="separate"/>
      </w:r>
      <w:r>
        <w:t>MEM11021B Perform advanced operation of load shifting equipment</w:t>
      </w:r>
      <w:r>
        <w:fldChar w:fldCharType="end"/>
      </w:r>
    </w:p>
    <w:p w:rsidR="005E0DEB" w:rsidP="005E0DEB">
      <w:pPr>
        <w:pStyle w:val="Version"/>
        <w:sectPr w:rsidSect="007C55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593" w:rsidP="007C5593">
      <w:pPr>
        <w:pStyle w:val="SuperHeading"/>
      </w:pPr>
      <w:r w:rsidRPr="007C5593">
        <w:t>MEM11021B Perform advanced operation of load shifting equipment</w:t>
      </w:r>
    </w:p>
    <w:p w:rsidR="00000000" w:rsidRPr="007C5593" w:rsidP="007C5593">
      <w:pPr>
        <w:pStyle w:val="Heading1"/>
      </w:pPr>
      <w:bookmarkStart w:id="1" w:name="O_272151"/>
      <w:bookmarkEnd w:id="1"/>
      <w:r w:rsidRPr="007C5593">
        <w:t>Modification History</w:t>
      </w:r>
    </w:p>
    <w:p w:rsidR="00000000" w:rsidRPr="007C5593" w:rsidP="007C5593">
      <w:pPr>
        <w:pStyle w:val="BodyText"/>
      </w:pPr>
      <w:r w:rsidRPr="007C5593">
        <w:t>Not Applicable</w:t>
      </w:r>
    </w:p>
    <w:p w:rsidR="00000000" w:rsidRPr="007C5593" w:rsidP="007C5593">
      <w:pPr>
        <w:pStyle w:val="AllowPageBreak"/>
      </w:pPr>
    </w:p>
    <w:p w:rsidR="00000000" w:rsidRPr="007C5593" w:rsidP="007C5593">
      <w:pPr>
        <w:pStyle w:val="Heading1"/>
      </w:pPr>
      <w:bookmarkStart w:id="2" w:name="O_211495"/>
      <w:bookmarkEnd w:id="2"/>
      <w:r w:rsidRPr="007C5593">
        <w:t>Unit Descriptor</w:t>
      </w:r>
    </w:p>
    <w:tbl>
      <w:tblPr>
        <w:tblW w:w="0" w:type="auto"/>
        <w:tblLayout w:type="fixed"/>
        <w:tblCellMar>
          <w:left w:w="62" w:type="dxa"/>
          <w:right w:w="62" w:type="dxa"/>
        </w:tblCellMar>
        <w:tblLook w:val="0000"/>
      </w:tblPr>
      <w:tblGrid>
        <w:gridCol w:w="2668"/>
        <w:gridCol w:w="5854"/>
      </w:tblGrid>
      <w:tr w:rsidTr="005E0DE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BodyText"/>
            </w:pPr>
            <w:r w:rsidRPr="007C5593">
              <w:t xml:space="preserve">This unit covers determining lifting and loading requirements, working within areas of </w:t>
            </w:r>
            <w:r w:rsidRPr="007C5593">
              <w:t>restricted movement or conditions of restricted visibility, identifying loads that need special care, and operating forklifts in special traffic conditions.</w:t>
            </w:r>
          </w:p>
        </w:tc>
      </w:tr>
    </w:tbl>
    <w:p w:rsidR="005E0DEB" w:rsidP="007C5593">
      <w:pPr>
        <w:pStyle w:val="BodyText"/>
      </w:pPr>
    </w:p>
    <w:p w:rsidR="005E0DEB" w:rsidP="007C5593">
      <w:pPr>
        <w:pStyle w:val="BodyText"/>
      </w:pPr>
    </w:p>
    <w:p w:rsidR="00000000" w:rsidRPr="007C5593" w:rsidP="007C5593">
      <w:pPr>
        <w:pStyle w:val="Heading1"/>
      </w:pPr>
      <w:bookmarkStart w:id="3" w:name="O_211499"/>
      <w:bookmarkEnd w:id="3"/>
      <w:r w:rsidRPr="007C5593">
        <w:t>Application of the Unit</w:t>
      </w:r>
    </w:p>
    <w:tbl>
      <w:tblPr>
        <w:tblW w:w="0" w:type="auto"/>
        <w:tblLayout w:type="fixed"/>
        <w:tblCellMar>
          <w:left w:w="62" w:type="dxa"/>
          <w:right w:w="62" w:type="dxa"/>
        </w:tblCellMar>
        <w:tblLook w:val="0000"/>
      </w:tblPr>
      <w:tblGrid>
        <w:gridCol w:w="2743"/>
        <w:gridCol w:w="5779"/>
      </w:tblGrid>
      <w:tr w:rsidTr="005E0DEB">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BodyText"/>
            </w:pPr>
            <w:r w:rsidRPr="007C5593">
              <w:t>This unit applies to advanced forklift and load shifting skills above those required for general operation. To be credited with this unit it is expected that an employee would be competent in situations indicated by all elements and performance criteria.</w:t>
            </w:r>
          </w:p>
          <w:p w:rsidR="00000000" w:rsidRPr="007C5593" w:rsidP="007C5593">
            <w:pPr>
              <w:pStyle w:val="BodyText"/>
            </w:pPr>
            <w:r w:rsidRPr="007C5593">
              <w:t>T</w:t>
            </w:r>
            <w:r w:rsidRPr="007C5593">
              <w:t>his unit is intended to cover load shifting applications where special-purpose equipment/accessories requiring advanced operational skills are required. This would include heavy, out of balance, awkward and irregular shaped loads traversing over rough, bro</w:t>
            </w:r>
            <w:r w:rsidRPr="007C5593">
              <w:t>ken or uneven surfaces, high lift situations, extremes of climate.</w:t>
            </w:r>
          </w:p>
          <w:p w:rsidR="00000000" w:rsidRPr="007C5593" w:rsidP="007C5593">
            <w:pPr>
              <w:pStyle w:val="BodyText"/>
            </w:pPr>
            <w:r w:rsidRPr="007C5593">
              <w:t>Awareness of licensing requirements: Licenses may be required for load shifting equipment in some jurisdictions</w:t>
            </w:r>
          </w:p>
          <w:p w:rsidR="00000000" w:rsidRPr="007C5593" w:rsidP="007C5593">
            <w:pPr>
              <w:pStyle w:val="BodyText"/>
            </w:pPr>
          </w:p>
          <w:p w:rsidR="00000000" w:rsidRPr="007C5593" w:rsidP="007C5593">
            <w:pPr>
              <w:pStyle w:val="BodyText"/>
            </w:pPr>
            <w:r w:rsidRPr="007C5593">
              <w:rPr>
                <w:rStyle w:val="SpecialBold"/>
              </w:rPr>
              <w:t>Band</w:t>
            </w:r>
            <w:r w:rsidRPr="007C5593">
              <w:t>:</w:t>
            </w:r>
            <w:r w:rsidRPr="007C5593">
              <w:tab/>
            </w:r>
            <w:r w:rsidRPr="007C5593">
              <w:rPr>
                <w:rStyle w:val="SpecialBold"/>
              </w:rPr>
              <w:t>A</w:t>
            </w:r>
          </w:p>
          <w:p w:rsidR="00000000" w:rsidRPr="007C5593" w:rsidP="007C5593">
            <w:pPr>
              <w:pStyle w:val="BodyText"/>
            </w:pPr>
            <w:r w:rsidRPr="007C5593">
              <w:rPr>
                <w:rStyle w:val="SpecialBold"/>
              </w:rPr>
              <w:t>Unit Weight</w:t>
            </w:r>
            <w:r w:rsidRPr="007C5593">
              <w:t>:</w:t>
            </w:r>
            <w:r w:rsidRPr="007C5593">
              <w:tab/>
            </w:r>
            <w:r w:rsidRPr="007C5593">
              <w:rPr>
                <w:rStyle w:val="SpecialBold"/>
              </w:rPr>
              <w:t>2</w:t>
            </w:r>
          </w:p>
        </w:tc>
      </w:tr>
    </w:tbl>
    <w:p w:rsidR="005E0DEB" w:rsidP="007C5593">
      <w:pPr>
        <w:pStyle w:val="BodyText"/>
      </w:pPr>
    </w:p>
    <w:p w:rsidR="005E0DEB" w:rsidP="007C5593">
      <w:pPr>
        <w:pStyle w:val="BodyText"/>
      </w:pPr>
    </w:p>
    <w:p w:rsidR="00000000" w:rsidRPr="007C5593" w:rsidP="007C5593">
      <w:pPr>
        <w:pStyle w:val="Heading1"/>
      </w:pPr>
      <w:bookmarkStart w:id="4" w:name="O_280411"/>
      <w:bookmarkEnd w:id="4"/>
      <w:r w:rsidRPr="007C5593">
        <w:t>Licensing/Regulatory Information</w:t>
      </w:r>
    </w:p>
    <w:p w:rsidR="00000000" w:rsidRPr="007C5593" w:rsidP="007C5593">
      <w:pPr>
        <w:pStyle w:val="BodyText"/>
      </w:pPr>
      <w:r w:rsidRPr="007C5593">
        <w:t>Refer to Application of the Unit</w:t>
      </w:r>
    </w:p>
    <w:p w:rsidR="00000000" w:rsidRPr="007C5593" w:rsidP="007C5593">
      <w:pPr>
        <w:pStyle w:val="AllowPageBreak"/>
      </w:pPr>
    </w:p>
    <w:p w:rsidR="00000000" w:rsidRPr="007C5593" w:rsidP="007C5593">
      <w:pPr>
        <w:pStyle w:val="Heading1"/>
      </w:pPr>
      <w:bookmarkStart w:id="5" w:name="O_211497"/>
      <w:bookmarkEnd w:id="5"/>
      <w:r w:rsidRPr="007C5593">
        <w:t>Pre-Requisites</w:t>
      </w:r>
    </w:p>
    <w:tbl>
      <w:tblPr>
        <w:tblW w:w="0" w:type="auto"/>
        <w:tblLayout w:type="fixed"/>
        <w:tblCellMar>
          <w:left w:w="62" w:type="dxa"/>
          <w:right w:w="62" w:type="dxa"/>
        </w:tblCellMar>
        <w:tblLook w:val="0000"/>
      </w:tblPr>
      <w:tblGrid>
        <w:gridCol w:w="2713"/>
        <w:gridCol w:w="2195"/>
        <w:gridCol w:w="3614"/>
      </w:tblGrid>
      <w:tr w:rsidTr="005E0DEB">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p>
        </w:tc>
      </w:tr>
      <w:tr w:rsidTr="005E0DE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t>MEM11010B</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t>Operate mobile load shifting equipment</w:t>
            </w:r>
          </w:p>
        </w:tc>
      </w:tr>
      <w:tr w:rsidTr="005E0DEB">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BodyText"/>
            </w:pPr>
          </w:p>
        </w:tc>
      </w:tr>
    </w:tbl>
    <w:p w:rsidR="005E0DEB" w:rsidP="007C5593">
      <w:pPr>
        <w:pStyle w:val="BodyText"/>
      </w:pPr>
    </w:p>
    <w:p w:rsidR="005E0DEB" w:rsidP="007C5593">
      <w:pPr>
        <w:pStyle w:val="BodyText"/>
      </w:pPr>
    </w:p>
    <w:p w:rsidR="00000000" w:rsidRPr="007C5593" w:rsidP="007C5593">
      <w:pPr>
        <w:pStyle w:val="Heading1"/>
      </w:pPr>
      <w:bookmarkStart w:id="6" w:name="O_211496"/>
      <w:bookmarkEnd w:id="6"/>
      <w:r w:rsidRPr="007C5593">
        <w:t>Employability Skills Information</w:t>
      </w:r>
    </w:p>
    <w:tbl>
      <w:tblPr>
        <w:tblW w:w="0" w:type="auto"/>
        <w:tblLayout w:type="fixed"/>
        <w:tblCellMar>
          <w:left w:w="62" w:type="dxa"/>
          <w:right w:w="62" w:type="dxa"/>
        </w:tblCellMar>
        <w:tblLook w:val="0000"/>
      </w:tblPr>
      <w:tblGrid>
        <w:gridCol w:w="2802"/>
        <w:gridCol w:w="5720"/>
      </w:tblGrid>
      <w:tr w:rsidTr="005E0D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BodyText"/>
            </w:pPr>
            <w:r w:rsidRPr="007C5593">
              <w:t>This unit contains employability skills.</w:t>
            </w:r>
          </w:p>
        </w:tc>
      </w:tr>
    </w:tbl>
    <w:p w:rsidR="005E0DEB" w:rsidP="007C5593">
      <w:pPr>
        <w:pStyle w:val="BodyText"/>
      </w:pPr>
    </w:p>
    <w:p w:rsidR="005E0DEB" w:rsidP="007C5593">
      <w:pPr>
        <w:pStyle w:val="BodyText"/>
      </w:pPr>
    </w:p>
    <w:p w:rsidR="00000000" w:rsidRPr="007C5593" w:rsidP="007C5593">
      <w:pPr>
        <w:pStyle w:val="Heading1"/>
      </w:pPr>
      <w:bookmarkStart w:id="7" w:name="O_290197"/>
      <w:bookmarkEnd w:id="7"/>
      <w:r w:rsidRPr="007C5593">
        <w:t>Elements and Performance Criteria Pre-Content</w:t>
      </w:r>
    </w:p>
    <w:tbl>
      <w:tblPr>
        <w:tblW w:w="0" w:type="auto"/>
        <w:tblLayout w:type="fixed"/>
        <w:tblCellMar>
          <w:left w:w="62" w:type="dxa"/>
          <w:right w:w="62" w:type="dxa"/>
        </w:tblCellMar>
        <w:tblLook w:val="0000"/>
      </w:tblPr>
      <w:tblGrid>
        <w:gridCol w:w="2589"/>
        <w:gridCol w:w="5933"/>
      </w:tblGrid>
      <w:tr w:rsidTr="005E0DEB">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BodyText"/>
            </w:pPr>
            <w:r w:rsidRPr="007C5593">
              <w:t xml:space="preserve">Performance criteria describe the performance needed to demonstrate achievement of </w:t>
            </w:r>
            <w:r w:rsidRPr="007C5593">
              <w:t>the element. Where bold italicised text is used, further information is detailed in the required skills and knowledge section and the range statement. Assessment of performance is to be consistent with the evidence guide.</w:t>
            </w:r>
          </w:p>
        </w:tc>
      </w:tr>
    </w:tbl>
    <w:p w:rsidR="00000000" w:rsidRPr="007C5593" w:rsidP="007C5593">
      <w:pPr>
        <w:pStyle w:val="BodyText"/>
      </w:pPr>
    </w:p>
    <w:p w:rsidR="00000000" w:rsidRPr="007C5593" w:rsidP="007C5593">
      <w:pPr>
        <w:pStyle w:val="AllowPageBreak"/>
      </w:pPr>
    </w:p>
    <w:p w:rsidR="00000000" w:rsidRPr="007C5593" w:rsidP="007C5593">
      <w:pPr>
        <w:pStyle w:val="Heading1"/>
      </w:pPr>
      <w:bookmarkStart w:id="8" w:name="O_236864"/>
      <w:bookmarkEnd w:id="8"/>
      <w:r w:rsidRPr="007C5593">
        <w:t>Elements and Performance Criteria</w:t>
      </w:r>
    </w:p>
    <w:tbl>
      <w:tblPr>
        <w:tblW w:w="0" w:type="auto"/>
        <w:tblLayout w:type="fixed"/>
        <w:tblCellMar>
          <w:left w:w="62" w:type="dxa"/>
          <w:right w:w="62" w:type="dxa"/>
        </w:tblCellMar>
        <w:tblLook w:val="0000"/>
      </w:tblPr>
      <w:tblGrid>
        <w:gridCol w:w="2589"/>
        <w:gridCol w:w="5933"/>
      </w:tblGrid>
      <w:tr w:rsidTr="005E0DEB">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BodyText"/>
            </w:pPr>
            <w:r w:rsidRPr="007C5593">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PERFORMANCE CRITERIA</w:t>
            </w:r>
          </w:p>
        </w:tc>
      </w:tr>
      <w:tr w:rsidTr="005E0DEB">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List"/>
              <w:rPr>
                <w:lang w:val="en-NZ"/>
              </w:rPr>
            </w:pPr>
            <w:r w:rsidRPr="007C5593">
              <w:t>1.</w:t>
            </w:r>
            <w:r w:rsidRPr="007C5593">
              <w:tab/>
              <w:t>Determine lifting and loading requirements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List2"/>
            </w:pPr>
            <w:r w:rsidRPr="007C5593">
              <w:t>1.1.</w:t>
            </w:r>
            <w:r w:rsidRPr="007C5593">
              <w:tab/>
              <w:t>Load is identified and checked against safe working load and final position/location and/or relevant specifications or regulations.</w:t>
            </w:r>
          </w:p>
          <w:p w:rsidR="00000000" w:rsidRPr="007C5593" w:rsidP="007C5593">
            <w:pPr>
              <w:pStyle w:val="List2"/>
            </w:pPr>
            <w:r w:rsidRPr="007C5593">
              <w:t>1.2.</w:t>
            </w:r>
            <w:r w:rsidRPr="007C5593">
              <w:tab/>
              <w:t>Spec</w:t>
            </w:r>
            <w:r w:rsidRPr="007C5593">
              <w:t>ial handling requirements of load are identified, if applicable.</w:t>
            </w:r>
          </w:p>
          <w:p w:rsidR="00000000" w:rsidP="007C5593">
            <w:pPr>
              <w:pStyle w:val="List2"/>
              <w:rPr>
                <w:lang w:val="en-NZ"/>
              </w:rPr>
            </w:pPr>
            <w:r w:rsidRPr="007C5593">
              <w:t>1.3.</w:t>
            </w:r>
            <w:r w:rsidRPr="007C5593">
              <w:tab/>
              <w:t>Load is lifted correctly and placed in final position/location to achieve specified balance of load.</w:t>
            </w:r>
          </w:p>
        </w:tc>
      </w:tr>
      <w:tr w:rsidTr="005E0DEB">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List"/>
              <w:rPr>
                <w:lang w:val="en-NZ"/>
              </w:rPr>
            </w:pPr>
            <w:r w:rsidRPr="007C5593">
              <w:t>2.</w:t>
            </w:r>
            <w:r w:rsidRPr="007C5593">
              <w:tab/>
              <w:t>Work in areas of restricted movement or conditions of restricted visibility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List2"/>
              <w:rPr>
                <w:lang w:val="en-NZ"/>
              </w:rPr>
            </w:pPr>
            <w:r w:rsidRPr="007C5593">
              <w:t>2.1.</w:t>
            </w:r>
            <w:r w:rsidRPr="007C5593">
              <w:tab/>
            </w:r>
            <w:r w:rsidRPr="007C5593">
              <w:t>Load is collected and manoeuvred without damage to load or collision with obstacles according to standard operating procedures.</w:t>
            </w:r>
          </w:p>
        </w:tc>
      </w:tr>
      <w:tr w:rsidTr="005E0DEB">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List"/>
              <w:rPr>
                <w:lang w:val="en-NZ"/>
              </w:rPr>
            </w:pPr>
            <w:r w:rsidRPr="007C5593">
              <w:t>3.</w:t>
            </w:r>
            <w:r w:rsidRPr="007C5593">
              <w:tab/>
              <w:t>Identify and carry loads that require special care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List2"/>
            </w:pPr>
            <w:r w:rsidRPr="007C5593">
              <w:t>3.1.</w:t>
            </w:r>
            <w:r w:rsidRPr="007C5593">
              <w:tab/>
              <w:t>Loads requiring special care are identified.</w:t>
            </w:r>
          </w:p>
          <w:p w:rsidR="00000000" w:rsidP="007C5593">
            <w:pPr>
              <w:pStyle w:val="List2"/>
              <w:rPr>
                <w:lang w:val="en-NZ"/>
              </w:rPr>
            </w:pPr>
            <w:r w:rsidRPr="007C5593">
              <w:t>3.2.</w:t>
            </w:r>
            <w:r w:rsidRPr="007C5593">
              <w:tab/>
              <w:t xml:space="preserve">Loads are carried </w:t>
            </w:r>
            <w:r w:rsidRPr="007C5593">
              <w:t>in accordance with special requirements of product according to standard operating procedures and/or regulations.</w:t>
            </w:r>
          </w:p>
        </w:tc>
      </w:tr>
      <w:tr w:rsidTr="005E0DEB">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List"/>
              <w:rPr>
                <w:lang w:val="en-NZ"/>
              </w:rPr>
            </w:pPr>
            <w:r w:rsidRPr="007C5593">
              <w:t>4.</w:t>
            </w:r>
            <w:r w:rsidRPr="007C5593">
              <w:tab/>
              <w:t>Operate forklifts in special traffic conditions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List2"/>
            </w:pPr>
            <w:r w:rsidRPr="007C5593">
              <w:t>4.1.</w:t>
            </w:r>
            <w:r w:rsidRPr="007C5593">
              <w:tab/>
              <w:t>Forklifts are operated in areas of heavy traffic.</w:t>
            </w:r>
          </w:p>
          <w:p w:rsidR="00000000" w:rsidRPr="007C5593" w:rsidP="007C5593">
            <w:pPr>
              <w:pStyle w:val="List2"/>
            </w:pPr>
            <w:r w:rsidRPr="007C5593">
              <w:t>4.2.</w:t>
            </w:r>
            <w:r w:rsidRPr="007C5593">
              <w:tab/>
              <w:t>Forklifts are operated over di</w:t>
            </w:r>
            <w:r w:rsidRPr="007C5593">
              <w:t>fficult or uneven surfaces.</w:t>
            </w:r>
          </w:p>
          <w:p w:rsidR="00000000" w:rsidRPr="007C5593" w:rsidP="007C5593">
            <w:pPr>
              <w:pStyle w:val="List2"/>
            </w:pPr>
            <w:r w:rsidRPr="007C5593">
              <w:t>4.3.</w:t>
            </w:r>
            <w:r w:rsidRPr="007C5593">
              <w:tab/>
              <w:t>Forklifts are operated in areas shared with the general public, as required.</w:t>
            </w:r>
          </w:p>
        </w:tc>
      </w:tr>
    </w:tbl>
    <w:p w:rsidR="005E0DEB" w:rsidP="007C5593">
      <w:pPr>
        <w:pStyle w:val="BodyText"/>
      </w:pPr>
    </w:p>
    <w:p w:rsidR="005E0DEB" w:rsidP="007C5593">
      <w:pPr>
        <w:pStyle w:val="BodyText"/>
      </w:pPr>
    </w:p>
    <w:p w:rsidR="00000000" w:rsidRPr="007C5593" w:rsidP="007C5593">
      <w:pPr>
        <w:pStyle w:val="Heading1"/>
      </w:pPr>
      <w:bookmarkStart w:id="9" w:name="O_260814"/>
      <w:bookmarkEnd w:id="9"/>
      <w:r w:rsidRPr="007C5593">
        <w:t>Required Skills and Knowledge</w:t>
      </w:r>
    </w:p>
    <w:tbl>
      <w:tblPr>
        <w:tblW w:w="0" w:type="auto"/>
        <w:tblLayout w:type="fixed"/>
        <w:tblCellMar>
          <w:left w:w="62" w:type="dxa"/>
          <w:right w:w="62" w:type="dxa"/>
        </w:tblCellMar>
        <w:tblLook w:val="0000"/>
      </w:tblPr>
      <w:tblGrid>
        <w:gridCol w:w="8522"/>
      </w:tblGrid>
      <w:tr w:rsidTr="005E0D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REQUIRED SKILLS AND KNOWLEDGE</w:t>
            </w:r>
          </w:p>
        </w:tc>
      </w:tr>
      <w:tr w:rsidTr="005E0D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t>This section describes the skills</w:t>
            </w:r>
            <w:r w:rsidRPr="007C5593">
              <w:t xml:space="preserve"> and knowledge required for this unit.</w:t>
            </w:r>
          </w:p>
        </w:tc>
      </w:tr>
      <w:tr w:rsidTr="005E0D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Required skills</w:t>
            </w:r>
          </w:p>
        </w:tc>
      </w:tr>
      <w:tr w:rsidTr="005E0D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BodyText"/>
            </w:pPr>
            <w:r w:rsidRPr="007C5593">
              <w:t>Look for evidence that confirms skills in:</w:t>
            </w:r>
          </w:p>
          <w:p w:rsidR="00000000" w:rsidRPr="007C5593" w:rsidP="007C5593">
            <w:pPr>
              <w:pStyle w:val="ListBullet"/>
            </w:pPr>
            <w:r w:rsidRPr="007C5593">
              <w:t>reading/interpreting specifications, regulations, load charts and standard operating procedures, including simple drawings</w:t>
            </w:r>
          </w:p>
          <w:p w:rsidR="00000000" w:rsidRPr="007C5593" w:rsidP="007C5593">
            <w:pPr>
              <w:pStyle w:val="ListBullet"/>
            </w:pPr>
            <w:r w:rsidRPr="007C5593">
              <w:t>selecting appropriate load sh</w:t>
            </w:r>
            <w:r w:rsidRPr="007C5593">
              <w:t>ifting device</w:t>
            </w:r>
          </w:p>
          <w:p w:rsidR="00000000" w:rsidRPr="007C5593" w:rsidP="007C5593">
            <w:pPr>
              <w:pStyle w:val="ListBullet"/>
            </w:pPr>
            <w:r w:rsidRPr="007C5593">
              <w:t>identifying safe working loads</w:t>
            </w:r>
          </w:p>
          <w:p w:rsidR="00000000" w:rsidRPr="007C5593" w:rsidP="007C5593">
            <w:pPr>
              <w:pStyle w:val="ListBullet"/>
            </w:pPr>
            <w:r w:rsidRPr="007C5593">
              <w:t>identifying/managing special conditions and equipment</w:t>
            </w:r>
          </w:p>
          <w:p w:rsidR="00000000" w:rsidRPr="007C5593" w:rsidP="007C5593">
            <w:pPr>
              <w:pStyle w:val="ListBullet"/>
            </w:pPr>
            <w:r w:rsidRPr="007C5593">
              <w:t>operating in a complex mobile plant environment</w:t>
            </w:r>
          </w:p>
          <w:p w:rsidR="00000000" w:rsidRPr="007C5593" w:rsidP="007C5593">
            <w:pPr>
              <w:pStyle w:val="ListBullet"/>
            </w:pPr>
            <w:r w:rsidRPr="007C5593">
              <w:t>communicating with personnel on movement/location</w:t>
            </w:r>
          </w:p>
          <w:p w:rsidR="00000000" w:rsidP="007C5593">
            <w:pPr>
              <w:pStyle w:val="ListBullet"/>
              <w:rPr>
                <w:lang w:val="en-NZ"/>
              </w:rPr>
            </w:pPr>
            <w:r w:rsidRPr="007C5593">
              <w:t>following oral instructions</w:t>
            </w:r>
          </w:p>
        </w:tc>
      </w:tr>
      <w:tr w:rsidTr="005E0D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Required knowledge</w:t>
            </w:r>
          </w:p>
        </w:tc>
      </w:tr>
      <w:tr w:rsidTr="005E0D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BodyText"/>
            </w:pPr>
            <w:r w:rsidRPr="007C5593">
              <w:t>Look for evidence that confirms knowledge of:</w:t>
            </w:r>
          </w:p>
          <w:p w:rsidR="00000000" w:rsidRPr="007C5593" w:rsidP="007C5593">
            <w:pPr>
              <w:pStyle w:val="ListBullet"/>
            </w:pPr>
            <w:r w:rsidRPr="007C5593">
              <w:t>pre-operational checks</w:t>
            </w:r>
          </w:p>
          <w:p w:rsidR="00000000" w:rsidRPr="007C5593" w:rsidP="007C5593">
            <w:pPr>
              <w:pStyle w:val="ListBullet"/>
            </w:pPr>
            <w:r w:rsidRPr="007C5593">
              <w:t>licensing requirements and appropriate permits</w:t>
            </w:r>
          </w:p>
          <w:p w:rsidR="00000000" w:rsidRPr="007C5593" w:rsidP="007C5593">
            <w:pPr>
              <w:pStyle w:val="ListBullet"/>
            </w:pPr>
            <w:r w:rsidRPr="007C5593">
              <w:t>load protection</w:t>
            </w:r>
          </w:p>
          <w:p w:rsidR="00000000" w:rsidRPr="007C5593" w:rsidP="007C5593">
            <w:pPr>
              <w:pStyle w:val="ListBullet"/>
            </w:pPr>
            <w:r w:rsidRPr="007C5593">
              <w:t>operational environment</w:t>
            </w:r>
          </w:p>
          <w:p w:rsidR="00000000" w:rsidRPr="007C5593" w:rsidP="007C5593">
            <w:pPr>
              <w:pStyle w:val="ListBullet"/>
            </w:pPr>
            <w:r w:rsidRPr="007C5593">
              <w:t>methods and techniques for loads requiring special care</w:t>
            </w:r>
          </w:p>
          <w:p w:rsidR="00000000" w:rsidRPr="007C5593" w:rsidP="007C5593">
            <w:pPr>
              <w:pStyle w:val="ListBullet"/>
            </w:pPr>
            <w:r w:rsidRPr="007C5593">
              <w:t>hazards and control measures associated wit</w:t>
            </w:r>
            <w:r w:rsidRPr="007C5593">
              <w:t>h this unit</w:t>
            </w:r>
          </w:p>
          <w:p w:rsidR="00000000" w:rsidRPr="007C5593" w:rsidP="007C5593">
            <w:pPr>
              <w:pStyle w:val="ListBullet"/>
            </w:pPr>
            <w:r w:rsidRPr="007C5593">
              <w:t>use and application of personal protective equipment</w:t>
            </w:r>
          </w:p>
          <w:p w:rsidR="00000000" w:rsidRPr="007C5593" w:rsidP="007C5593">
            <w:pPr>
              <w:pStyle w:val="ListBullet"/>
            </w:pPr>
            <w:r w:rsidRPr="007C5593">
              <w:t>safe work practices and procedures</w:t>
            </w:r>
          </w:p>
        </w:tc>
      </w:tr>
    </w:tbl>
    <w:p w:rsidR="005E0DEB" w:rsidP="007C5593">
      <w:pPr>
        <w:pStyle w:val="BodyText"/>
      </w:pPr>
    </w:p>
    <w:p w:rsidR="005E0DEB" w:rsidP="007C5593">
      <w:pPr>
        <w:pStyle w:val="BodyText"/>
      </w:pPr>
    </w:p>
    <w:p w:rsidR="00000000" w:rsidRPr="007C5593" w:rsidP="007C5593">
      <w:pPr>
        <w:pStyle w:val="AllowPageBreak"/>
      </w:pPr>
    </w:p>
    <w:p w:rsidR="00000000" w:rsidRPr="007C5593" w:rsidP="007C5593">
      <w:pPr>
        <w:pStyle w:val="Heading1"/>
      </w:pPr>
      <w:bookmarkStart w:id="10" w:name="O_244848"/>
      <w:bookmarkEnd w:id="10"/>
      <w:r w:rsidRPr="007C5593">
        <w:t>Evidence Guide</w:t>
      </w:r>
    </w:p>
    <w:tbl>
      <w:tblPr>
        <w:tblW w:w="9570" w:type="dxa"/>
        <w:tblLayout w:type="fixed"/>
        <w:tblCellMar>
          <w:left w:w="62" w:type="dxa"/>
          <w:right w:w="62" w:type="dxa"/>
        </w:tblCellMar>
        <w:tblLook w:val="0000"/>
      </w:tblPr>
      <w:tblGrid>
        <w:gridCol w:w="3908"/>
        <w:gridCol w:w="5662"/>
      </w:tblGrid>
      <w:tr w:rsidTr="005E0D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EVIDENCE GUIDE</w:t>
            </w:r>
          </w:p>
        </w:tc>
      </w:tr>
      <w:tr w:rsidTr="005E0D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t>The evidence guide provides advice on assessment and must be read in conjunction with the performance criteria, required skills and knowledge, range statement and the Assessment Guidelines for the Training Package.</w:t>
            </w:r>
          </w:p>
        </w:tc>
      </w:tr>
      <w:tr w:rsidTr="005E0D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t>A person who dem</w:t>
            </w:r>
            <w:r w:rsidRPr="007C5593">
              <w:t>onstrates competency in this unit must be able to operate load shifting equipment in special conditions. Competency in this unit cannot be claimed until all prerequisites have been satisfied.</w:t>
            </w:r>
          </w:p>
        </w:tc>
      </w:tr>
      <w:tr w:rsidTr="005E0D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Critical aspects for assessment and evidence required to demons</w:t>
            </w:r>
            <w:r w:rsidRPr="007C5593">
              <w:rPr>
                <w:rStyle w:val="SpecialBold"/>
              </w:rPr>
              <w:t>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t xml:space="preserve">Assessors must be satisfied that the candidate can competently and consistently perform all elements of the unit as specified by the criteria, including required knowledge, and be capable of applying the competency in new and </w:t>
            </w:r>
            <w:r w:rsidRPr="007C5593">
              <w:t>different situations and contexts.</w:t>
            </w:r>
          </w:p>
        </w:tc>
      </w:tr>
      <w:tr w:rsidTr="005E0D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BodyText"/>
            </w:pPr>
            <w:r w:rsidRPr="007C5593">
              <w:t>This unit may be assessed on the job, off the job or a combination of both on and off the job. Where assessment occurs off the job, that is the candidate is not in product</w:t>
            </w:r>
            <w:r w:rsidRPr="007C5593">
              <w:t>ive work, then an appropriate simulation must be used where the range of conditions reflects realistic workplace situations. The competencies covered by this unit would be demonstrated by an individual working alone or as part of a team. The assessment env</w:t>
            </w:r>
            <w:r w:rsidRPr="007C5593">
              <w:t xml:space="preserve">ironment should not disadvantage the candidate. </w:t>
            </w:r>
          </w:p>
          <w:p w:rsidR="00000000" w:rsidP="007C5593">
            <w:pPr>
              <w:pStyle w:val="BodyText"/>
              <w:rPr>
                <w:lang w:val="en-NZ"/>
              </w:rPr>
            </w:pPr>
            <w:r w:rsidRPr="007C5593">
              <w:t>This unit could be assessed in conjunction with any other units addressing the safety, quality, comm</w:t>
            </w:r>
            <w:r w:rsidRPr="007C5593">
              <w:t>unication, materials handling, recording and reporting associated with operating load shifting equipment in special conditions or other units requiring the exercise of the skills and knowledge covered by this unit.</w:t>
            </w:r>
          </w:p>
        </w:tc>
      </w:tr>
      <w:tr w:rsidTr="005E0D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t>Assessors should ga</w:t>
            </w:r>
            <w:r w:rsidRPr="007C5593">
              <w:t>ther a range of evidence that is valid, sufficient, current and authentic. Evidence can be gathered through a variety of ways including direct observation, supervisor's reports, project work, samples and questioning. Questioning should not require language</w:t>
            </w:r>
            <w:r w:rsidRPr="007C5593">
              <w:t>, literacy and numeracy skills beyond those required in this unit. The candidate must have access to all tools, equipment, materials and documentation required. The candidate must be permitted to refer to any relevant workplace procedures, product and manu</w:t>
            </w:r>
            <w:r w:rsidRPr="007C5593">
              <w:t>facturing specifications, codes, standards, manuals and reference materials.</w:t>
            </w:r>
          </w:p>
        </w:tc>
      </w:tr>
      <w:tr w:rsidTr="005E0D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BodyText"/>
            </w:pPr>
          </w:p>
        </w:tc>
      </w:tr>
    </w:tbl>
    <w:p w:rsidR="005E0DEB" w:rsidP="007C5593">
      <w:pPr>
        <w:pStyle w:val="BodyText"/>
      </w:pPr>
    </w:p>
    <w:p w:rsidR="005E0DEB" w:rsidP="007C5593">
      <w:pPr>
        <w:pStyle w:val="BodyText"/>
      </w:pPr>
    </w:p>
    <w:p w:rsidR="00000000" w:rsidRPr="007C5593" w:rsidP="007C5593">
      <w:pPr>
        <w:pStyle w:val="Heading1"/>
      </w:pPr>
      <w:bookmarkStart w:id="11" w:name="O_252831"/>
      <w:bookmarkEnd w:id="11"/>
      <w:r w:rsidRPr="007C5593">
        <w:t>Range Statement</w:t>
      </w:r>
    </w:p>
    <w:tbl>
      <w:tblPr>
        <w:tblW w:w="0" w:type="auto"/>
        <w:tblLayout w:type="fixed"/>
        <w:tblCellMar>
          <w:left w:w="62" w:type="dxa"/>
          <w:right w:w="62" w:type="dxa"/>
        </w:tblCellMar>
        <w:tblLook w:val="0000"/>
      </w:tblPr>
      <w:tblGrid>
        <w:gridCol w:w="3483"/>
        <w:gridCol w:w="5039"/>
      </w:tblGrid>
      <w:tr w:rsidTr="005E0D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RANGE STATEMENT</w:t>
            </w:r>
          </w:p>
        </w:tc>
      </w:tr>
      <w:tr w:rsidTr="005E0D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t>The range statement relates to the unit of competency as a whole. It allows for different work environments and situations that may affect performance. Bold italicised wording, if used in the performance criteria, is detailed below. Essential operating con</w:t>
            </w:r>
            <w:r w:rsidRPr="007C5593">
              <w:t>ditions that may be present with training and assessment (depending on the work situation, needs of the candidate, accessibility of the item, and local industry and regional contexts) may also be included.</w:t>
            </w:r>
          </w:p>
        </w:tc>
      </w:tr>
      <w:tr w:rsidTr="005E0DE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Safe working load</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t>As defined in the manufacturer</w:t>
            </w:r>
            <w:r w:rsidRPr="007C5593">
              <w:t>s' specifications for lifting plant or gear</w:t>
            </w:r>
          </w:p>
        </w:tc>
      </w:tr>
      <w:tr w:rsidTr="005E0DEB">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Loads requiring special care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ListBullet"/>
            </w:pPr>
            <w:r w:rsidRPr="007C5593">
              <w:t>Non-standard load configuration</w:t>
            </w:r>
          </w:p>
          <w:p w:rsidR="00000000" w:rsidRPr="007C5593" w:rsidP="007C5593">
            <w:pPr>
              <w:pStyle w:val="ListBullet"/>
            </w:pPr>
            <w:r w:rsidRPr="007C5593">
              <w:t>Fragile loads</w:t>
            </w:r>
          </w:p>
          <w:p w:rsidR="00000000" w:rsidRPr="007C5593" w:rsidP="007C5593">
            <w:pPr>
              <w:pStyle w:val="ListBullet"/>
            </w:pPr>
            <w:r w:rsidRPr="007C5593">
              <w:t>Dangerous (volatile, explosive, sensitive)</w:t>
            </w:r>
          </w:p>
          <w:p w:rsidR="00000000" w:rsidRPr="007C5593" w:rsidP="007C5593">
            <w:pPr>
              <w:pStyle w:val="ListBullet"/>
            </w:pPr>
            <w:r w:rsidRPr="007C5593">
              <w:t>Raising and lowering personnel on approved work platforms (forklift only)</w:t>
            </w:r>
          </w:p>
        </w:tc>
      </w:tr>
    </w:tbl>
    <w:p w:rsidR="005E0DEB" w:rsidP="007C5593">
      <w:pPr>
        <w:pStyle w:val="BodyText"/>
      </w:pPr>
    </w:p>
    <w:p w:rsidR="005E0DEB" w:rsidP="007C5593">
      <w:pPr>
        <w:pStyle w:val="BodyText"/>
      </w:pPr>
    </w:p>
    <w:p w:rsidR="00000000" w:rsidRPr="007C5593" w:rsidP="007C5593">
      <w:pPr>
        <w:pStyle w:val="Heading1"/>
      </w:pPr>
      <w:bookmarkStart w:id="12" w:name="O_211501"/>
      <w:bookmarkEnd w:id="12"/>
      <w:r w:rsidRPr="007C5593">
        <w:t>Unit Sector(s)</w:t>
      </w:r>
    </w:p>
    <w:tbl>
      <w:tblPr>
        <w:tblW w:w="0" w:type="auto"/>
        <w:tblLayout w:type="fixed"/>
        <w:tblCellMar>
          <w:left w:w="62" w:type="dxa"/>
          <w:right w:w="62" w:type="dxa"/>
        </w:tblCellMar>
        <w:tblLook w:val="0000"/>
      </w:tblPr>
      <w:tblGrid>
        <w:gridCol w:w="2654"/>
        <w:gridCol w:w="5868"/>
      </w:tblGrid>
      <w:tr w:rsidTr="005E0DE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BodyText"/>
            </w:pPr>
          </w:p>
        </w:tc>
      </w:tr>
    </w:tbl>
    <w:p w:rsidR="005E0DEB" w:rsidP="007C5593">
      <w:pPr>
        <w:pStyle w:val="BodyText"/>
      </w:pPr>
    </w:p>
    <w:p w:rsidR="005E0DEB" w:rsidP="007C5593">
      <w:pPr>
        <w:pStyle w:val="BodyText"/>
      </w:pPr>
    </w:p>
    <w:p w:rsidR="00000000" w:rsidRPr="007C5593" w:rsidP="007C5593">
      <w:pPr>
        <w:pStyle w:val="Heading1"/>
      </w:pPr>
      <w:bookmarkStart w:id="13" w:name="O_211498"/>
      <w:bookmarkEnd w:id="13"/>
      <w:r w:rsidRPr="007C5593">
        <w:t>Co-requisite units</w:t>
      </w:r>
    </w:p>
    <w:tbl>
      <w:tblPr>
        <w:tblW w:w="0" w:type="auto"/>
        <w:tblLayout w:type="fixed"/>
        <w:tblCellMar>
          <w:left w:w="62" w:type="dxa"/>
          <w:right w:w="62" w:type="dxa"/>
        </w:tblCellMar>
        <w:tblLook w:val="0000"/>
      </w:tblPr>
      <w:tblGrid>
        <w:gridCol w:w="2641"/>
        <w:gridCol w:w="1322"/>
        <w:gridCol w:w="4559"/>
      </w:tblGrid>
      <w:tr w:rsidTr="005E0D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p>
        </w:tc>
      </w:tr>
      <w:tr w:rsidTr="005E0D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p>
        </w:tc>
      </w:tr>
      <w:tr w:rsidTr="005E0D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BodyText"/>
            </w:pPr>
          </w:p>
        </w:tc>
      </w:tr>
    </w:tbl>
    <w:p w:rsidR="005E0DEB" w:rsidP="007C5593">
      <w:pPr>
        <w:pStyle w:val="BodyText"/>
      </w:pPr>
    </w:p>
    <w:p w:rsidR="005E0DEB" w:rsidP="007C5593">
      <w:pPr>
        <w:pStyle w:val="BodyText"/>
      </w:pPr>
    </w:p>
    <w:p w:rsidR="00000000" w:rsidRPr="007C5593" w:rsidP="007C5593">
      <w:pPr>
        <w:pStyle w:val="Heading1"/>
      </w:pPr>
      <w:bookmarkStart w:id="14" w:name="O_211500"/>
      <w:bookmarkEnd w:id="14"/>
      <w:r w:rsidRPr="007C5593">
        <w:t>Competency field</w:t>
      </w:r>
    </w:p>
    <w:tbl>
      <w:tblPr>
        <w:tblW w:w="0" w:type="auto"/>
        <w:tblLayout w:type="fixed"/>
        <w:tblCellMar>
          <w:left w:w="62" w:type="dxa"/>
          <w:right w:w="62" w:type="dxa"/>
        </w:tblCellMar>
        <w:tblLook w:val="0000"/>
      </w:tblPr>
      <w:tblGrid>
        <w:gridCol w:w="2777"/>
        <w:gridCol w:w="5745"/>
      </w:tblGrid>
      <w:tr w:rsidTr="005E0DEB">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593">
            <w:pPr>
              <w:pStyle w:val="BodyText"/>
              <w:rPr>
                <w:lang w:val="en-NZ"/>
              </w:rPr>
            </w:pPr>
            <w:r w:rsidRPr="007C5593">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593" w:rsidP="007C5593">
            <w:pPr>
              <w:pStyle w:val="BodyText"/>
            </w:pPr>
            <w:r w:rsidRPr="007C5593">
              <w:t>Materials handling</w:t>
            </w:r>
          </w:p>
        </w:tc>
      </w:tr>
    </w:tbl>
    <w:p w:rsidR="005E0DEB" w:rsidP="007C5593">
      <w:pPr>
        <w:pStyle w:val="BodyText"/>
      </w:pPr>
    </w:p>
    <w:p w:rsidR="005E0DEB" w:rsidP="007C5593">
      <w:pPr>
        <w:pStyle w:val="BodyText"/>
      </w:pPr>
    </w:p>
    <w:p w:rsidR="00000000" w:rsidRPr="007C5593" w:rsidP="007C5593"/>
    <w:sectPr w:rsidSect="007C55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DEB" w:rsidP="005E0D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DEB" w:rsidP="007C55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E0DEB" w:rsidP="007C55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0DEB" w:rsidP="007C55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DEB" w:rsidP="005E0D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DEB" w:rsidP="007C5593">
    <w:pPr>
      <w:pStyle w:val="Header"/>
      <w:framePr w:wrap="around"/>
    </w:pPr>
    <w:r>
      <w:fldChar w:fldCharType="begin"/>
    </w:r>
    <w:r>
      <w:instrText xml:space="preserve"> TITLE   \* MERGEFORMAT </w:instrText>
    </w:r>
    <w:r>
      <w:fldChar w:fldCharType="separate"/>
    </w:r>
    <w:r>
      <w:t>MEM11021B Perform advanced operation of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0DEB" w:rsidP="007C55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043E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1AE8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5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5593"/>
    <w:pPr>
      <w:spacing w:before="360" w:after="60"/>
      <w:outlineLvl w:val="0"/>
    </w:pPr>
    <w:rPr>
      <w:sz w:val="32"/>
    </w:rPr>
  </w:style>
  <w:style w:type="paragraph" w:styleId="Heading2">
    <w:name w:val="heading 2"/>
    <w:basedOn w:val="HeadingBase"/>
    <w:next w:val="BodyText"/>
    <w:link w:val="Heading2Char"/>
    <w:qFormat/>
    <w:rsid w:val="007C5593"/>
    <w:pPr>
      <w:keepLines/>
      <w:spacing w:before="240" w:after="120"/>
      <w:outlineLvl w:val="1"/>
    </w:pPr>
    <w:rPr>
      <w:sz w:val="28"/>
      <w:szCs w:val="40"/>
    </w:rPr>
  </w:style>
  <w:style w:type="paragraph" w:styleId="Heading3">
    <w:name w:val="heading 3"/>
    <w:basedOn w:val="HeadingBase"/>
    <w:next w:val="BodyText"/>
    <w:link w:val="Heading3Char"/>
    <w:qFormat/>
    <w:rsid w:val="007C5593"/>
    <w:pPr>
      <w:spacing w:before="180" w:after="120"/>
      <w:outlineLvl w:val="2"/>
    </w:pPr>
    <w:rPr>
      <w:spacing w:val="-10"/>
      <w:kern w:val="32"/>
    </w:rPr>
  </w:style>
  <w:style w:type="paragraph" w:styleId="Heading4">
    <w:name w:val="heading 4"/>
    <w:basedOn w:val="HeadingBase"/>
    <w:next w:val="BodyText"/>
    <w:link w:val="Heading4Char"/>
    <w:qFormat/>
    <w:rsid w:val="007C5593"/>
    <w:pPr>
      <w:spacing w:before="160" w:after="120"/>
      <w:outlineLvl w:val="3"/>
    </w:pPr>
    <w:rPr>
      <w:sz w:val="22"/>
    </w:rPr>
  </w:style>
  <w:style w:type="paragraph" w:styleId="Heading5">
    <w:name w:val="heading 5"/>
    <w:basedOn w:val="HeadingBase"/>
    <w:next w:val="Normal"/>
    <w:link w:val="Heading5Char"/>
    <w:qFormat/>
    <w:rsid w:val="007C5593"/>
    <w:pPr>
      <w:spacing w:before="80"/>
      <w:outlineLvl w:val="4"/>
    </w:pPr>
    <w:rPr>
      <w:color w:val="918585"/>
      <w:sz w:val="20"/>
    </w:rPr>
  </w:style>
  <w:style w:type="paragraph" w:styleId="Heading6">
    <w:name w:val="heading 6"/>
    <w:basedOn w:val="HeadingBase"/>
    <w:next w:val="Normal"/>
    <w:link w:val="Heading6Char"/>
    <w:qFormat/>
    <w:rsid w:val="007C5593"/>
    <w:pPr>
      <w:spacing w:before="60"/>
      <w:outlineLvl w:val="5"/>
    </w:pPr>
    <w:rPr>
      <w:color w:val="918585"/>
      <w:sz w:val="20"/>
    </w:rPr>
  </w:style>
  <w:style w:type="paragraph" w:styleId="Heading7">
    <w:name w:val="heading 7"/>
    <w:basedOn w:val="Normal"/>
    <w:next w:val="Normal"/>
    <w:link w:val="Heading7Char"/>
    <w:qFormat/>
    <w:rsid w:val="007C5593"/>
    <w:pPr>
      <w:ind w:left="720"/>
      <w:outlineLvl w:val="6"/>
    </w:pPr>
    <w:rPr>
      <w:i/>
    </w:rPr>
  </w:style>
  <w:style w:type="paragraph" w:styleId="Heading8">
    <w:name w:val="heading 8"/>
    <w:basedOn w:val="Normal"/>
    <w:next w:val="Normal"/>
    <w:link w:val="Heading8Char"/>
    <w:qFormat/>
    <w:rsid w:val="007C5593"/>
    <w:pPr>
      <w:ind w:left="720"/>
      <w:outlineLvl w:val="7"/>
    </w:pPr>
    <w:rPr>
      <w:i/>
    </w:rPr>
  </w:style>
  <w:style w:type="paragraph" w:styleId="Heading9">
    <w:name w:val="heading 9"/>
    <w:basedOn w:val="Normal"/>
    <w:next w:val="Normal"/>
    <w:link w:val="Heading9Char"/>
    <w:qFormat/>
    <w:rsid w:val="007C5593"/>
    <w:pPr>
      <w:ind w:left="720"/>
      <w:outlineLvl w:val="8"/>
    </w:pPr>
    <w:rPr>
      <w:i/>
    </w:rPr>
  </w:style>
  <w:style w:type="character" w:default="1" w:styleId="DefaultParagraphFont">
    <w:name w:val="Default Paragraph Font"/>
    <w:uiPriority w:val="1"/>
    <w:unhideWhenUsed/>
    <w:rsid w:val="007C55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593"/>
  </w:style>
  <w:style w:type="character" w:customStyle="1" w:styleId="Heading1Char">
    <w:name w:val="Heading 1 Char"/>
    <w:basedOn w:val="DefaultParagraphFont"/>
    <w:link w:val="Heading1"/>
    <w:rsid w:val="007C5593"/>
    <w:rPr>
      <w:rFonts w:ascii="Times New Roman" w:eastAsia="Times New Roman" w:hAnsi="Times New Roman" w:cs="Times New Roman"/>
      <w:b/>
      <w:sz w:val="32"/>
      <w:szCs w:val="20"/>
      <w:lang w:eastAsia="en-US"/>
    </w:rPr>
  </w:style>
  <w:style w:type="paragraph" w:styleId="BodyText">
    <w:name w:val="Body Text"/>
    <w:basedOn w:val="Normal"/>
    <w:link w:val="BodyTextChar"/>
    <w:rsid w:val="007C55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5593"/>
    <w:rPr>
      <w:rFonts w:ascii="Times New Roman" w:eastAsia="Times New Roman" w:hAnsi="Times New Roman" w:cs="Times New Roman"/>
      <w:sz w:val="24"/>
      <w:lang w:val="en-US" w:eastAsia="en-US"/>
    </w:rPr>
  </w:style>
  <w:style w:type="paragraph" w:styleId="Footer">
    <w:name w:val="footer"/>
    <w:basedOn w:val="Normal"/>
    <w:link w:val="FooterChar"/>
    <w:rsid w:val="007C55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593"/>
    <w:rPr>
      <w:rFonts w:ascii="Times New Roman" w:eastAsia="Times New Roman" w:hAnsi="Times New Roman" w:cs="Times New Roman"/>
      <w:sz w:val="16"/>
      <w:lang w:val="en-US" w:eastAsia="en-US"/>
    </w:rPr>
  </w:style>
  <w:style w:type="paragraph" w:styleId="List">
    <w:name w:val="List"/>
    <w:basedOn w:val="BodyText"/>
    <w:next w:val="BodyText"/>
    <w:rsid w:val="007C5593"/>
    <w:pPr>
      <w:tabs>
        <w:tab w:val="left" w:pos="340"/>
      </w:tabs>
      <w:spacing w:before="60" w:after="60"/>
      <w:ind w:left="340" w:hanging="340"/>
    </w:pPr>
  </w:style>
  <w:style w:type="paragraph" w:styleId="ListBullet">
    <w:name w:val="List Bullet"/>
    <w:basedOn w:val="List"/>
    <w:rsid w:val="007C5593"/>
    <w:pPr>
      <w:numPr>
        <w:numId w:val="12"/>
      </w:numPr>
      <w:tabs>
        <w:tab w:val="clear" w:pos="340"/>
      </w:tabs>
      <w:spacing w:before="40" w:after="40"/>
    </w:pPr>
  </w:style>
  <w:style w:type="character" w:customStyle="1" w:styleId="SpecialBold">
    <w:name w:val="Special Bold"/>
    <w:basedOn w:val="DefaultParagraphFont"/>
    <w:rsid w:val="007C5593"/>
    <w:rPr>
      <w:b/>
      <w:spacing w:val="0"/>
    </w:rPr>
  </w:style>
  <w:style w:type="paragraph" w:styleId="Header">
    <w:name w:val="header"/>
    <w:basedOn w:val="Normal"/>
    <w:link w:val="HeaderChar"/>
    <w:rsid w:val="007C55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5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5593"/>
    <w:pPr>
      <w:spacing w:before="240" w:after="120"/>
      <w:outlineLvl w:val="0"/>
    </w:pPr>
    <w:rPr>
      <w:rFonts w:ascii="Times New Roman" w:hAnsi="Times New Roman"/>
      <w:b/>
      <w:sz w:val="28"/>
    </w:rPr>
  </w:style>
  <w:style w:type="paragraph" w:customStyle="1" w:styleId="AllowPageBreak">
    <w:name w:val="AllowPageBreak"/>
    <w:rsid w:val="007C55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5593"/>
    <w:pPr>
      <w:tabs>
        <w:tab w:val="left" w:pos="680"/>
      </w:tabs>
      <w:spacing w:before="60" w:after="60"/>
      <w:ind w:left="680" w:hanging="340"/>
    </w:pPr>
  </w:style>
  <w:style w:type="character" w:customStyle="1" w:styleId="Heading2Char">
    <w:name w:val="Heading 2 Char"/>
    <w:basedOn w:val="DefaultParagraphFont"/>
    <w:link w:val="Heading2"/>
    <w:rsid w:val="007C55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5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5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5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5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5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55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5593"/>
    <w:rPr>
      <w:rFonts w:ascii="Courier New" w:eastAsia="Times New Roman" w:hAnsi="Courier New" w:cs="Times New Roman"/>
      <w:i/>
      <w:szCs w:val="20"/>
      <w:lang w:val="en-US" w:eastAsia="en-US"/>
    </w:rPr>
  </w:style>
  <w:style w:type="paragraph" w:customStyle="1" w:styleId="HeadingBase">
    <w:name w:val="Heading Base"/>
    <w:rsid w:val="007C55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593"/>
    <w:pPr>
      <w:tabs>
        <w:tab w:val="right" w:leader="dot" w:pos="9072"/>
      </w:tabs>
      <w:ind w:left="567"/>
    </w:pPr>
    <w:rPr>
      <w:szCs w:val="22"/>
    </w:rPr>
  </w:style>
  <w:style w:type="paragraph" w:customStyle="1" w:styleId="TOCBase">
    <w:name w:val="TOC Base"/>
    <w:rsid w:val="007C55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593"/>
    <w:pPr>
      <w:tabs>
        <w:tab w:val="right" w:leader="dot" w:pos="9072"/>
      </w:tabs>
      <w:spacing w:before="40" w:after="40"/>
      <w:ind w:left="284"/>
    </w:pPr>
    <w:rPr>
      <w:rFonts w:ascii="Times New Roman" w:hAnsi="Times New Roman"/>
    </w:rPr>
  </w:style>
  <w:style w:type="paragraph" w:styleId="TOC1">
    <w:name w:val="toc 1"/>
    <w:basedOn w:val="TOCBase"/>
    <w:next w:val="Normal"/>
    <w:rsid w:val="007C55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5593"/>
    <w:pPr>
      <w:spacing w:before="5040"/>
      <w:jc w:val="center"/>
    </w:pPr>
    <w:rPr>
      <w:sz w:val="48"/>
      <w:szCs w:val="72"/>
      <w:lang w:val="en-US"/>
    </w:rPr>
  </w:style>
  <w:style w:type="character" w:customStyle="1" w:styleId="TitleChar">
    <w:name w:val="Title Char"/>
    <w:basedOn w:val="DefaultParagraphFont"/>
    <w:link w:val="Title"/>
    <w:rsid w:val="007C55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593"/>
    <w:pPr>
      <w:tabs>
        <w:tab w:val="left" w:pos="3600"/>
        <w:tab w:val="left" w:pos="3958"/>
      </w:tabs>
    </w:pPr>
  </w:style>
  <w:style w:type="paragraph" w:customStyle="1" w:styleId="Note">
    <w:name w:val="Note"/>
    <w:basedOn w:val="BodyText"/>
    <w:rsid w:val="007C55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593"/>
    <w:pPr>
      <w:framePr w:wrap="auto" w:hAnchor="text" w:y="6049"/>
    </w:pPr>
    <w:rPr>
      <w:color w:val="000000"/>
      <w:sz w:val="40"/>
    </w:rPr>
  </w:style>
  <w:style w:type="paragraph" w:customStyle="1" w:styleId="TOCTitle">
    <w:name w:val="TOCTitle"/>
    <w:basedOn w:val="Heading1"/>
    <w:rsid w:val="007C5593"/>
    <w:pPr>
      <w:spacing w:after="240"/>
      <w:jc w:val="center"/>
      <w:outlineLvl w:val="9"/>
    </w:pPr>
    <w:rPr>
      <w:caps/>
    </w:rPr>
  </w:style>
  <w:style w:type="paragraph" w:customStyle="1" w:styleId="Version">
    <w:name w:val="Version"/>
    <w:rsid w:val="007C55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5593"/>
    <w:pPr>
      <w:numPr>
        <w:numId w:val="13"/>
      </w:numPr>
      <w:tabs>
        <w:tab w:val="clear" w:pos="680"/>
      </w:tabs>
    </w:pPr>
  </w:style>
  <w:style w:type="paragraph" w:styleId="Index1">
    <w:name w:val="index 1"/>
    <w:basedOn w:val="Normal"/>
    <w:next w:val="Normal"/>
    <w:semiHidden/>
    <w:rsid w:val="007C5593"/>
    <w:pPr>
      <w:keepNext w:val="0"/>
      <w:tabs>
        <w:tab w:val="right" w:pos="4176"/>
      </w:tabs>
      <w:ind w:left="198" w:hanging="198"/>
    </w:pPr>
    <w:rPr>
      <w:rFonts w:ascii="Garamond" w:hAnsi="Garamond"/>
    </w:rPr>
  </w:style>
  <w:style w:type="paragraph" w:styleId="IndexHeading">
    <w:name w:val="index heading"/>
    <w:basedOn w:val="Normal"/>
    <w:next w:val="Index1"/>
    <w:semiHidden/>
    <w:rsid w:val="007C5593"/>
    <w:pPr>
      <w:spacing w:before="120" w:after="120"/>
    </w:pPr>
    <w:rPr>
      <w:rFonts w:ascii="Arial" w:hAnsi="Arial"/>
      <w:b/>
      <w:color w:val="918585"/>
      <w:sz w:val="24"/>
    </w:rPr>
  </w:style>
  <w:style w:type="paragraph" w:customStyle="1" w:styleId="Chapter">
    <w:name w:val="Chapter"/>
    <w:basedOn w:val="Normal"/>
    <w:rsid w:val="007C5593"/>
    <w:pPr>
      <w:spacing w:before="240"/>
    </w:pPr>
    <w:rPr>
      <w:rFonts w:ascii="Times New Roman" w:hAnsi="Times New Roman"/>
      <w:smallCaps/>
      <w:spacing w:val="80"/>
      <w:sz w:val="28"/>
    </w:rPr>
  </w:style>
  <w:style w:type="paragraph" w:customStyle="1" w:styleId="InChapter">
    <w:name w:val="InChapter"/>
    <w:basedOn w:val="Heading3"/>
    <w:rsid w:val="007C5593"/>
    <w:pPr>
      <w:spacing w:after="240"/>
      <w:outlineLvl w:val="9"/>
    </w:pPr>
    <w:rPr>
      <w:noProof/>
    </w:rPr>
  </w:style>
  <w:style w:type="paragraph" w:styleId="Index2">
    <w:name w:val="index 2"/>
    <w:basedOn w:val="Normal"/>
    <w:next w:val="Normal"/>
    <w:semiHidden/>
    <w:rsid w:val="007C5593"/>
    <w:pPr>
      <w:tabs>
        <w:tab w:val="right" w:pos="4176"/>
      </w:tabs>
      <w:ind w:left="568" w:hanging="284"/>
    </w:pPr>
    <w:rPr>
      <w:rFonts w:ascii="Garamond" w:hAnsi="Garamond"/>
    </w:rPr>
  </w:style>
  <w:style w:type="paragraph" w:customStyle="1" w:styleId="Byline">
    <w:name w:val="Byline"/>
    <w:rsid w:val="007C55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593"/>
    <w:pPr>
      <w:tabs>
        <w:tab w:val="clear" w:pos="3600"/>
        <w:tab w:val="clear" w:pos="3958"/>
      </w:tabs>
      <w:jc w:val="right"/>
    </w:pPr>
  </w:style>
  <w:style w:type="character" w:styleId="Emphasis">
    <w:name w:val="Emphasis"/>
    <w:basedOn w:val="DefaultParagraphFont"/>
    <w:qFormat/>
    <w:rsid w:val="007C5593"/>
    <w:rPr>
      <w:i/>
    </w:rPr>
  </w:style>
  <w:style w:type="paragraph" w:styleId="Caption">
    <w:name w:val="caption"/>
    <w:basedOn w:val="BodyText"/>
    <w:next w:val="Normal"/>
    <w:qFormat/>
    <w:rsid w:val="007C5593"/>
    <w:pPr>
      <w:framePr w:w="2268" w:hSpace="181" w:vSpace="181" w:wrap="around" w:vAnchor="text" w:hAnchor="page" w:x="1135" w:y="285" w:anchorLock="1"/>
    </w:pPr>
    <w:rPr>
      <w:i/>
    </w:rPr>
  </w:style>
  <w:style w:type="paragraph" w:customStyle="1" w:styleId="MiniTOCTitle">
    <w:name w:val="MiniTOCTitle"/>
    <w:basedOn w:val="Heading4"/>
    <w:rsid w:val="007C5593"/>
    <w:pPr>
      <w:spacing w:before="240"/>
      <w:outlineLvl w:val="9"/>
    </w:pPr>
    <w:rPr>
      <w:noProof/>
      <w:sz w:val="24"/>
    </w:rPr>
  </w:style>
  <w:style w:type="paragraph" w:customStyle="1" w:styleId="MiniTOCItem">
    <w:name w:val="MiniTOCItem"/>
    <w:basedOn w:val="ListBullet"/>
    <w:rsid w:val="007C5593"/>
    <w:pPr>
      <w:numPr>
        <w:numId w:val="0"/>
      </w:numPr>
      <w:tabs>
        <w:tab w:val="right" w:leader="dot" w:pos="6521"/>
      </w:tabs>
      <w:spacing w:before="0" w:after="0"/>
    </w:pPr>
  </w:style>
  <w:style w:type="paragraph" w:customStyle="1" w:styleId="TOFTitle">
    <w:name w:val="TOFTitle"/>
    <w:basedOn w:val="TOCTitle"/>
    <w:rsid w:val="007C5593"/>
  </w:style>
  <w:style w:type="paragraph" w:styleId="TableofFigures">
    <w:name w:val="table of figures"/>
    <w:basedOn w:val="Normal"/>
    <w:next w:val="Normal"/>
    <w:semiHidden/>
    <w:rsid w:val="007C5593"/>
    <w:pPr>
      <w:tabs>
        <w:tab w:val="right" w:leader="dot" w:pos="9072"/>
      </w:tabs>
      <w:ind w:left="970" w:hanging="403"/>
    </w:pPr>
    <w:rPr>
      <w:rFonts w:ascii="Times New Roman" w:hAnsi="Times New Roman"/>
      <w:b/>
    </w:rPr>
  </w:style>
  <w:style w:type="paragraph" w:styleId="ListNumber">
    <w:name w:val="List Number"/>
    <w:basedOn w:val="List"/>
    <w:rsid w:val="007C5593"/>
    <w:pPr>
      <w:numPr>
        <w:numId w:val="10"/>
      </w:numPr>
    </w:pPr>
  </w:style>
  <w:style w:type="character" w:customStyle="1" w:styleId="WingdingSymbols">
    <w:name w:val="Wingding Symbols"/>
    <w:rsid w:val="007C5593"/>
    <w:rPr>
      <w:rFonts w:ascii="Wingdings" w:hAnsi="Wingdings"/>
    </w:rPr>
  </w:style>
  <w:style w:type="paragraph" w:customStyle="1" w:styleId="TableHeading">
    <w:name w:val="Table Heading"/>
    <w:basedOn w:val="HeadingBase"/>
    <w:rsid w:val="007C5593"/>
    <w:pPr>
      <w:keepLines/>
      <w:pBdr>
        <w:bottom w:val="single" w:sz="6" w:space="1" w:color="918585"/>
      </w:pBdr>
      <w:spacing w:before="240"/>
    </w:pPr>
  </w:style>
  <w:style w:type="character" w:customStyle="1" w:styleId="HotSpot">
    <w:name w:val="HotSpot"/>
    <w:rsid w:val="007C5593"/>
    <w:rPr>
      <w:color w:val="0033CC"/>
      <w:u w:val="none"/>
    </w:rPr>
  </w:style>
  <w:style w:type="paragraph" w:customStyle="1" w:styleId="BodyTextRight">
    <w:name w:val="Body Text Right"/>
    <w:basedOn w:val="BodyText"/>
    <w:rsid w:val="007C5593"/>
    <w:pPr>
      <w:spacing w:before="0" w:after="0"/>
      <w:jc w:val="right"/>
    </w:pPr>
  </w:style>
  <w:style w:type="paragraph" w:styleId="Index3">
    <w:name w:val="index 3"/>
    <w:basedOn w:val="ListNumber2"/>
    <w:next w:val="Normal"/>
    <w:semiHidden/>
    <w:rsid w:val="007C5593"/>
    <w:pPr>
      <w:numPr>
        <w:numId w:val="0"/>
      </w:numPr>
      <w:tabs>
        <w:tab w:val="right" w:leader="dot" w:pos="4176"/>
      </w:tabs>
    </w:pPr>
  </w:style>
  <w:style w:type="paragraph" w:styleId="ListNumber2">
    <w:name w:val="List Number 2"/>
    <w:basedOn w:val="List2"/>
    <w:rsid w:val="007C5593"/>
    <w:pPr>
      <w:numPr>
        <w:numId w:val="9"/>
      </w:numPr>
      <w:tabs>
        <w:tab w:val="clear" w:pos="1060"/>
      </w:tabs>
    </w:pPr>
  </w:style>
  <w:style w:type="paragraph" w:customStyle="1" w:styleId="MarginNote">
    <w:name w:val="Margin Note"/>
    <w:basedOn w:val="BodyText"/>
    <w:rsid w:val="007C55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5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5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5593"/>
    <w:rPr>
      <w:sz w:val="32"/>
    </w:rPr>
  </w:style>
  <w:style w:type="paragraph" w:customStyle="1" w:styleId="HeadingProcedure">
    <w:name w:val="Heading Procedure"/>
    <w:basedOn w:val="HeadingBase"/>
    <w:next w:val="Normal"/>
    <w:rsid w:val="007C5593"/>
    <w:pPr>
      <w:tabs>
        <w:tab w:val="left" w:pos="0"/>
      </w:tabs>
      <w:spacing w:before="120" w:after="60"/>
    </w:pPr>
    <w:rPr>
      <w:i/>
      <w:color w:val="918585"/>
      <w:sz w:val="22"/>
    </w:rPr>
  </w:style>
  <w:style w:type="paragraph" w:customStyle="1" w:styleId="TableBodyText">
    <w:name w:val="Table Body Text"/>
    <w:basedOn w:val="BodyText"/>
    <w:rsid w:val="007C5593"/>
    <w:pPr>
      <w:spacing w:before="60" w:after="60"/>
    </w:pPr>
  </w:style>
  <w:style w:type="paragraph" w:styleId="ListContinue">
    <w:name w:val="List Continue"/>
    <w:basedOn w:val="List"/>
    <w:rsid w:val="007C5593"/>
    <w:pPr>
      <w:ind w:firstLine="0"/>
    </w:pPr>
  </w:style>
  <w:style w:type="paragraph" w:customStyle="1" w:styleId="ListNote">
    <w:name w:val="List Note"/>
    <w:basedOn w:val="List"/>
    <w:rsid w:val="007C5593"/>
    <w:pPr>
      <w:pBdr>
        <w:top w:val="single" w:sz="6" w:space="2" w:color="918585"/>
        <w:bottom w:val="single" w:sz="6" w:space="2" w:color="918585"/>
      </w:pBdr>
      <w:tabs>
        <w:tab w:val="left" w:pos="1021"/>
      </w:tabs>
      <w:ind w:firstLine="0"/>
    </w:pPr>
  </w:style>
  <w:style w:type="paragraph" w:customStyle="1" w:styleId="Warning">
    <w:name w:val="Warning"/>
    <w:basedOn w:val="BodyText"/>
    <w:rsid w:val="007C5593"/>
    <w:pPr>
      <w:shd w:val="clear" w:color="auto" w:fill="D9D9D9"/>
      <w:tabs>
        <w:tab w:val="left" w:pos="992"/>
      </w:tabs>
      <w:ind w:left="119" w:right="119"/>
    </w:pPr>
    <w:rPr>
      <w:sz w:val="20"/>
    </w:rPr>
  </w:style>
  <w:style w:type="paragraph" w:customStyle="1" w:styleId="MarginIcons">
    <w:name w:val="Margin Icons"/>
    <w:basedOn w:val="BodyText"/>
    <w:rsid w:val="007C55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593"/>
    <w:rPr>
      <w:rFonts w:ascii="Courier New" w:hAnsi="Courier New"/>
    </w:rPr>
  </w:style>
  <w:style w:type="paragraph" w:customStyle="1" w:styleId="NoteBullet">
    <w:name w:val="Note Bullet"/>
    <w:basedOn w:val="Note"/>
    <w:rsid w:val="007C5593"/>
    <w:pPr>
      <w:tabs>
        <w:tab w:val="clear" w:pos="680"/>
      </w:tabs>
      <w:spacing w:before="60" w:after="60"/>
    </w:pPr>
  </w:style>
  <w:style w:type="paragraph" w:customStyle="1" w:styleId="SubHeading2">
    <w:name w:val="SubHeading2"/>
    <w:basedOn w:val="HeadingBase"/>
    <w:rsid w:val="007C5593"/>
    <w:pPr>
      <w:spacing w:before="240" w:after="60"/>
    </w:pPr>
    <w:rPr>
      <w:sz w:val="20"/>
    </w:rPr>
  </w:style>
  <w:style w:type="paragraph" w:customStyle="1" w:styleId="SubHeading1">
    <w:name w:val="SubHeading1"/>
    <w:basedOn w:val="HeadingBase"/>
    <w:rsid w:val="007C5593"/>
    <w:pPr>
      <w:spacing w:before="240" w:after="60"/>
    </w:pPr>
    <w:rPr>
      <w:color w:val="918585"/>
      <w:sz w:val="22"/>
    </w:rPr>
  </w:style>
  <w:style w:type="paragraph" w:customStyle="1" w:styleId="SideHeading">
    <w:name w:val="Side Heading"/>
    <w:basedOn w:val="HeadingBase"/>
    <w:rsid w:val="007C55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593"/>
    <w:pPr>
      <w:tabs>
        <w:tab w:val="num" w:pos="360"/>
      </w:tabs>
    </w:pPr>
  </w:style>
  <w:style w:type="paragraph" w:styleId="PlainText">
    <w:name w:val="Plain Text"/>
    <w:basedOn w:val="Normal"/>
    <w:link w:val="PlainTextChar"/>
    <w:rsid w:val="007C5593"/>
    <w:rPr>
      <w:sz w:val="20"/>
    </w:rPr>
  </w:style>
  <w:style w:type="character" w:customStyle="1" w:styleId="PlainTextChar">
    <w:name w:val="Plain Text Char"/>
    <w:basedOn w:val="DefaultParagraphFont"/>
    <w:link w:val="PlainText"/>
    <w:rsid w:val="007C55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5593"/>
    <w:rPr>
      <w:b/>
      <w:smallCaps/>
    </w:rPr>
  </w:style>
  <w:style w:type="paragraph" w:customStyle="1" w:styleId="TableListNumber">
    <w:name w:val="Table List Number"/>
    <w:basedOn w:val="ListNumber"/>
    <w:rsid w:val="007C5593"/>
    <w:pPr>
      <w:numPr>
        <w:numId w:val="0"/>
      </w:numPr>
    </w:pPr>
  </w:style>
  <w:style w:type="paragraph" w:styleId="TOC4">
    <w:name w:val="toc 4"/>
    <w:basedOn w:val="TOCBase"/>
    <w:next w:val="Normal"/>
    <w:semiHidden/>
    <w:rsid w:val="007C5593"/>
    <w:pPr>
      <w:tabs>
        <w:tab w:val="right" w:leader="dot" w:pos="9071"/>
      </w:tabs>
      <w:ind w:left="1701"/>
    </w:pPr>
  </w:style>
  <w:style w:type="paragraph" w:customStyle="1" w:styleId="ListAlpha">
    <w:name w:val="List Alpha"/>
    <w:basedOn w:val="List"/>
    <w:rsid w:val="007C5593"/>
    <w:pPr>
      <w:numPr>
        <w:numId w:val="8"/>
      </w:numPr>
    </w:pPr>
  </w:style>
  <w:style w:type="paragraph" w:customStyle="1" w:styleId="ListAlpha2">
    <w:name w:val="List Alpha 2"/>
    <w:basedOn w:val="List2"/>
    <w:rsid w:val="007C5593"/>
    <w:pPr>
      <w:numPr>
        <w:numId w:val="7"/>
      </w:numPr>
    </w:pPr>
  </w:style>
  <w:style w:type="paragraph" w:styleId="List3">
    <w:name w:val="List 3"/>
    <w:basedOn w:val="BodyText"/>
    <w:rsid w:val="007C5593"/>
    <w:pPr>
      <w:tabs>
        <w:tab w:val="left" w:pos="1021"/>
      </w:tabs>
      <w:spacing w:before="60" w:after="60"/>
      <w:ind w:left="1020" w:hanging="340"/>
    </w:pPr>
  </w:style>
  <w:style w:type="paragraph" w:styleId="List4">
    <w:name w:val="List 4"/>
    <w:basedOn w:val="BodyText"/>
    <w:rsid w:val="007C5593"/>
    <w:pPr>
      <w:tabs>
        <w:tab w:val="left" w:pos="1361"/>
      </w:tabs>
      <w:spacing w:before="60" w:after="60"/>
      <w:ind w:left="1361" w:hanging="340"/>
    </w:pPr>
  </w:style>
  <w:style w:type="paragraph" w:styleId="List5">
    <w:name w:val="List 5"/>
    <w:basedOn w:val="BodyText"/>
    <w:rsid w:val="007C5593"/>
    <w:pPr>
      <w:tabs>
        <w:tab w:val="left" w:pos="1701"/>
      </w:tabs>
      <w:spacing w:before="60" w:after="60"/>
      <w:ind w:left="1701" w:hanging="340"/>
    </w:pPr>
  </w:style>
  <w:style w:type="paragraph" w:styleId="ListBullet3">
    <w:name w:val="List Bullet 3"/>
    <w:basedOn w:val="List3"/>
    <w:rsid w:val="007C5593"/>
    <w:pPr>
      <w:numPr>
        <w:numId w:val="14"/>
      </w:numPr>
      <w:tabs>
        <w:tab w:val="clear" w:pos="1021"/>
      </w:tabs>
      <w:ind w:left="1037" w:hanging="357"/>
    </w:pPr>
  </w:style>
  <w:style w:type="paragraph" w:styleId="ListBullet4">
    <w:name w:val="List Bullet 4"/>
    <w:basedOn w:val="List4"/>
    <w:rsid w:val="007C5593"/>
    <w:pPr>
      <w:numPr>
        <w:numId w:val="2"/>
      </w:numPr>
    </w:pPr>
  </w:style>
  <w:style w:type="paragraph" w:styleId="ListBullet5">
    <w:name w:val="List Bullet 5"/>
    <w:basedOn w:val="List5"/>
    <w:rsid w:val="007C5593"/>
    <w:pPr>
      <w:numPr>
        <w:numId w:val="3"/>
      </w:numPr>
    </w:pPr>
  </w:style>
  <w:style w:type="paragraph" w:styleId="ListContinue2">
    <w:name w:val="List Continue 2"/>
    <w:basedOn w:val="List2"/>
    <w:rsid w:val="007C5593"/>
    <w:pPr>
      <w:ind w:firstLine="0"/>
    </w:pPr>
  </w:style>
  <w:style w:type="paragraph" w:styleId="ListContinue3">
    <w:name w:val="List Continue 3"/>
    <w:basedOn w:val="List3"/>
    <w:rsid w:val="007C5593"/>
    <w:pPr>
      <w:ind w:left="1021" w:firstLine="0"/>
    </w:pPr>
  </w:style>
  <w:style w:type="paragraph" w:styleId="ListContinue4">
    <w:name w:val="List Continue 4"/>
    <w:basedOn w:val="List4"/>
    <w:rsid w:val="007C5593"/>
    <w:pPr>
      <w:ind w:firstLine="0"/>
    </w:pPr>
  </w:style>
  <w:style w:type="paragraph" w:styleId="ListContinue5">
    <w:name w:val="List Continue 5"/>
    <w:basedOn w:val="List5"/>
    <w:rsid w:val="007C5593"/>
    <w:pPr>
      <w:ind w:firstLine="0"/>
    </w:pPr>
  </w:style>
  <w:style w:type="paragraph" w:styleId="ListNumber3">
    <w:name w:val="List Number 3"/>
    <w:basedOn w:val="List3"/>
    <w:rsid w:val="007C5593"/>
    <w:pPr>
      <w:numPr>
        <w:numId w:val="4"/>
      </w:numPr>
    </w:pPr>
  </w:style>
  <w:style w:type="paragraph" w:styleId="ListNumber4">
    <w:name w:val="List Number 4"/>
    <w:basedOn w:val="List4"/>
    <w:rsid w:val="007C5593"/>
    <w:pPr>
      <w:numPr>
        <w:numId w:val="5"/>
      </w:numPr>
    </w:pPr>
  </w:style>
  <w:style w:type="paragraph" w:styleId="ListNumber5">
    <w:name w:val="List Number 5"/>
    <w:basedOn w:val="List5"/>
    <w:rsid w:val="007C5593"/>
    <w:pPr>
      <w:numPr>
        <w:numId w:val="6"/>
      </w:numPr>
    </w:pPr>
  </w:style>
  <w:style w:type="paragraph" w:styleId="BlockText">
    <w:name w:val="Block Text"/>
    <w:basedOn w:val="Normal"/>
    <w:rsid w:val="007C5593"/>
    <w:pPr>
      <w:spacing w:after="120"/>
      <w:ind w:left="1440" w:right="1440"/>
    </w:pPr>
  </w:style>
  <w:style w:type="character" w:customStyle="1" w:styleId="Subscript">
    <w:name w:val="Subscript"/>
    <w:basedOn w:val="DefaultParagraphFont"/>
    <w:rsid w:val="007C5593"/>
    <w:rPr>
      <w:sz w:val="16"/>
      <w:vertAlign w:val="subscript"/>
    </w:rPr>
  </w:style>
  <w:style w:type="character" w:customStyle="1" w:styleId="Superscript">
    <w:name w:val="Superscript"/>
    <w:basedOn w:val="DefaultParagraphFont"/>
    <w:rsid w:val="007C5593"/>
    <w:rPr>
      <w:sz w:val="16"/>
      <w:vertAlign w:val="superscript"/>
    </w:rPr>
  </w:style>
  <w:style w:type="character" w:customStyle="1" w:styleId="Symbols">
    <w:name w:val="Symbols"/>
    <w:basedOn w:val="DefaultParagraphFont"/>
    <w:rsid w:val="007C5593"/>
    <w:rPr>
      <w:rFonts w:ascii="Symbol" w:hAnsi="Symbol"/>
    </w:rPr>
  </w:style>
  <w:style w:type="character" w:customStyle="1" w:styleId="MenuOptions">
    <w:name w:val="Menu Options"/>
    <w:basedOn w:val="DefaultParagraphFont"/>
    <w:rsid w:val="007C5593"/>
    <w:rPr>
      <w:rFonts w:ascii="Arial Narrow" w:hAnsi="Arial Narrow"/>
      <w:smallCaps/>
    </w:rPr>
  </w:style>
  <w:style w:type="character" w:customStyle="1" w:styleId="Buttons">
    <w:name w:val="Buttons"/>
    <w:basedOn w:val="DefaultParagraphFont"/>
    <w:rsid w:val="007C5593"/>
    <w:rPr>
      <w:b/>
    </w:rPr>
  </w:style>
  <w:style w:type="character" w:customStyle="1" w:styleId="Underlined">
    <w:name w:val="Underlined"/>
    <w:basedOn w:val="DefaultParagraphFont"/>
    <w:rsid w:val="007C5593"/>
    <w:rPr>
      <w:u w:val="single"/>
    </w:rPr>
  </w:style>
  <w:style w:type="paragraph" w:customStyle="1" w:styleId="TableBodyTextRight">
    <w:name w:val="Table Body Text Right"/>
    <w:basedOn w:val="TableBodyText"/>
    <w:rsid w:val="007C5593"/>
    <w:pPr>
      <w:widowControl w:val="0"/>
      <w:autoSpaceDE w:val="0"/>
      <w:autoSpaceDN w:val="0"/>
      <w:adjustRightInd w:val="0"/>
      <w:jc w:val="right"/>
    </w:pPr>
    <w:rPr>
      <w:rFonts w:cs="Arial"/>
      <w:szCs w:val="18"/>
    </w:rPr>
  </w:style>
  <w:style w:type="paragraph" w:customStyle="1" w:styleId="CopyrightText">
    <w:name w:val="Copyright Text"/>
    <w:basedOn w:val="BodyText"/>
    <w:rsid w:val="007C5593"/>
    <w:rPr>
      <w:sz w:val="18"/>
    </w:rPr>
  </w:style>
  <w:style w:type="paragraph" w:customStyle="1" w:styleId="BodySmallRight">
    <w:name w:val="Body Small Right"/>
    <w:basedOn w:val="BodyTextRight"/>
    <w:rsid w:val="007C5593"/>
    <w:rPr>
      <w:sz w:val="18"/>
      <w:szCs w:val="18"/>
    </w:rPr>
  </w:style>
  <w:style w:type="paragraph" w:customStyle="1" w:styleId="MarginEdition">
    <w:name w:val="Margin Edition"/>
    <w:basedOn w:val="MarginNote"/>
    <w:rsid w:val="007C5593"/>
    <w:pPr>
      <w:spacing w:before="0" w:after="0"/>
    </w:pPr>
    <w:rPr>
      <w:rFonts w:ascii="Times New Roman" w:hAnsi="Times New Roman"/>
      <w:color w:val="999999"/>
    </w:rPr>
  </w:style>
  <w:style w:type="paragraph" w:customStyle="1" w:styleId="Spacer">
    <w:name w:val="Spacer"/>
    <w:basedOn w:val="Normal"/>
    <w:rsid w:val="007C5593"/>
    <w:rPr>
      <w:sz w:val="2"/>
      <w:szCs w:val="2"/>
    </w:rPr>
  </w:style>
  <w:style w:type="character" w:customStyle="1" w:styleId="Small">
    <w:name w:val="Small"/>
    <w:basedOn w:val="DefaultParagraphFont"/>
    <w:rsid w:val="007C5593"/>
    <w:rPr>
      <w:sz w:val="16"/>
    </w:rPr>
  </w:style>
  <w:style w:type="paragraph" w:customStyle="1" w:styleId="WideTable">
    <w:name w:val="Wide Table"/>
    <w:basedOn w:val="Normal"/>
    <w:rsid w:val="007C5593"/>
    <w:pPr>
      <w:ind w:left="-1418"/>
    </w:pPr>
    <w:rPr>
      <w:sz w:val="2"/>
      <w:szCs w:val="2"/>
    </w:rPr>
  </w:style>
  <w:style w:type="character" w:styleId="PageNumber">
    <w:name w:val="page number"/>
    <w:basedOn w:val="DefaultParagraphFont"/>
    <w:rsid w:val="007C5593"/>
  </w:style>
  <w:style w:type="paragraph" w:styleId="Quote">
    <w:name w:val="Quote"/>
    <w:basedOn w:val="Heading1"/>
    <w:link w:val="QuoteChar"/>
    <w:qFormat/>
    <w:rsid w:val="007C5593"/>
    <w:rPr>
      <w:b w:val="0"/>
      <w:sz w:val="72"/>
      <w:szCs w:val="72"/>
      <w:lang w:val="en-NZ"/>
    </w:rPr>
  </w:style>
  <w:style w:type="character" w:customStyle="1" w:styleId="QuoteChar">
    <w:name w:val="Quote Char"/>
    <w:basedOn w:val="DefaultParagraphFont"/>
    <w:link w:val="Quote"/>
    <w:rsid w:val="007C55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593"/>
    <w:pPr>
      <w:pageBreakBefore/>
    </w:pPr>
  </w:style>
  <w:style w:type="paragraph" w:customStyle="1" w:styleId="Border">
    <w:name w:val="Border"/>
    <w:basedOn w:val="Normal"/>
    <w:qFormat/>
    <w:rsid w:val="007C55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593"/>
    <w:rPr>
      <w:b/>
      <w:bCs/>
      <w:i/>
      <w:iCs/>
      <w:color w:val="auto"/>
    </w:rPr>
  </w:style>
  <w:style w:type="paragraph" w:styleId="IntenseQuote">
    <w:name w:val="Intense Quote"/>
    <w:basedOn w:val="Normal"/>
    <w:next w:val="Normal"/>
    <w:link w:val="IntenseQuoteChar"/>
    <w:uiPriority w:val="30"/>
    <w:qFormat/>
    <w:rsid w:val="007C55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5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5593"/>
    <w:rPr>
      <w:smallCaps/>
      <w:color w:val="auto"/>
      <w:u w:val="single"/>
    </w:rPr>
  </w:style>
  <w:style w:type="character" w:styleId="IntenseReference">
    <w:name w:val="Intense Reference"/>
    <w:basedOn w:val="DefaultParagraphFont"/>
    <w:uiPriority w:val="32"/>
    <w:qFormat/>
    <w:rsid w:val="007C5593"/>
    <w:rPr>
      <w:b/>
      <w:bCs/>
      <w:smallCaps/>
      <w:color w:val="auto"/>
      <w:spacing w:val="5"/>
      <w:u w:val="single"/>
    </w:rPr>
  </w:style>
  <w:style w:type="paragraph" w:customStyle="1" w:styleId="2ColumnHeading">
    <w:name w:val="2Column Heading"/>
    <w:basedOn w:val="BodyText"/>
    <w:qFormat/>
    <w:rsid w:val="007C5593"/>
    <w:pPr>
      <w:spacing w:after="60"/>
      <w:ind w:left="-2268"/>
    </w:pPr>
    <w:rPr>
      <w:b/>
    </w:rPr>
  </w:style>
  <w:style w:type="paragraph" w:customStyle="1" w:styleId="Heading1TOC">
    <w:name w:val="Heading1 TOC"/>
    <w:basedOn w:val="Normal"/>
    <w:qFormat/>
    <w:rsid w:val="007C5593"/>
    <w:pPr>
      <w:spacing w:before="240" w:after="120"/>
    </w:pPr>
    <w:rPr>
      <w:rFonts w:ascii="Times New Roman" w:hAnsi="Times New Roman"/>
      <w:b/>
      <w:sz w:val="32"/>
    </w:rPr>
  </w:style>
  <w:style w:type="paragraph" w:customStyle="1" w:styleId="Heading2TOC">
    <w:name w:val="Heading2 TOC"/>
    <w:basedOn w:val="Normal"/>
    <w:qFormat/>
    <w:rsid w:val="007C5593"/>
    <w:pPr>
      <w:spacing w:before="240" w:after="60"/>
    </w:pPr>
    <w:rPr>
      <w:rFonts w:ascii="Times New Roman" w:hAnsi="Times New Roman"/>
      <w:b/>
      <w:sz w:val="28"/>
    </w:rPr>
  </w:style>
  <w:style w:type="character" w:customStyle="1" w:styleId="Underline">
    <w:name w:val="Underline"/>
    <w:basedOn w:val="DefaultParagraphFont"/>
    <w:qFormat/>
    <w:rsid w:val="007C5593"/>
    <w:rPr>
      <w:u w:val="single"/>
    </w:rPr>
  </w:style>
  <w:style w:type="character" w:customStyle="1" w:styleId="BoldandItalics">
    <w:name w:val="Bold and Italics"/>
    <w:qFormat/>
    <w:rsid w:val="007C5593"/>
    <w:rPr>
      <w:b/>
      <w:i/>
      <w:u w:val="none"/>
    </w:rPr>
  </w:style>
  <w:style w:type="paragraph" w:styleId="BalloonText">
    <w:name w:val="Balloon Text"/>
    <w:basedOn w:val="Normal"/>
    <w:link w:val="BalloonTextChar"/>
    <w:rsid w:val="007C5593"/>
    <w:rPr>
      <w:rFonts w:ascii="Tahoma" w:hAnsi="Tahoma" w:cs="Tahoma"/>
      <w:sz w:val="16"/>
      <w:szCs w:val="16"/>
    </w:rPr>
  </w:style>
  <w:style w:type="character" w:customStyle="1" w:styleId="BalloonTextChar">
    <w:name w:val="Balloon Text Char"/>
    <w:basedOn w:val="DefaultParagraphFont"/>
    <w:link w:val="BalloonText"/>
    <w:rsid w:val="007C55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55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55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1003</Words>
  <Characters>6199</Characters>
  <Application>Microsoft Office Word</Application>
  <DocSecurity>0</DocSecurity>
  <Lines>225</Lines>
  <Paragraphs>96</Paragraphs>
  <ScaleCrop>false</ScaleCrop>
  <Company>Author-it Software Corporation Ltd.</Company>
  <LinksUpToDate>false</LinksUpToDate>
  <CharactersWithSpaces>7125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MEM11021B Perform advanced operation of load shifting equipment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2012-05-27T01:43:00Z</dcterms:created>
  <dcterms:modified xsi:type="dcterms:W3CDTF">2012-05-27T01:43:00Z</dcterms:modified>
</cp:coreProperties>
</file>