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124" w:rsidP="00EF1124">
      <w:pPr>
        <w:pStyle w:val="Title"/>
      </w:pPr>
      <w:r>
        <w:fldChar w:fldCharType="begin"/>
      </w:r>
      <w:r>
        <w:instrText xml:space="preserve"> TITLE   \* MERGEFORMAT </w:instrText>
      </w:r>
      <w:r>
        <w:fldChar w:fldCharType="separate"/>
      </w:r>
      <w:r>
        <w:t>MEM11017B Organise and lead stocktakes</w:t>
      </w:r>
      <w:r>
        <w:fldChar w:fldCharType="end"/>
      </w:r>
    </w:p>
    <w:p w:rsidR="00EF1124" w:rsidP="00EF1124">
      <w:pPr>
        <w:pStyle w:val="Version"/>
        <w:sectPr w:rsidSect="008C0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D2E" w:rsidP="008C0D2E">
      <w:pPr>
        <w:pStyle w:val="SuperHeading"/>
      </w:pPr>
      <w:r w:rsidRPr="008C0D2E">
        <w:t>MEM11017B Organise and lead stocktakes</w:t>
      </w:r>
    </w:p>
    <w:p w:rsidR="00000000" w:rsidRPr="008C0D2E" w:rsidP="008C0D2E">
      <w:pPr>
        <w:pStyle w:val="Heading1"/>
      </w:pPr>
      <w:bookmarkStart w:id="1" w:name="O_272147"/>
      <w:bookmarkEnd w:id="1"/>
      <w:r w:rsidRPr="008C0D2E">
        <w:t>Modification History</w:t>
      </w:r>
    </w:p>
    <w:p w:rsidR="00000000" w:rsidRPr="008C0D2E" w:rsidP="008C0D2E">
      <w:pPr>
        <w:pStyle w:val="BodyText"/>
      </w:pPr>
      <w:r w:rsidRPr="008C0D2E">
        <w:t>Not Applicable</w:t>
      </w:r>
    </w:p>
    <w:p w:rsidR="00000000" w:rsidRPr="008C0D2E" w:rsidP="008C0D2E">
      <w:pPr>
        <w:pStyle w:val="AllowPageBreak"/>
      </w:pPr>
    </w:p>
    <w:p w:rsidR="00000000" w:rsidRPr="008C0D2E" w:rsidP="008C0D2E">
      <w:pPr>
        <w:pStyle w:val="Heading1"/>
      </w:pPr>
      <w:bookmarkStart w:id="2" w:name="O_211467"/>
      <w:bookmarkEnd w:id="2"/>
      <w:r w:rsidRPr="008C0D2E">
        <w:t>Unit Descriptor</w:t>
      </w:r>
    </w:p>
    <w:tbl>
      <w:tblPr>
        <w:tblW w:w="0" w:type="auto"/>
        <w:tblLayout w:type="fixed"/>
        <w:tblCellMar>
          <w:left w:w="62" w:type="dxa"/>
          <w:right w:w="62" w:type="dxa"/>
        </w:tblCellMar>
        <w:tblLook w:val="0000"/>
      </w:tblPr>
      <w:tblGrid>
        <w:gridCol w:w="2664"/>
        <w:gridCol w:w="5858"/>
      </w:tblGrid>
      <w:tr w:rsidTr="00EF112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This unit covers planning a stocktake, briefing the participants, generating stocktake reports and adjusting inv</w:t>
            </w:r>
            <w:r w:rsidRPr="008C0D2E">
              <w:t>entory documentation.</w:t>
            </w:r>
          </w:p>
        </w:tc>
      </w:tr>
    </w:tbl>
    <w:p w:rsidR="00EF1124" w:rsidP="008C0D2E">
      <w:pPr>
        <w:pStyle w:val="BodyText"/>
      </w:pPr>
    </w:p>
    <w:p w:rsidR="00EF1124" w:rsidP="008C0D2E">
      <w:pPr>
        <w:pStyle w:val="BodyText"/>
      </w:pPr>
    </w:p>
    <w:p w:rsidR="00000000" w:rsidRPr="008C0D2E" w:rsidP="008C0D2E">
      <w:pPr>
        <w:pStyle w:val="Heading1"/>
      </w:pPr>
      <w:bookmarkStart w:id="3" w:name="O_211471"/>
      <w:bookmarkEnd w:id="3"/>
      <w:r w:rsidRPr="008C0D2E">
        <w:t>Application of the Unit</w:t>
      </w:r>
    </w:p>
    <w:tbl>
      <w:tblPr>
        <w:tblW w:w="0" w:type="auto"/>
        <w:tblLayout w:type="fixed"/>
        <w:tblCellMar>
          <w:left w:w="62" w:type="dxa"/>
          <w:right w:w="62" w:type="dxa"/>
        </w:tblCellMar>
        <w:tblLook w:val="0000"/>
      </w:tblPr>
      <w:tblGrid>
        <w:gridCol w:w="2745"/>
        <w:gridCol w:w="5777"/>
      </w:tblGrid>
      <w:tr w:rsidTr="00EF11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 xml:space="preserve">This unit applies to organising and leading periodical stocktakes in accordance with enterprise stocktaking policies, practices and procedures. </w:t>
            </w:r>
            <w:r w:rsidRPr="008C0D2E">
              <w:t>It involves briefing the stocktake participants and reporting on the result.</w:t>
            </w:r>
          </w:p>
          <w:p w:rsidR="00000000" w:rsidRPr="008C0D2E" w:rsidP="008C0D2E">
            <w:pPr>
              <w:pStyle w:val="BodyText"/>
            </w:pPr>
          </w:p>
          <w:p w:rsidR="00000000" w:rsidRPr="008C0D2E" w:rsidP="008C0D2E">
            <w:pPr>
              <w:pStyle w:val="BodyText"/>
            </w:pPr>
            <w:r w:rsidRPr="008C0D2E">
              <w:rPr>
                <w:rStyle w:val="SpecialBold"/>
              </w:rPr>
              <w:t>Band</w:t>
            </w:r>
            <w:r w:rsidRPr="008C0D2E">
              <w:t>:</w:t>
            </w:r>
            <w:r w:rsidRPr="008C0D2E">
              <w:tab/>
            </w:r>
            <w:r w:rsidRPr="008C0D2E">
              <w:rPr>
                <w:rStyle w:val="SpecialBold"/>
              </w:rPr>
              <w:t>A</w:t>
            </w:r>
          </w:p>
          <w:p w:rsidR="00000000" w:rsidRPr="008C0D2E" w:rsidP="008C0D2E">
            <w:pPr>
              <w:pStyle w:val="BodyText"/>
            </w:pPr>
            <w:r w:rsidRPr="008C0D2E">
              <w:rPr>
                <w:rStyle w:val="SpecialBold"/>
              </w:rPr>
              <w:t>Unit Weight</w:t>
            </w:r>
            <w:r w:rsidRPr="008C0D2E">
              <w:t>:</w:t>
            </w:r>
            <w:r w:rsidRPr="008C0D2E">
              <w:tab/>
            </w:r>
            <w:r w:rsidRPr="008C0D2E">
              <w:rPr>
                <w:rStyle w:val="SpecialBold"/>
              </w:rPr>
              <w:t>4</w:t>
            </w:r>
          </w:p>
        </w:tc>
      </w:tr>
    </w:tbl>
    <w:p w:rsidR="00EF1124" w:rsidP="008C0D2E">
      <w:pPr>
        <w:pStyle w:val="BodyText"/>
      </w:pPr>
    </w:p>
    <w:p w:rsidR="00EF1124" w:rsidP="008C0D2E">
      <w:pPr>
        <w:pStyle w:val="BodyText"/>
      </w:pPr>
    </w:p>
    <w:p w:rsidR="00000000" w:rsidRPr="008C0D2E" w:rsidP="008C0D2E">
      <w:pPr>
        <w:pStyle w:val="Heading1"/>
      </w:pPr>
      <w:bookmarkStart w:id="4" w:name="O_280407"/>
      <w:bookmarkEnd w:id="4"/>
      <w:r w:rsidRPr="008C0D2E">
        <w:t>Licensing/Regulatory Information</w:t>
      </w:r>
    </w:p>
    <w:p w:rsidR="00000000" w:rsidRPr="008C0D2E" w:rsidP="008C0D2E">
      <w:pPr>
        <w:pStyle w:val="BodyText"/>
      </w:pPr>
      <w:r w:rsidRPr="008C0D2E">
        <w:t>Not Applicable</w:t>
      </w:r>
    </w:p>
    <w:p w:rsidR="00000000" w:rsidRPr="008C0D2E" w:rsidP="008C0D2E">
      <w:pPr>
        <w:pStyle w:val="AllowPageBreak"/>
      </w:pPr>
    </w:p>
    <w:p w:rsidR="00000000" w:rsidRPr="008C0D2E" w:rsidP="008C0D2E">
      <w:pPr>
        <w:pStyle w:val="Heading1"/>
      </w:pPr>
      <w:bookmarkStart w:id="5" w:name="O_211469"/>
      <w:bookmarkEnd w:id="5"/>
      <w:r w:rsidRPr="008C0D2E">
        <w:t>Pre-Requisites</w:t>
      </w:r>
    </w:p>
    <w:tbl>
      <w:tblPr>
        <w:tblW w:w="0" w:type="auto"/>
        <w:tblLayout w:type="fixed"/>
        <w:tblCellMar>
          <w:left w:w="62" w:type="dxa"/>
          <w:right w:w="62" w:type="dxa"/>
        </w:tblCellMar>
        <w:tblLook w:val="0000"/>
      </w:tblPr>
      <w:tblGrid>
        <w:gridCol w:w="2707"/>
        <w:gridCol w:w="2195"/>
        <w:gridCol w:w="3620"/>
      </w:tblGrid>
      <w:tr w:rsidTr="00EF1124">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p>
        </w:tc>
      </w:tr>
      <w:tr w:rsidTr="00EF1124">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MEM11007B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Administer inventory procedures</w:t>
            </w:r>
          </w:p>
        </w:tc>
      </w:tr>
      <w:tr w:rsidTr="00EF1124">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p>
        </w:tc>
      </w:tr>
    </w:tbl>
    <w:p w:rsidR="00EF1124" w:rsidP="008C0D2E">
      <w:pPr>
        <w:pStyle w:val="BodyText"/>
      </w:pPr>
    </w:p>
    <w:p w:rsidR="00EF1124" w:rsidP="008C0D2E">
      <w:pPr>
        <w:pStyle w:val="BodyText"/>
      </w:pPr>
    </w:p>
    <w:p w:rsidR="00000000" w:rsidRPr="008C0D2E" w:rsidP="008C0D2E">
      <w:pPr>
        <w:pStyle w:val="Heading1"/>
      </w:pPr>
      <w:bookmarkStart w:id="6" w:name="O_211468"/>
      <w:bookmarkEnd w:id="6"/>
      <w:r w:rsidRPr="008C0D2E">
        <w:t>Employability Skills Information</w:t>
      </w:r>
    </w:p>
    <w:tbl>
      <w:tblPr>
        <w:tblW w:w="0" w:type="auto"/>
        <w:tblLayout w:type="fixed"/>
        <w:tblCellMar>
          <w:left w:w="62" w:type="dxa"/>
          <w:right w:w="62" w:type="dxa"/>
        </w:tblCellMar>
        <w:tblLook w:val="0000"/>
      </w:tblPr>
      <w:tblGrid>
        <w:gridCol w:w="2802"/>
        <w:gridCol w:w="5720"/>
      </w:tblGrid>
      <w:tr w:rsidTr="00EF11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This unit contains employability skills.</w:t>
            </w:r>
          </w:p>
        </w:tc>
      </w:tr>
    </w:tbl>
    <w:p w:rsidR="00EF1124" w:rsidP="008C0D2E">
      <w:pPr>
        <w:pStyle w:val="BodyText"/>
      </w:pPr>
    </w:p>
    <w:p w:rsidR="00EF1124" w:rsidP="008C0D2E">
      <w:pPr>
        <w:pStyle w:val="BodyText"/>
      </w:pPr>
    </w:p>
    <w:p w:rsidR="00000000" w:rsidRPr="008C0D2E" w:rsidP="008C0D2E">
      <w:pPr>
        <w:pStyle w:val="Heading1"/>
      </w:pPr>
      <w:bookmarkStart w:id="7" w:name="O_290193"/>
      <w:bookmarkEnd w:id="7"/>
      <w:r w:rsidRPr="008C0D2E">
        <w:t>Elements and Performance Criteria Pre-Content</w:t>
      </w:r>
    </w:p>
    <w:tbl>
      <w:tblPr>
        <w:tblW w:w="0" w:type="auto"/>
        <w:tblLayout w:type="fixed"/>
        <w:tblCellMar>
          <w:left w:w="62" w:type="dxa"/>
          <w:right w:w="62" w:type="dxa"/>
        </w:tblCellMar>
        <w:tblLook w:val="0000"/>
      </w:tblPr>
      <w:tblGrid>
        <w:gridCol w:w="2586"/>
        <w:gridCol w:w="5936"/>
      </w:tblGrid>
      <w:tr w:rsidTr="00EF112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Elements desc</w:t>
            </w:r>
            <w:r w:rsidRPr="008C0D2E">
              <w:t>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Performance criteria describe the performance needed to demonstrate achievement of the element. Where bold italicised text is used, further information is detailed in the required skills and knowledge se</w:t>
            </w:r>
            <w:r w:rsidRPr="008C0D2E">
              <w:t>ction and the range statement. Assessment of performance is to be consistent with the evidence guide.</w:t>
            </w:r>
          </w:p>
        </w:tc>
      </w:tr>
    </w:tbl>
    <w:p w:rsidR="00000000" w:rsidRPr="008C0D2E" w:rsidP="008C0D2E">
      <w:pPr>
        <w:pStyle w:val="BodyText"/>
      </w:pPr>
    </w:p>
    <w:p w:rsidR="00000000" w:rsidRPr="008C0D2E" w:rsidP="008C0D2E">
      <w:pPr>
        <w:pStyle w:val="AllowPageBreak"/>
      </w:pPr>
    </w:p>
    <w:p w:rsidR="00000000" w:rsidRPr="008C0D2E" w:rsidP="008C0D2E">
      <w:pPr>
        <w:pStyle w:val="Heading1"/>
      </w:pPr>
      <w:bookmarkStart w:id="8" w:name="O_236860"/>
      <w:bookmarkEnd w:id="8"/>
      <w:r w:rsidRPr="008C0D2E">
        <w:t>Elements and Performance Criteria</w:t>
      </w:r>
    </w:p>
    <w:tbl>
      <w:tblPr>
        <w:tblW w:w="0" w:type="auto"/>
        <w:tblLayout w:type="fixed"/>
        <w:tblCellMar>
          <w:left w:w="62" w:type="dxa"/>
          <w:right w:w="62" w:type="dxa"/>
        </w:tblCellMar>
        <w:tblLook w:val="0000"/>
      </w:tblPr>
      <w:tblGrid>
        <w:gridCol w:w="2586"/>
        <w:gridCol w:w="5936"/>
      </w:tblGrid>
      <w:tr w:rsidTr="00EF112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PERFORMANCE CRITERIA</w:t>
            </w:r>
          </w:p>
        </w:tc>
      </w:tr>
      <w:tr w:rsidTr="00EF112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List"/>
              <w:rPr>
                <w:lang w:val="en-NZ"/>
              </w:rPr>
            </w:pPr>
            <w:r w:rsidRPr="008C0D2E">
              <w:t>1.</w:t>
            </w:r>
            <w:r w:rsidRPr="008C0D2E">
              <w:tab/>
              <w:t>Plan stocktake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List2"/>
            </w:pPr>
            <w:r w:rsidRPr="008C0D2E">
              <w:t>1.1.</w:t>
            </w:r>
            <w:r w:rsidRPr="008C0D2E">
              <w:tab/>
              <w:t>Inventory lists are prepared and distributed.</w:t>
            </w:r>
          </w:p>
          <w:p w:rsidR="00000000" w:rsidP="008C0D2E">
            <w:pPr>
              <w:pStyle w:val="List2"/>
              <w:rPr>
                <w:lang w:val="en-NZ"/>
              </w:rPr>
            </w:pPr>
            <w:r w:rsidRPr="008C0D2E">
              <w:t>1.2.</w:t>
            </w:r>
            <w:r w:rsidRPr="008C0D2E">
              <w:tab/>
              <w:t>Warehouse and/or production areas are allocated to each individual or team assisting in stocktake.</w:t>
            </w:r>
          </w:p>
        </w:tc>
      </w:tr>
      <w:tr w:rsidTr="00EF112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List"/>
              <w:rPr>
                <w:lang w:val="en-NZ"/>
              </w:rPr>
            </w:pPr>
            <w:r w:rsidRPr="008C0D2E">
              <w:t>2.</w:t>
            </w:r>
            <w:r w:rsidRPr="008C0D2E">
              <w:tab/>
              <w:t>Brief participants in stocktake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List2"/>
              <w:rPr>
                <w:lang w:val="en-NZ"/>
              </w:rPr>
            </w:pPr>
            <w:r w:rsidRPr="008C0D2E">
              <w:t>2.1.</w:t>
            </w:r>
            <w:r w:rsidRPr="008C0D2E">
              <w:tab/>
              <w:t>Clear directions an</w:t>
            </w:r>
            <w:r w:rsidRPr="008C0D2E">
              <w:t>d appropriate documentation and equipment are provided to each individual or team participating in stocktake.</w:t>
            </w:r>
          </w:p>
        </w:tc>
      </w:tr>
      <w:tr w:rsidTr="00EF112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List"/>
              <w:rPr>
                <w:lang w:val="en-NZ"/>
              </w:rPr>
            </w:pPr>
            <w:r w:rsidRPr="008C0D2E">
              <w:t>3.</w:t>
            </w:r>
            <w:r w:rsidRPr="008C0D2E">
              <w:tab/>
              <w:t>Generate stocktake reports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List2"/>
            </w:pPr>
            <w:r w:rsidRPr="008C0D2E">
              <w:t>3.1.</w:t>
            </w:r>
            <w:r w:rsidRPr="008C0D2E">
              <w:tab/>
              <w:t>Written or computer reports are collected from individuals or teams on stock counts.</w:t>
            </w:r>
          </w:p>
          <w:p w:rsidR="00000000" w:rsidRPr="008C0D2E" w:rsidP="008C0D2E">
            <w:pPr>
              <w:pStyle w:val="List2"/>
            </w:pPr>
            <w:r w:rsidRPr="008C0D2E">
              <w:t>3.2.</w:t>
            </w:r>
            <w:r w:rsidRPr="008C0D2E">
              <w:tab/>
              <w:t>Inventory data is co</w:t>
            </w:r>
            <w:r w:rsidRPr="008C0D2E">
              <w:t>nfirmed to match stock levels.</w:t>
            </w:r>
          </w:p>
          <w:p w:rsidR="00000000" w:rsidP="008C0D2E">
            <w:pPr>
              <w:pStyle w:val="List2"/>
              <w:rPr>
                <w:lang w:val="en-NZ"/>
              </w:rPr>
            </w:pPr>
            <w:r w:rsidRPr="008C0D2E">
              <w:t>3.3.</w:t>
            </w:r>
            <w:r w:rsidRPr="008C0D2E">
              <w:tab/>
              <w:t>Stock discrepancy report is prepared and distributed according to standard operating procedure.</w:t>
            </w:r>
          </w:p>
        </w:tc>
      </w:tr>
      <w:tr w:rsidTr="00EF112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List"/>
              <w:rPr>
                <w:lang w:val="en-NZ"/>
              </w:rPr>
            </w:pPr>
            <w:r w:rsidRPr="008C0D2E">
              <w:t>4.</w:t>
            </w:r>
            <w:r w:rsidRPr="008C0D2E">
              <w:tab/>
              <w:t>Adjust inventory documentation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List2"/>
            </w:pPr>
            <w:r w:rsidRPr="008C0D2E">
              <w:t>4.1.</w:t>
            </w:r>
            <w:r w:rsidRPr="008C0D2E">
              <w:tab/>
              <w:t>Inventory documentation is reconciled to match physical stock in accordance with reg</w:t>
            </w:r>
            <w:r w:rsidRPr="008C0D2E">
              <w:t>ulatory and operating procedures.</w:t>
            </w:r>
          </w:p>
          <w:p w:rsidR="00000000" w:rsidRPr="008C0D2E" w:rsidP="008C0D2E">
            <w:pPr>
              <w:pStyle w:val="List2"/>
            </w:pPr>
            <w:r w:rsidRPr="008C0D2E">
              <w:t>4.2.</w:t>
            </w:r>
            <w:r w:rsidRPr="008C0D2E">
              <w:tab/>
              <w:t>Stocktake information is reconciled with audit requirements.</w:t>
            </w:r>
          </w:p>
        </w:tc>
      </w:tr>
    </w:tbl>
    <w:p w:rsidR="00EF1124" w:rsidP="008C0D2E">
      <w:pPr>
        <w:pStyle w:val="BodyText"/>
      </w:pPr>
    </w:p>
    <w:p w:rsidR="00EF1124" w:rsidP="008C0D2E">
      <w:pPr>
        <w:pStyle w:val="BodyText"/>
      </w:pPr>
    </w:p>
    <w:p w:rsidR="00000000" w:rsidRPr="008C0D2E" w:rsidP="008C0D2E">
      <w:pPr>
        <w:pStyle w:val="Heading1"/>
      </w:pPr>
      <w:bookmarkStart w:id="9" w:name="O_260810"/>
      <w:bookmarkEnd w:id="9"/>
      <w:r w:rsidRPr="008C0D2E">
        <w:t>Required Skills and Knowledge</w:t>
      </w:r>
    </w:p>
    <w:tbl>
      <w:tblPr>
        <w:tblW w:w="0" w:type="auto"/>
        <w:tblLayout w:type="fixed"/>
        <w:tblCellMar>
          <w:left w:w="62" w:type="dxa"/>
          <w:right w:w="62" w:type="dxa"/>
        </w:tblCellMar>
        <w:tblLook w:val="0000"/>
      </w:tblPr>
      <w:tblGrid>
        <w:gridCol w:w="8522"/>
      </w:tblGrid>
      <w:tr w:rsidTr="00EF11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REQUIRED SKILLS AND KNOWLEDGE</w:t>
            </w:r>
          </w:p>
        </w:tc>
      </w:tr>
      <w:tr w:rsidTr="00EF11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This section describes the skills and knowledge required for this unit.</w:t>
            </w:r>
          </w:p>
        </w:tc>
      </w:tr>
      <w:tr w:rsidTr="00EF11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Required skills</w:t>
            </w:r>
          </w:p>
        </w:tc>
      </w:tr>
      <w:tr w:rsidTr="00EF11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Look for evidence that confirms skills in:</w:t>
            </w:r>
          </w:p>
          <w:p w:rsidR="00000000" w:rsidRPr="008C0D2E" w:rsidP="008C0D2E">
            <w:pPr>
              <w:pStyle w:val="ListBullet"/>
            </w:pPr>
            <w:r w:rsidRPr="008C0D2E">
              <w:t>preparing inventory lists and instructions on procedures to be followed</w:t>
            </w:r>
          </w:p>
          <w:p w:rsidR="00000000" w:rsidRPr="008C0D2E" w:rsidP="008C0D2E">
            <w:pPr>
              <w:pStyle w:val="ListBullet"/>
            </w:pPr>
            <w:r w:rsidRPr="008C0D2E">
              <w:t>entering inventory information onto manual and electronic proformas and standard workplace forms</w:t>
            </w:r>
          </w:p>
          <w:p w:rsidR="00000000" w:rsidRPr="008C0D2E" w:rsidP="008C0D2E">
            <w:pPr>
              <w:pStyle w:val="ListBullet"/>
            </w:pPr>
            <w:r w:rsidRPr="008C0D2E">
              <w:t>analysing and reporting results of stocktakes by manual and electronic means</w:t>
            </w:r>
          </w:p>
          <w:p w:rsidR="00000000" w:rsidRPr="008C0D2E" w:rsidP="008C0D2E">
            <w:pPr>
              <w:pStyle w:val="ListBullet"/>
            </w:pPr>
            <w:r w:rsidRPr="008C0D2E">
              <w:t>performing calculations related to reconciling stocktake records</w:t>
            </w:r>
          </w:p>
          <w:p w:rsidR="00000000" w:rsidP="008C0D2E">
            <w:pPr>
              <w:pStyle w:val="ListBullet"/>
              <w:rPr>
                <w:lang w:val="en-NZ"/>
              </w:rPr>
            </w:pPr>
            <w:r w:rsidRPr="008C0D2E">
              <w:t>using communicati</w:t>
            </w:r>
            <w:r w:rsidRPr="008C0D2E">
              <w:t>on skills to effectively instruct/direct stocktake participants</w:t>
            </w:r>
          </w:p>
        </w:tc>
      </w:tr>
      <w:tr w:rsidTr="00EF11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Required knowledge</w:t>
            </w:r>
          </w:p>
        </w:tc>
      </w:tr>
      <w:tr w:rsidTr="00EF11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Look for evidence that confirms knowledge of:</w:t>
            </w:r>
          </w:p>
          <w:p w:rsidR="00000000" w:rsidRPr="008C0D2E" w:rsidP="008C0D2E">
            <w:pPr>
              <w:pStyle w:val="ListBullet"/>
            </w:pPr>
            <w:r w:rsidRPr="008C0D2E">
              <w:t>relevant inventory systems and procedures</w:t>
            </w:r>
          </w:p>
          <w:p w:rsidR="00000000" w:rsidRPr="008C0D2E" w:rsidP="008C0D2E">
            <w:pPr>
              <w:pStyle w:val="ListBullet"/>
            </w:pPr>
            <w:r w:rsidRPr="008C0D2E">
              <w:t>recording systems and procedures</w:t>
            </w:r>
          </w:p>
          <w:p w:rsidR="00000000" w:rsidRPr="008C0D2E" w:rsidP="008C0D2E">
            <w:pPr>
              <w:pStyle w:val="ListBullet"/>
            </w:pPr>
            <w:r w:rsidRPr="008C0D2E">
              <w:t>analysis and reporting methods/procedures</w:t>
            </w:r>
          </w:p>
          <w:p w:rsidR="00000000" w:rsidRPr="008C0D2E" w:rsidP="008C0D2E">
            <w:pPr>
              <w:pStyle w:val="ListBullet"/>
            </w:pPr>
            <w:r w:rsidRPr="008C0D2E">
              <w:t>audit processes</w:t>
            </w:r>
          </w:p>
          <w:p w:rsidR="00000000" w:rsidRPr="008C0D2E" w:rsidP="008C0D2E">
            <w:pPr>
              <w:pStyle w:val="ListBullet"/>
            </w:pPr>
            <w:r w:rsidRPr="008C0D2E">
              <w:t>safe work practices and procedures</w:t>
            </w:r>
          </w:p>
          <w:p w:rsidR="00000000" w:rsidRPr="008C0D2E" w:rsidP="008C0D2E">
            <w:pPr>
              <w:pStyle w:val="ListBullet"/>
            </w:pPr>
            <w:r w:rsidRPr="008C0D2E">
              <w:t>hazards and control measures associated with organising and leading stocktakes</w:t>
            </w:r>
          </w:p>
        </w:tc>
      </w:tr>
    </w:tbl>
    <w:p w:rsidR="00EF1124" w:rsidP="008C0D2E">
      <w:pPr>
        <w:pStyle w:val="BodyText"/>
      </w:pPr>
    </w:p>
    <w:p w:rsidR="00EF1124" w:rsidP="008C0D2E">
      <w:pPr>
        <w:pStyle w:val="BodyText"/>
      </w:pPr>
    </w:p>
    <w:p w:rsidR="00000000" w:rsidRPr="008C0D2E" w:rsidP="008C0D2E">
      <w:pPr>
        <w:pStyle w:val="AllowPageBreak"/>
      </w:pPr>
    </w:p>
    <w:p w:rsidR="00000000" w:rsidRPr="008C0D2E" w:rsidP="008C0D2E">
      <w:pPr>
        <w:pStyle w:val="Heading1"/>
      </w:pPr>
      <w:bookmarkStart w:id="10" w:name="O_244844"/>
      <w:bookmarkEnd w:id="10"/>
      <w:r w:rsidRPr="008C0D2E">
        <w:t>Evidence Guide</w:t>
      </w:r>
    </w:p>
    <w:tbl>
      <w:tblPr>
        <w:tblW w:w="9570" w:type="dxa"/>
        <w:tblLayout w:type="fixed"/>
        <w:tblCellMar>
          <w:left w:w="62" w:type="dxa"/>
          <w:right w:w="62" w:type="dxa"/>
        </w:tblCellMar>
        <w:tblLook w:val="0000"/>
      </w:tblPr>
      <w:tblGrid>
        <w:gridCol w:w="3908"/>
        <w:gridCol w:w="5662"/>
      </w:tblGrid>
      <w:tr w:rsidTr="00EF11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EVIDENCE GUIDE</w:t>
            </w:r>
          </w:p>
        </w:tc>
      </w:tr>
      <w:tr w:rsidTr="00EF11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The evidence guide provides advice on assessment and must be read in conjunction with the performance criteria, required skills and knowledge, range statement and the Assessment Guidelines for the Training Package.</w:t>
            </w:r>
          </w:p>
        </w:tc>
      </w:tr>
      <w:tr w:rsidTr="00EF11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A person who demonstrates competency in this unit must be able to organise and lead a stocktake. Competency in this unit cannot be claimed until all prerequisites have been satisfied.</w:t>
            </w:r>
          </w:p>
        </w:tc>
      </w:tr>
      <w:tr w:rsidTr="00EF11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Critical aspects for assessment and evidence required to demonstrate co</w:t>
            </w:r>
            <w:r w:rsidRPr="008C0D2E">
              <w:rPr>
                <w:rStyle w:val="SpecialBold"/>
              </w:rPr>
              <w:t>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Assessors must be satisfied that the candidate can competently and consistently perform all elements of the unit as specified by the criteria, including required knowledge, and be capable of applying the competency in new and differen</w:t>
            </w:r>
            <w:r w:rsidRPr="008C0D2E">
              <w:t>t situations and contexts.</w:t>
            </w:r>
          </w:p>
        </w:tc>
      </w:tr>
      <w:tr w:rsidTr="00EF11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This unit may be assessed on the job, off the job or a combination of both on and off the job. Where assessment occurs off the job, that is the candidate is not in productive work</w:t>
            </w:r>
            <w:r w:rsidRPr="008C0D2E">
              <w:t>, then an appropriate simulation must be used where the range of conditions reflects realistic workplace situations. The competencies covered by this unit would be demonstrated by an individual working alone or as part of a team. The assessment environment</w:t>
            </w:r>
            <w:r w:rsidRPr="008C0D2E">
              <w:t xml:space="preserve"> should not disadvantage the candidate. </w:t>
            </w:r>
          </w:p>
          <w:p w:rsidR="00000000" w:rsidP="008C0D2E">
            <w:pPr>
              <w:pStyle w:val="BodyText"/>
              <w:rPr>
                <w:lang w:val="en-NZ"/>
              </w:rPr>
            </w:pPr>
            <w:r w:rsidRPr="008C0D2E">
              <w:t xml:space="preserve">This unit could be assessed in conjunction with any other units addressing the safety, quality, communication, materials handling, recording and reporting associated with organising and leading a stocktake or other </w:t>
            </w:r>
            <w:r w:rsidRPr="008C0D2E">
              <w:t>units requiring the exercise of the skills and knowledge covered by this unit.</w:t>
            </w:r>
          </w:p>
        </w:tc>
      </w:tr>
      <w:tr w:rsidTr="00EF11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 xml:space="preserve">Assessors should gather a range of evidence that is valid, sufficient, current and authentic. Evidence can be gathered through a variety of ways including </w:t>
            </w:r>
            <w:r w:rsidRPr="008C0D2E">
              <w:t>direct observation, supervisor's reports, project work, samples and questioning. Questioning techniques should not require language, literacy and numeracy skills beyond those required in this unit of competency. The candidate must have access to all tools,</w:t>
            </w:r>
            <w:r w:rsidRPr="008C0D2E">
              <w:t xml:space="preserve"> equipment, materials and documentation required. The candidate must be permitted to refer to any relevant workplace procedures, product and manufacturing specifications, codes, standards, manuals and reference materials.</w:t>
            </w:r>
          </w:p>
        </w:tc>
      </w:tr>
      <w:tr w:rsidTr="00EF11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Guidance information for assessme</w:t>
            </w:r>
            <w:r w:rsidRPr="008C0D2E">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p>
        </w:tc>
      </w:tr>
    </w:tbl>
    <w:p w:rsidR="00EF1124" w:rsidP="008C0D2E">
      <w:pPr>
        <w:pStyle w:val="BodyText"/>
      </w:pPr>
    </w:p>
    <w:p w:rsidR="00EF1124" w:rsidP="008C0D2E">
      <w:pPr>
        <w:pStyle w:val="BodyText"/>
      </w:pPr>
    </w:p>
    <w:p w:rsidR="00000000" w:rsidRPr="008C0D2E" w:rsidP="008C0D2E">
      <w:pPr>
        <w:pStyle w:val="Heading1"/>
      </w:pPr>
      <w:bookmarkStart w:id="11" w:name="O_252827"/>
      <w:bookmarkEnd w:id="11"/>
      <w:r w:rsidRPr="008C0D2E">
        <w:t>Range Statement</w:t>
      </w:r>
    </w:p>
    <w:tbl>
      <w:tblPr>
        <w:tblW w:w="0" w:type="auto"/>
        <w:tblLayout w:type="fixed"/>
        <w:tblCellMar>
          <w:left w:w="62" w:type="dxa"/>
          <w:right w:w="62" w:type="dxa"/>
        </w:tblCellMar>
        <w:tblLook w:val="0000"/>
      </w:tblPr>
      <w:tblGrid>
        <w:gridCol w:w="3547"/>
        <w:gridCol w:w="4975"/>
      </w:tblGrid>
      <w:tr w:rsidTr="00EF11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RANGE STATEMENT</w:t>
            </w:r>
          </w:p>
        </w:tc>
      </w:tr>
      <w:tr w:rsidTr="00EF11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 xml:space="preserve">The range statement relates to the unit of competency as a whole. It allows for different work environments and situations that may affect </w:t>
            </w:r>
            <w:r w:rsidRPr="008C0D2E">
              <w:t>performance. Bold italicised wording, if used in the performance criteria, is detailed below. Essential operating conditions that may be present with training and assessment (depending on the work situation, needs of the candidate, accessibility of the ite</w:t>
            </w:r>
            <w:r w:rsidRPr="008C0D2E">
              <w:t>m, and local industry and regional contexts) may also be included.</w:t>
            </w:r>
          </w:p>
        </w:tc>
      </w:tr>
      <w:tr w:rsidTr="00EF11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Directions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Oral or written instructions, methodology, how to report discrepancies or damaged stock, timelines</w:t>
            </w:r>
          </w:p>
        </w:tc>
      </w:tr>
      <w:tr w:rsidTr="00EF11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Equipment</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t>Calculators, scanners and portable computers</w:t>
            </w:r>
          </w:p>
        </w:tc>
      </w:tr>
      <w:tr w:rsidTr="00EF1124">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Inventory documentation</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Reports on actual stock, damaged stock, out of date stock and discrepancies</w:t>
            </w:r>
          </w:p>
        </w:tc>
      </w:tr>
    </w:tbl>
    <w:p w:rsidR="00EF1124" w:rsidP="008C0D2E">
      <w:pPr>
        <w:pStyle w:val="BodyText"/>
      </w:pPr>
    </w:p>
    <w:p w:rsidR="00EF1124" w:rsidP="008C0D2E">
      <w:pPr>
        <w:pStyle w:val="BodyText"/>
      </w:pPr>
    </w:p>
    <w:p w:rsidR="00000000" w:rsidRPr="008C0D2E" w:rsidP="008C0D2E">
      <w:pPr>
        <w:pStyle w:val="Heading1"/>
      </w:pPr>
      <w:bookmarkStart w:id="12" w:name="O_211473"/>
      <w:bookmarkEnd w:id="12"/>
      <w:r w:rsidRPr="008C0D2E">
        <w:t>Unit Sector(s)</w:t>
      </w:r>
    </w:p>
    <w:tbl>
      <w:tblPr>
        <w:tblW w:w="0" w:type="auto"/>
        <w:tblLayout w:type="fixed"/>
        <w:tblCellMar>
          <w:left w:w="62" w:type="dxa"/>
          <w:right w:w="62" w:type="dxa"/>
        </w:tblCellMar>
        <w:tblLook w:val="0000"/>
      </w:tblPr>
      <w:tblGrid>
        <w:gridCol w:w="2654"/>
        <w:gridCol w:w="5868"/>
      </w:tblGrid>
      <w:tr w:rsidTr="00EF11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p>
        </w:tc>
      </w:tr>
    </w:tbl>
    <w:p w:rsidR="00EF1124" w:rsidP="008C0D2E">
      <w:pPr>
        <w:pStyle w:val="BodyText"/>
      </w:pPr>
    </w:p>
    <w:p w:rsidR="00EF1124" w:rsidP="008C0D2E">
      <w:pPr>
        <w:pStyle w:val="BodyText"/>
      </w:pPr>
    </w:p>
    <w:p w:rsidR="00000000" w:rsidRPr="008C0D2E" w:rsidP="008C0D2E">
      <w:pPr>
        <w:pStyle w:val="Heading1"/>
      </w:pPr>
      <w:bookmarkStart w:id="13" w:name="O_211470"/>
      <w:bookmarkEnd w:id="13"/>
      <w:r w:rsidRPr="008C0D2E">
        <w:t>Co-requisite units</w:t>
      </w:r>
    </w:p>
    <w:tbl>
      <w:tblPr>
        <w:tblW w:w="0" w:type="auto"/>
        <w:tblLayout w:type="fixed"/>
        <w:tblCellMar>
          <w:left w:w="62" w:type="dxa"/>
          <w:right w:w="62" w:type="dxa"/>
        </w:tblCellMar>
        <w:tblLook w:val="0000"/>
      </w:tblPr>
      <w:tblGrid>
        <w:gridCol w:w="2641"/>
        <w:gridCol w:w="1322"/>
        <w:gridCol w:w="4559"/>
      </w:tblGrid>
      <w:tr w:rsidTr="00EF11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p>
        </w:tc>
      </w:tr>
      <w:tr w:rsidTr="00EF11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p>
        </w:tc>
      </w:tr>
      <w:tr w:rsidTr="00EF11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p>
        </w:tc>
      </w:tr>
    </w:tbl>
    <w:p w:rsidR="00EF1124" w:rsidP="008C0D2E">
      <w:pPr>
        <w:pStyle w:val="BodyText"/>
      </w:pPr>
    </w:p>
    <w:p w:rsidR="00EF1124" w:rsidP="008C0D2E">
      <w:pPr>
        <w:pStyle w:val="BodyText"/>
      </w:pPr>
    </w:p>
    <w:p w:rsidR="00000000" w:rsidRPr="008C0D2E" w:rsidP="008C0D2E">
      <w:pPr>
        <w:pStyle w:val="Heading1"/>
      </w:pPr>
      <w:bookmarkStart w:id="14" w:name="O_211472"/>
      <w:bookmarkEnd w:id="14"/>
      <w:r w:rsidRPr="008C0D2E">
        <w:t>Competency field</w:t>
      </w:r>
    </w:p>
    <w:tbl>
      <w:tblPr>
        <w:tblW w:w="0" w:type="auto"/>
        <w:tblLayout w:type="fixed"/>
        <w:tblCellMar>
          <w:left w:w="62" w:type="dxa"/>
          <w:right w:w="62" w:type="dxa"/>
        </w:tblCellMar>
        <w:tblLook w:val="0000"/>
      </w:tblPr>
      <w:tblGrid>
        <w:gridCol w:w="2777"/>
        <w:gridCol w:w="5745"/>
      </w:tblGrid>
      <w:tr w:rsidTr="00EF112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2E">
            <w:pPr>
              <w:pStyle w:val="BodyText"/>
              <w:rPr>
                <w:lang w:val="en-NZ"/>
              </w:rPr>
            </w:pPr>
            <w:r w:rsidRPr="008C0D2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2E" w:rsidP="008C0D2E">
            <w:pPr>
              <w:pStyle w:val="BodyText"/>
            </w:pPr>
            <w:r w:rsidRPr="008C0D2E">
              <w:t>Materials handling</w:t>
            </w:r>
          </w:p>
        </w:tc>
      </w:tr>
    </w:tbl>
    <w:p w:rsidR="00EF1124" w:rsidP="008C0D2E">
      <w:pPr>
        <w:pStyle w:val="BodyText"/>
      </w:pPr>
    </w:p>
    <w:p w:rsidR="00EF1124" w:rsidP="008C0D2E">
      <w:pPr>
        <w:pStyle w:val="BodyText"/>
      </w:pPr>
    </w:p>
    <w:p w:rsidR="00000000" w:rsidRPr="008C0D2E" w:rsidP="008C0D2E"/>
    <w:sectPr w:rsidSect="008C0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24" w:rsidP="00EF1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24" w:rsidP="008C0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1124" w:rsidP="008C0D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124" w:rsidP="008C0D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24" w:rsidP="00EF11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24" w:rsidP="008C0D2E">
    <w:pPr>
      <w:pStyle w:val="Header"/>
      <w:framePr w:wrap="around"/>
    </w:pPr>
    <w:r>
      <w:fldChar w:fldCharType="begin"/>
    </w:r>
    <w:r>
      <w:instrText xml:space="preserve"> TITLE   \* MERGEFORMAT </w:instrText>
    </w:r>
    <w:r>
      <w:fldChar w:fldCharType="separate"/>
    </w:r>
    <w:r>
      <w:t>MEM11017B Organise and lead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124" w:rsidP="008C0D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A4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367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D2E"/>
    <w:pPr>
      <w:spacing w:before="360" w:after="60"/>
      <w:outlineLvl w:val="0"/>
    </w:pPr>
    <w:rPr>
      <w:sz w:val="32"/>
    </w:rPr>
  </w:style>
  <w:style w:type="paragraph" w:styleId="Heading2">
    <w:name w:val="heading 2"/>
    <w:basedOn w:val="HeadingBase"/>
    <w:next w:val="BodyText"/>
    <w:link w:val="Heading2Char"/>
    <w:qFormat/>
    <w:rsid w:val="008C0D2E"/>
    <w:pPr>
      <w:keepLines/>
      <w:spacing w:before="240" w:after="120"/>
      <w:outlineLvl w:val="1"/>
    </w:pPr>
    <w:rPr>
      <w:sz w:val="28"/>
      <w:szCs w:val="40"/>
    </w:rPr>
  </w:style>
  <w:style w:type="paragraph" w:styleId="Heading3">
    <w:name w:val="heading 3"/>
    <w:basedOn w:val="HeadingBase"/>
    <w:next w:val="BodyText"/>
    <w:link w:val="Heading3Char"/>
    <w:qFormat/>
    <w:rsid w:val="008C0D2E"/>
    <w:pPr>
      <w:spacing w:before="180" w:after="120"/>
      <w:outlineLvl w:val="2"/>
    </w:pPr>
    <w:rPr>
      <w:spacing w:val="-10"/>
      <w:kern w:val="32"/>
    </w:rPr>
  </w:style>
  <w:style w:type="paragraph" w:styleId="Heading4">
    <w:name w:val="heading 4"/>
    <w:basedOn w:val="HeadingBase"/>
    <w:next w:val="BodyText"/>
    <w:link w:val="Heading4Char"/>
    <w:qFormat/>
    <w:rsid w:val="008C0D2E"/>
    <w:pPr>
      <w:spacing w:before="160" w:after="120"/>
      <w:outlineLvl w:val="3"/>
    </w:pPr>
    <w:rPr>
      <w:sz w:val="22"/>
    </w:rPr>
  </w:style>
  <w:style w:type="paragraph" w:styleId="Heading5">
    <w:name w:val="heading 5"/>
    <w:basedOn w:val="HeadingBase"/>
    <w:next w:val="Normal"/>
    <w:link w:val="Heading5Char"/>
    <w:qFormat/>
    <w:rsid w:val="008C0D2E"/>
    <w:pPr>
      <w:spacing w:before="80"/>
      <w:outlineLvl w:val="4"/>
    </w:pPr>
    <w:rPr>
      <w:color w:val="918585"/>
      <w:sz w:val="20"/>
    </w:rPr>
  </w:style>
  <w:style w:type="paragraph" w:styleId="Heading6">
    <w:name w:val="heading 6"/>
    <w:basedOn w:val="HeadingBase"/>
    <w:next w:val="Normal"/>
    <w:link w:val="Heading6Char"/>
    <w:qFormat/>
    <w:rsid w:val="008C0D2E"/>
    <w:pPr>
      <w:spacing w:before="60"/>
      <w:outlineLvl w:val="5"/>
    </w:pPr>
    <w:rPr>
      <w:color w:val="918585"/>
      <w:sz w:val="20"/>
    </w:rPr>
  </w:style>
  <w:style w:type="paragraph" w:styleId="Heading7">
    <w:name w:val="heading 7"/>
    <w:basedOn w:val="Normal"/>
    <w:next w:val="Normal"/>
    <w:link w:val="Heading7Char"/>
    <w:qFormat/>
    <w:rsid w:val="008C0D2E"/>
    <w:pPr>
      <w:ind w:left="720"/>
      <w:outlineLvl w:val="6"/>
    </w:pPr>
    <w:rPr>
      <w:i/>
    </w:rPr>
  </w:style>
  <w:style w:type="paragraph" w:styleId="Heading8">
    <w:name w:val="heading 8"/>
    <w:basedOn w:val="Normal"/>
    <w:next w:val="Normal"/>
    <w:link w:val="Heading8Char"/>
    <w:qFormat/>
    <w:rsid w:val="008C0D2E"/>
    <w:pPr>
      <w:ind w:left="720"/>
      <w:outlineLvl w:val="7"/>
    </w:pPr>
    <w:rPr>
      <w:i/>
    </w:rPr>
  </w:style>
  <w:style w:type="paragraph" w:styleId="Heading9">
    <w:name w:val="heading 9"/>
    <w:basedOn w:val="Normal"/>
    <w:next w:val="Normal"/>
    <w:link w:val="Heading9Char"/>
    <w:qFormat/>
    <w:rsid w:val="008C0D2E"/>
    <w:pPr>
      <w:ind w:left="720"/>
      <w:outlineLvl w:val="8"/>
    </w:pPr>
    <w:rPr>
      <w:i/>
    </w:rPr>
  </w:style>
  <w:style w:type="character" w:default="1" w:styleId="DefaultParagraphFont">
    <w:name w:val="Default Paragraph Font"/>
    <w:uiPriority w:val="1"/>
    <w:unhideWhenUsed/>
    <w:rsid w:val="008C0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D2E"/>
  </w:style>
  <w:style w:type="character" w:customStyle="1" w:styleId="Heading1Char">
    <w:name w:val="Heading 1 Char"/>
    <w:link w:val="Heading1"/>
    <w:rsid w:val="008C0D2E"/>
    <w:rPr>
      <w:rFonts w:ascii="Times New Roman" w:eastAsia="Times New Roman" w:hAnsi="Times New Roman" w:cs="Times New Roman"/>
      <w:b/>
      <w:sz w:val="32"/>
      <w:szCs w:val="20"/>
      <w:lang w:eastAsia="en-US"/>
    </w:rPr>
  </w:style>
  <w:style w:type="paragraph" w:styleId="BodyText">
    <w:name w:val="Body Text"/>
    <w:basedOn w:val="Normal"/>
    <w:link w:val="BodyTextChar"/>
    <w:rsid w:val="008C0D2E"/>
    <w:pPr>
      <w:spacing w:before="120" w:after="120"/>
      <w:contextualSpacing/>
    </w:pPr>
    <w:rPr>
      <w:rFonts w:ascii="Times New Roman" w:hAnsi="Times New Roman"/>
      <w:sz w:val="24"/>
      <w:szCs w:val="22"/>
    </w:rPr>
  </w:style>
  <w:style w:type="character" w:customStyle="1" w:styleId="BodyTextChar">
    <w:name w:val="Body Text Char"/>
    <w:link w:val="BodyText"/>
    <w:rsid w:val="008C0D2E"/>
    <w:rPr>
      <w:rFonts w:ascii="Times New Roman" w:eastAsia="Times New Roman" w:hAnsi="Times New Roman" w:cs="Times New Roman"/>
      <w:sz w:val="24"/>
      <w:lang w:val="en-US" w:eastAsia="en-US"/>
    </w:rPr>
  </w:style>
  <w:style w:type="paragraph" w:styleId="Footer">
    <w:name w:val="footer"/>
    <w:basedOn w:val="Normal"/>
    <w:link w:val="FooterChar"/>
    <w:rsid w:val="008C0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0D2E"/>
    <w:rPr>
      <w:rFonts w:ascii="Times New Roman" w:eastAsia="Times New Roman" w:hAnsi="Times New Roman" w:cs="Times New Roman"/>
      <w:sz w:val="16"/>
      <w:lang w:val="en-US" w:eastAsia="en-US"/>
    </w:rPr>
  </w:style>
  <w:style w:type="paragraph" w:styleId="List">
    <w:name w:val="List"/>
    <w:basedOn w:val="BodyText"/>
    <w:next w:val="BodyText"/>
    <w:rsid w:val="008C0D2E"/>
    <w:pPr>
      <w:tabs>
        <w:tab w:val="left" w:pos="340"/>
      </w:tabs>
      <w:spacing w:before="60" w:after="60"/>
      <w:ind w:left="340" w:hanging="340"/>
    </w:pPr>
  </w:style>
  <w:style w:type="paragraph" w:styleId="ListBullet">
    <w:name w:val="List Bullet"/>
    <w:basedOn w:val="List"/>
    <w:rsid w:val="008C0D2E"/>
    <w:pPr>
      <w:numPr>
        <w:numId w:val="12"/>
      </w:numPr>
      <w:tabs>
        <w:tab w:val="clear" w:pos="340"/>
      </w:tabs>
      <w:spacing w:before="40" w:after="40"/>
    </w:pPr>
  </w:style>
  <w:style w:type="character" w:customStyle="1" w:styleId="SpecialBold">
    <w:name w:val="Special Bold"/>
    <w:rsid w:val="008C0D2E"/>
    <w:rPr>
      <w:b/>
      <w:spacing w:val="0"/>
    </w:rPr>
  </w:style>
  <w:style w:type="paragraph" w:styleId="Header">
    <w:name w:val="header"/>
    <w:basedOn w:val="Normal"/>
    <w:link w:val="HeaderChar"/>
    <w:rsid w:val="008C0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0D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D2E"/>
    <w:pPr>
      <w:spacing w:before="240" w:after="120"/>
      <w:outlineLvl w:val="0"/>
    </w:pPr>
    <w:rPr>
      <w:rFonts w:ascii="Times New Roman" w:hAnsi="Times New Roman"/>
      <w:b/>
      <w:sz w:val="28"/>
    </w:rPr>
  </w:style>
  <w:style w:type="paragraph" w:customStyle="1" w:styleId="AllowPageBreak">
    <w:name w:val="AllowPageBreak"/>
    <w:rsid w:val="008C0D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D2E"/>
    <w:pPr>
      <w:tabs>
        <w:tab w:val="left" w:pos="680"/>
      </w:tabs>
      <w:spacing w:before="60" w:after="60"/>
      <w:ind w:left="680" w:hanging="340"/>
    </w:pPr>
  </w:style>
  <w:style w:type="character" w:customStyle="1" w:styleId="Heading2Char">
    <w:name w:val="Heading 2 Char"/>
    <w:link w:val="Heading2"/>
    <w:rsid w:val="008C0D2E"/>
    <w:rPr>
      <w:rFonts w:ascii="Times New Roman" w:eastAsia="Times New Roman" w:hAnsi="Times New Roman" w:cs="Times New Roman"/>
      <w:b/>
      <w:sz w:val="28"/>
      <w:szCs w:val="40"/>
      <w:lang w:eastAsia="en-US"/>
    </w:rPr>
  </w:style>
  <w:style w:type="character" w:customStyle="1" w:styleId="Heading3Char">
    <w:name w:val="Heading 3 Char"/>
    <w:link w:val="Heading3"/>
    <w:rsid w:val="008C0D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0D2E"/>
    <w:rPr>
      <w:rFonts w:ascii="Times New Roman" w:eastAsia="Times New Roman" w:hAnsi="Times New Roman" w:cs="Times New Roman"/>
      <w:b/>
      <w:szCs w:val="20"/>
      <w:lang w:eastAsia="en-US"/>
    </w:rPr>
  </w:style>
  <w:style w:type="character" w:customStyle="1" w:styleId="Heading5Char">
    <w:name w:val="Heading 5 Char"/>
    <w:link w:val="Heading5"/>
    <w:rsid w:val="008C0D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0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D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D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D2E"/>
    <w:rPr>
      <w:rFonts w:ascii="Courier New" w:eastAsia="Times New Roman" w:hAnsi="Courier New" w:cs="Times New Roman"/>
      <w:i/>
      <w:szCs w:val="20"/>
      <w:lang w:val="en-US" w:eastAsia="en-US"/>
    </w:rPr>
  </w:style>
  <w:style w:type="paragraph" w:customStyle="1" w:styleId="HeadingBase">
    <w:name w:val="Heading Base"/>
    <w:rsid w:val="008C0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D2E"/>
    <w:pPr>
      <w:tabs>
        <w:tab w:val="right" w:leader="dot" w:pos="9072"/>
      </w:tabs>
      <w:ind w:left="567"/>
    </w:pPr>
    <w:rPr>
      <w:szCs w:val="22"/>
    </w:rPr>
  </w:style>
  <w:style w:type="paragraph" w:customStyle="1" w:styleId="TOCBase">
    <w:name w:val="TOC Base"/>
    <w:rsid w:val="008C0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D2E"/>
    <w:pPr>
      <w:tabs>
        <w:tab w:val="right" w:leader="dot" w:pos="9072"/>
      </w:tabs>
      <w:spacing w:before="40" w:after="40"/>
      <w:ind w:left="284"/>
    </w:pPr>
    <w:rPr>
      <w:rFonts w:ascii="Times New Roman" w:hAnsi="Times New Roman"/>
    </w:rPr>
  </w:style>
  <w:style w:type="paragraph" w:styleId="TOC1">
    <w:name w:val="toc 1"/>
    <w:basedOn w:val="TOCBase"/>
    <w:next w:val="Normal"/>
    <w:rsid w:val="008C0D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D2E"/>
    <w:pPr>
      <w:spacing w:before="5040"/>
      <w:jc w:val="center"/>
    </w:pPr>
    <w:rPr>
      <w:sz w:val="48"/>
      <w:szCs w:val="72"/>
      <w:lang w:val="en-US"/>
    </w:rPr>
  </w:style>
  <w:style w:type="character" w:customStyle="1" w:styleId="TitleChar">
    <w:name w:val="Title Char"/>
    <w:link w:val="Title"/>
    <w:rsid w:val="008C0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D2E"/>
    <w:pPr>
      <w:tabs>
        <w:tab w:val="left" w:pos="3600"/>
        <w:tab w:val="left" w:pos="3958"/>
      </w:tabs>
    </w:pPr>
  </w:style>
  <w:style w:type="paragraph" w:customStyle="1" w:styleId="Note">
    <w:name w:val="Note"/>
    <w:basedOn w:val="BodyText"/>
    <w:rsid w:val="008C0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D2E"/>
    <w:pPr>
      <w:framePr w:wrap="auto" w:hAnchor="text" w:y="6049"/>
    </w:pPr>
    <w:rPr>
      <w:color w:val="000000"/>
      <w:sz w:val="40"/>
    </w:rPr>
  </w:style>
  <w:style w:type="paragraph" w:customStyle="1" w:styleId="TOCTitle">
    <w:name w:val="TOCTitle"/>
    <w:basedOn w:val="Heading1"/>
    <w:rsid w:val="008C0D2E"/>
    <w:pPr>
      <w:spacing w:after="240"/>
      <w:jc w:val="center"/>
      <w:outlineLvl w:val="9"/>
    </w:pPr>
    <w:rPr>
      <w:caps/>
    </w:rPr>
  </w:style>
  <w:style w:type="paragraph" w:customStyle="1" w:styleId="Version">
    <w:name w:val="Version"/>
    <w:rsid w:val="008C0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D2E"/>
    <w:pPr>
      <w:numPr>
        <w:numId w:val="13"/>
      </w:numPr>
      <w:tabs>
        <w:tab w:val="clear" w:pos="680"/>
      </w:tabs>
    </w:pPr>
  </w:style>
  <w:style w:type="paragraph" w:styleId="Index1">
    <w:name w:val="index 1"/>
    <w:basedOn w:val="Normal"/>
    <w:next w:val="Normal"/>
    <w:semiHidden/>
    <w:rsid w:val="008C0D2E"/>
    <w:pPr>
      <w:keepNext w:val="0"/>
      <w:tabs>
        <w:tab w:val="right" w:pos="4176"/>
      </w:tabs>
      <w:ind w:left="198" w:hanging="198"/>
    </w:pPr>
    <w:rPr>
      <w:rFonts w:ascii="Garamond" w:hAnsi="Garamond"/>
    </w:rPr>
  </w:style>
  <w:style w:type="paragraph" w:styleId="IndexHeading">
    <w:name w:val="index heading"/>
    <w:basedOn w:val="Normal"/>
    <w:next w:val="Index1"/>
    <w:semiHidden/>
    <w:rsid w:val="008C0D2E"/>
    <w:pPr>
      <w:spacing w:before="120" w:after="120"/>
    </w:pPr>
    <w:rPr>
      <w:rFonts w:ascii="Arial" w:hAnsi="Arial"/>
      <w:b/>
      <w:color w:val="918585"/>
      <w:sz w:val="24"/>
    </w:rPr>
  </w:style>
  <w:style w:type="paragraph" w:customStyle="1" w:styleId="Chapter">
    <w:name w:val="Chapter"/>
    <w:basedOn w:val="Normal"/>
    <w:rsid w:val="008C0D2E"/>
    <w:pPr>
      <w:spacing w:before="240"/>
    </w:pPr>
    <w:rPr>
      <w:rFonts w:ascii="Times New Roman" w:hAnsi="Times New Roman"/>
      <w:smallCaps/>
      <w:spacing w:val="80"/>
      <w:sz w:val="28"/>
    </w:rPr>
  </w:style>
  <w:style w:type="paragraph" w:customStyle="1" w:styleId="InChapter">
    <w:name w:val="InChapter"/>
    <w:basedOn w:val="Heading3"/>
    <w:rsid w:val="008C0D2E"/>
    <w:pPr>
      <w:spacing w:after="240"/>
      <w:outlineLvl w:val="9"/>
    </w:pPr>
    <w:rPr>
      <w:noProof/>
    </w:rPr>
  </w:style>
  <w:style w:type="paragraph" w:styleId="Index2">
    <w:name w:val="index 2"/>
    <w:basedOn w:val="Normal"/>
    <w:next w:val="Normal"/>
    <w:semiHidden/>
    <w:rsid w:val="008C0D2E"/>
    <w:pPr>
      <w:tabs>
        <w:tab w:val="right" w:pos="4176"/>
      </w:tabs>
      <w:ind w:left="568" w:hanging="284"/>
    </w:pPr>
    <w:rPr>
      <w:rFonts w:ascii="Garamond" w:hAnsi="Garamond"/>
    </w:rPr>
  </w:style>
  <w:style w:type="paragraph" w:customStyle="1" w:styleId="Byline">
    <w:name w:val="Byline"/>
    <w:rsid w:val="008C0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D2E"/>
    <w:pPr>
      <w:tabs>
        <w:tab w:val="clear" w:pos="3600"/>
        <w:tab w:val="clear" w:pos="3958"/>
      </w:tabs>
      <w:jc w:val="right"/>
    </w:pPr>
  </w:style>
  <w:style w:type="character" w:styleId="Emphasis">
    <w:name w:val="Emphasis"/>
    <w:qFormat/>
    <w:rsid w:val="008C0D2E"/>
    <w:rPr>
      <w:i/>
    </w:rPr>
  </w:style>
  <w:style w:type="paragraph" w:styleId="Caption">
    <w:name w:val="caption"/>
    <w:basedOn w:val="BodyText"/>
    <w:next w:val="Normal"/>
    <w:qFormat/>
    <w:rsid w:val="008C0D2E"/>
    <w:pPr>
      <w:framePr w:w="2268" w:hSpace="181" w:vSpace="181" w:wrap="around" w:vAnchor="text" w:hAnchor="page" w:x="1135" w:y="285" w:anchorLock="1"/>
    </w:pPr>
    <w:rPr>
      <w:i/>
    </w:rPr>
  </w:style>
  <w:style w:type="paragraph" w:customStyle="1" w:styleId="MiniTOCTitle">
    <w:name w:val="MiniTOCTitle"/>
    <w:basedOn w:val="Heading4"/>
    <w:rsid w:val="008C0D2E"/>
    <w:pPr>
      <w:spacing w:before="240"/>
      <w:outlineLvl w:val="9"/>
    </w:pPr>
    <w:rPr>
      <w:noProof/>
      <w:sz w:val="24"/>
    </w:rPr>
  </w:style>
  <w:style w:type="paragraph" w:customStyle="1" w:styleId="MiniTOCItem">
    <w:name w:val="MiniTOCItem"/>
    <w:basedOn w:val="ListBullet"/>
    <w:rsid w:val="008C0D2E"/>
    <w:pPr>
      <w:numPr>
        <w:numId w:val="0"/>
      </w:numPr>
      <w:tabs>
        <w:tab w:val="right" w:leader="dot" w:pos="6521"/>
      </w:tabs>
      <w:spacing w:before="0" w:after="0"/>
    </w:pPr>
  </w:style>
  <w:style w:type="paragraph" w:customStyle="1" w:styleId="TOFTitle">
    <w:name w:val="TOFTitle"/>
    <w:basedOn w:val="TOCTitle"/>
    <w:rsid w:val="008C0D2E"/>
  </w:style>
  <w:style w:type="paragraph" w:styleId="TableofFigures">
    <w:name w:val="table of figures"/>
    <w:basedOn w:val="Normal"/>
    <w:next w:val="Normal"/>
    <w:semiHidden/>
    <w:rsid w:val="008C0D2E"/>
    <w:pPr>
      <w:tabs>
        <w:tab w:val="right" w:leader="dot" w:pos="9072"/>
      </w:tabs>
      <w:ind w:left="970" w:hanging="403"/>
    </w:pPr>
    <w:rPr>
      <w:rFonts w:ascii="Times New Roman" w:hAnsi="Times New Roman"/>
      <w:b/>
    </w:rPr>
  </w:style>
  <w:style w:type="paragraph" w:styleId="ListNumber">
    <w:name w:val="List Number"/>
    <w:basedOn w:val="List"/>
    <w:rsid w:val="008C0D2E"/>
    <w:pPr>
      <w:numPr>
        <w:numId w:val="10"/>
      </w:numPr>
    </w:pPr>
  </w:style>
  <w:style w:type="character" w:customStyle="1" w:styleId="WingdingSymbols">
    <w:name w:val="Wingding Symbols"/>
    <w:rsid w:val="008C0D2E"/>
    <w:rPr>
      <w:rFonts w:ascii="Wingdings" w:hAnsi="Wingdings"/>
    </w:rPr>
  </w:style>
  <w:style w:type="paragraph" w:customStyle="1" w:styleId="TableHeading">
    <w:name w:val="Table Heading"/>
    <w:basedOn w:val="HeadingBase"/>
    <w:rsid w:val="008C0D2E"/>
    <w:pPr>
      <w:keepLines/>
      <w:pBdr>
        <w:bottom w:val="single" w:sz="6" w:space="1" w:color="918585"/>
      </w:pBdr>
      <w:spacing w:before="240"/>
    </w:pPr>
  </w:style>
  <w:style w:type="character" w:customStyle="1" w:styleId="HotSpot">
    <w:name w:val="HotSpot"/>
    <w:rsid w:val="008C0D2E"/>
    <w:rPr>
      <w:color w:val="0033CC"/>
      <w:u w:val="none"/>
    </w:rPr>
  </w:style>
  <w:style w:type="paragraph" w:customStyle="1" w:styleId="BodyTextRight">
    <w:name w:val="Body Text Right"/>
    <w:basedOn w:val="BodyText"/>
    <w:rsid w:val="008C0D2E"/>
    <w:pPr>
      <w:spacing w:before="0" w:after="0"/>
      <w:jc w:val="right"/>
    </w:pPr>
  </w:style>
  <w:style w:type="paragraph" w:styleId="Index3">
    <w:name w:val="index 3"/>
    <w:basedOn w:val="ListNumber2"/>
    <w:next w:val="Normal"/>
    <w:semiHidden/>
    <w:rsid w:val="008C0D2E"/>
    <w:pPr>
      <w:numPr>
        <w:numId w:val="0"/>
      </w:numPr>
      <w:tabs>
        <w:tab w:val="right" w:leader="dot" w:pos="4176"/>
      </w:tabs>
    </w:pPr>
  </w:style>
  <w:style w:type="paragraph" w:styleId="ListNumber2">
    <w:name w:val="List Number 2"/>
    <w:basedOn w:val="List2"/>
    <w:rsid w:val="008C0D2E"/>
    <w:pPr>
      <w:numPr>
        <w:numId w:val="9"/>
      </w:numPr>
      <w:tabs>
        <w:tab w:val="clear" w:pos="1060"/>
      </w:tabs>
    </w:pPr>
  </w:style>
  <w:style w:type="paragraph" w:customStyle="1" w:styleId="MarginNote">
    <w:name w:val="Margin Note"/>
    <w:basedOn w:val="BodyText"/>
    <w:rsid w:val="008C0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0D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D2E"/>
    <w:rPr>
      <w:sz w:val="32"/>
    </w:rPr>
  </w:style>
  <w:style w:type="paragraph" w:customStyle="1" w:styleId="HeadingProcedure">
    <w:name w:val="Heading Procedure"/>
    <w:basedOn w:val="HeadingBase"/>
    <w:next w:val="Normal"/>
    <w:rsid w:val="008C0D2E"/>
    <w:pPr>
      <w:tabs>
        <w:tab w:val="left" w:pos="0"/>
      </w:tabs>
      <w:spacing w:before="120" w:after="60"/>
    </w:pPr>
    <w:rPr>
      <w:i/>
      <w:color w:val="918585"/>
      <w:sz w:val="22"/>
    </w:rPr>
  </w:style>
  <w:style w:type="paragraph" w:customStyle="1" w:styleId="TableBodyText">
    <w:name w:val="Table Body Text"/>
    <w:basedOn w:val="BodyText"/>
    <w:rsid w:val="008C0D2E"/>
    <w:pPr>
      <w:spacing w:before="60" w:after="60"/>
    </w:pPr>
  </w:style>
  <w:style w:type="paragraph" w:styleId="ListContinue">
    <w:name w:val="List Continue"/>
    <w:basedOn w:val="List"/>
    <w:rsid w:val="008C0D2E"/>
    <w:pPr>
      <w:ind w:firstLine="0"/>
    </w:pPr>
  </w:style>
  <w:style w:type="paragraph" w:customStyle="1" w:styleId="ListNote">
    <w:name w:val="List Note"/>
    <w:basedOn w:val="List"/>
    <w:rsid w:val="008C0D2E"/>
    <w:pPr>
      <w:pBdr>
        <w:top w:val="single" w:sz="6" w:space="2" w:color="918585"/>
        <w:bottom w:val="single" w:sz="6" w:space="2" w:color="918585"/>
      </w:pBdr>
      <w:tabs>
        <w:tab w:val="left" w:pos="1021"/>
      </w:tabs>
      <w:ind w:firstLine="0"/>
    </w:pPr>
  </w:style>
  <w:style w:type="paragraph" w:customStyle="1" w:styleId="Warning">
    <w:name w:val="Warning"/>
    <w:basedOn w:val="BodyText"/>
    <w:rsid w:val="008C0D2E"/>
    <w:pPr>
      <w:shd w:val="clear" w:color="auto" w:fill="D9D9D9"/>
      <w:tabs>
        <w:tab w:val="left" w:pos="992"/>
      </w:tabs>
      <w:ind w:left="119" w:right="119"/>
    </w:pPr>
    <w:rPr>
      <w:sz w:val="20"/>
    </w:rPr>
  </w:style>
  <w:style w:type="paragraph" w:customStyle="1" w:styleId="MarginIcons">
    <w:name w:val="Margin Icons"/>
    <w:basedOn w:val="BodyText"/>
    <w:rsid w:val="008C0D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0D2E"/>
    <w:rPr>
      <w:rFonts w:ascii="Courier New" w:hAnsi="Courier New"/>
    </w:rPr>
  </w:style>
  <w:style w:type="paragraph" w:customStyle="1" w:styleId="NoteBullet">
    <w:name w:val="Note Bullet"/>
    <w:basedOn w:val="Note"/>
    <w:rsid w:val="008C0D2E"/>
    <w:pPr>
      <w:tabs>
        <w:tab w:val="clear" w:pos="680"/>
      </w:tabs>
      <w:spacing w:before="60" w:after="60"/>
    </w:pPr>
  </w:style>
  <w:style w:type="paragraph" w:customStyle="1" w:styleId="SubHeading2">
    <w:name w:val="SubHeading2"/>
    <w:basedOn w:val="HeadingBase"/>
    <w:rsid w:val="008C0D2E"/>
    <w:pPr>
      <w:spacing w:before="240" w:after="60"/>
    </w:pPr>
    <w:rPr>
      <w:sz w:val="20"/>
    </w:rPr>
  </w:style>
  <w:style w:type="paragraph" w:customStyle="1" w:styleId="SubHeading1">
    <w:name w:val="SubHeading1"/>
    <w:basedOn w:val="HeadingBase"/>
    <w:rsid w:val="008C0D2E"/>
    <w:pPr>
      <w:spacing w:before="240" w:after="60"/>
    </w:pPr>
    <w:rPr>
      <w:color w:val="918585"/>
      <w:sz w:val="22"/>
    </w:rPr>
  </w:style>
  <w:style w:type="paragraph" w:customStyle="1" w:styleId="SideHeading">
    <w:name w:val="Side Heading"/>
    <w:basedOn w:val="HeadingBase"/>
    <w:rsid w:val="008C0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D2E"/>
    <w:pPr>
      <w:tabs>
        <w:tab w:val="num" w:pos="360"/>
      </w:tabs>
    </w:pPr>
  </w:style>
  <w:style w:type="paragraph" w:styleId="PlainText">
    <w:name w:val="Plain Text"/>
    <w:basedOn w:val="Normal"/>
    <w:link w:val="PlainTextChar"/>
    <w:rsid w:val="008C0D2E"/>
    <w:rPr>
      <w:sz w:val="20"/>
    </w:rPr>
  </w:style>
  <w:style w:type="character" w:customStyle="1" w:styleId="PlainTextChar">
    <w:name w:val="Plain Text Char"/>
    <w:basedOn w:val="DefaultParagraphFont"/>
    <w:link w:val="PlainText"/>
    <w:rsid w:val="008C0D2E"/>
    <w:rPr>
      <w:rFonts w:ascii="Courier New" w:eastAsia="Times New Roman" w:hAnsi="Courier New" w:cs="Times New Roman"/>
      <w:sz w:val="20"/>
      <w:szCs w:val="20"/>
      <w:lang w:val="en-US" w:eastAsia="en-US"/>
    </w:rPr>
  </w:style>
  <w:style w:type="character" w:customStyle="1" w:styleId="MenuOption">
    <w:name w:val="Menu Option"/>
    <w:rsid w:val="008C0D2E"/>
    <w:rPr>
      <w:b/>
      <w:smallCaps/>
    </w:rPr>
  </w:style>
  <w:style w:type="paragraph" w:customStyle="1" w:styleId="TableListNumber">
    <w:name w:val="Table List Number"/>
    <w:basedOn w:val="ListNumber"/>
    <w:rsid w:val="008C0D2E"/>
    <w:pPr>
      <w:numPr>
        <w:numId w:val="0"/>
      </w:numPr>
    </w:pPr>
  </w:style>
  <w:style w:type="paragraph" w:styleId="TOC4">
    <w:name w:val="toc 4"/>
    <w:basedOn w:val="TOCBase"/>
    <w:next w:val="Normal"/>
    <w:semiHidden/>
    <w:rsid w:val="008C0D2E"/>
    <w:pPr>
      <w:tabs>
        <w:tab w:val="right" w:leader="dot" w:pos="9071"/>
      </w:tabs>
      <w:ind w:left="1701"/>
    </w:pPr>
  </w:style>
  <w:style w:type="paragraph" w:customStyle="1" w:styleId="ListAlpha">
    <w:name w:val="List Alpha"/>
    <w:basedOn w:val="List"/>
    <w:rsid w:val="008C0D2E"/>
    <w:pPr>
      <w:numPr>
        <w:numId w:val="8"/>
      </w:numPr>
    </w:pPr>
  </w:style>
  <w:style w:type="paragraph" w:customStyle="1" w:styleId="ListAlpha2">
    <w:name w:val="List Alpha 2"/>
    <w:basedOn w:val="List2"/>
    <w:rsid w:val="008C0D2E"/>
    <w:pPr>
      <w:numPr>
        <w:numId w:val="7"/>
      </w:numPr>
    </w:pPr>
  </w:style>
  <w:style w:type="paragraph" w:styleId="List3">
    <w:name w:val="List 3"/>
    <w:basedOn w:val="BodyText"/>
    <w:rsid w:val="008C0D2E"/>
    <w:pPr>
      <w:tabs>
        <w:tab w:val="left" w:pos="1021"/>
      </w:tabs>
      <w:spacing w:before="60" w:after="60"/>
      <w:ind w:left="1020" w:hanging="340"/>
    </w:pPr>
  </w:style>
  <w:style w:type="paragraph" w:styleId="List4">
    <w:name w:val="List 4"/>
    <w:basedOn w:val="BodyText"/>
    <w:rsid w:val="008C0D2E"/>
    <w:pPr>
      <w:tabs>
        <w:tab w:val="left" w:pos="1361"/>
      </w:tabs>
      <w:spacing w:before="60" w:after="60"/>
      <w:ind w:left="1361" w:hanging="340"/>
    </w:pPr>
  </w:style>
  <w:style w:type="paragraph" w:styleId="List5">
    <w:name w:val="List 5"/>
    <w:basedOn w:val="BodyText"/>
    <w:rsid w:val="008C0D2E"/>
    <w:pPr>
      <w:tabs>
        <w:tab w:val="left" w:pos="1701"/>
      </w:tabs>
      <w:spacing w:before="60" w:after="60"/>
      <w:ind w:left="1701" w:hanging="340"/>
    </w:pPr>
  </w:style>
  <w:style w:type="paragraph" w:styleId="ListBullet3">
    <w:name w:val="List Bullet 3"/>
    <w:basedOn w:val="List3"/>
    <w:rsid w:val="008C0D2E"/>
    <w:pPr>
      <w:numPr>
        <w:numId w:val="14"/>
      </w:numPr>
      <w:tabs>
        <w:tab w:val="clear" w:pos="1021"/>
      </w:tabs>
      <w:ind w:left="1037" w:hanging="357"/>
    </w:pPr>
  </w:style>
  <w:style w:type="paragraph" w:styleId="ListBullet4">
    <w:name w:val="List Bullet 4"/>
    <w:basedOn w:val="List4"/>
    <w:rsid w:val="008C0D2E"/>
    <w:pPr>
      <w:numPr>
        <w:numId w:val="2"/>
      </w:numPr>
    </w:pPr>
  </w:style>
  <w:style w:type="paragraph" w:styleId="ListBullet5">
    <w:name w:val="List Bullet 5"/>
    <w:basedOn w:val="List5"/>
    <w:rsid w:val="008C0D2E"/>
    <w:pPr>
      <w:numPr>
        <w:numId w:val="3"/>
      </w:numPr>
    </w:pPr>
  </w:style>
  <w:style w:type="paragraph" w:styleId="ListContinue2">
    <w:name w:val="List Continue 2"/>
    <w:basedOn w:val="List2"/>
    <w:rsid w:val="008C0D2E"/>
    <w:pPr>
      <w:ind w:firstLine="0"/>
    </w:pPr>
  </w:style>
  <w:style w:type="paragraph" w:styleId="ListContinue3">
    <w:name w:val="List Continue 3"/>
    <w:basedOn w:val="List3"/>
    <w:rsid w:val="008C0D2E"/>
    <w:pPr>
      <w:ind w:left="1021" w:firstLine="0"/>
    </w:pPr>
  </w:style>
  <w:style w:type="paragraph" w:styleId="ListContinue4">
    <w:name w:val="List Continue 4"/>
    <w:basedOn w:val="List4"/>
    <w:rsid w:val="008C0D2E"/>
    <w:pPr>
      <w:ind w:firstLine="0"/>
    </w:pPr>
  </w:style>
  <w:style w:type="paragraph" w:styleId="ListContinue5">
    <w:name w:val="List Continue 5"/>
    <w:basedOn w:val="List5"/>
    <w:rsid w:val="008C0D2E"/>
    <w:pPr>
      <w:ind w:firstLine="0"/>
    </w:pPr>
  </w:style>
  <w:style w:type="paragraph" w:styleId="ListNumber3">
    <w:name w:val="List Number 3"/>
    <w:basedOn w:val="List3"/>
    <w:rsid w:val="008C0D2E"/>
    <w:pPr>
      <w:numPr>
        <w:numId w:val="4"/>
      </w:numPr>
    </w:pPr>
  </w:style>
  <w:style w:type="paragraph" w:styleId="ListNumber4">
    <w:name w:val="List Number 4"/>
    <w:basedOn w:val="List4"/>
    <w:rsid w:val="008C0D2E"/>
    <w:pPr>
      <w:numPr>
        <w:numId w:val="5"/>
      </w:numPr>
    </w:pPr>
  </w:style>
  <w:style w:type="paragraph" w:styleId="ListNumber5">
    <w:name w:val="List Number 5"/>
    <w:basedOn w:val="List5"/>
    <w:rsid w:val="008C0D2E"/>
    <w:pPr>
      <w:numPr>
        <w:numId w:val="6"/>
      </w:numPr>
    </w:pPr>
  </w:style>
  <w:style w:type="paragraph" w:styleId="BlockText">
    <w:name w:val="Block Text"/>
    <w:basedOn w:val="Normal"/>
    <w:rsid w:val="008C0D2E"/>
    <w:pPr>
      <w:spacing w:after="120"/>
      <w:ind w:left="1440" w:right="1440"/>
    </w:pPr>
  </w:style>
  <w:style w:type="character" w:customStyle="1" w:styleId="Subscript">
    <w:name w:val="Subscript"/>
    <w:rsid w:val="008C0D2E"/>
    <w:rPr>
      <w:sz w:val="16"/>
      <w:vertAlign w:val="subscript"/>
    </w:rPr>
  </w:style>
  <w:style w:type="character" w:customStyle="1" w:styleId="Superscript">
    <w:name w:val="Superscript"/>
    <w:rsid w:val="008C0D2E"/>
    <w:rPr>
      <w:sz w:val="16"/>
      <w:vertAlign w:val="superscript"/>
    </w:rPr>
  </w:style>
  <w:style w:type="character" w:customStyle="1" w:styleId="Symbols">
    <w:name w:val="Symbols"/>
    <w:rsid w:val="008C0D2E"/>
    <w:rPr>
      <w:rFonts w:ascii="Symbol" w:hAnsi="Symbol"/>
    </w:rPr>
  </w:style>
  <w:style w:type="character" w:customStyle="1" w:styleId="MenuOptions">
    <w:name w:val="Menu Options"/>
    <w:rsid w:val="008C0D2E"/>
    <w:rPr>
      <w:rFonts w:ascii="Arial Narrow" w:hAnsi="Arial Narrow"/>
      <w:smallCaps/>
    </w:rPr>
  </w:style>
  <w:style w:type="character" w:customStyle="1" w:styleId="Buttons">
    <w:name w:val="Buttons"/>
    <w:rsid w:val="008C0D2E"/>
    <w:rPr>
      <w:b/>
    </w:rPr>
  </w:style>
  <w:style w:type="character" w:customStyle="1" w:styleId="Underlined">
    <w:name w:val="Underlined"/>
    <w:rsid w:val="008C0D2E"/>
    <w:rPr>
      <w:u w:val="single"/>
    </w:rPr>
  </w:style>
  <w:style w:type="paragraph" w:customStyle="1" w:styleId="TableBodyTextRight">
    <w:name w:val="Table Body Text Right"/>
    <w:basedOn w:val="TableBodyText"/>
    <w:rsid w:val="008C0D2E"/>
    <w:pPr>
      <w:widowControl w:val="0"/>
      <w:autoSpaceDE w:val="0"/>
      <w:autoSpaceDN w:val="0"/>
      <w:adjustRightInd w:val="0"/>
      <w:jc w:val="right"/>
    </w:pPr>
    <w:rPr>
      <w:rFonts w:cs="Arial"/>
      <w:szCs w:val="18"/>
    </w:rPr>
  </w:style>
  <w:style w:type="paragraph" w:customStyle="1" w:styleId="CopyrightText">
    <w:name w:val="Copyright Text"/>
    <w:basedOn w:val="BodyText"/>
    <w:rsid w:val="008C0D2E"/>
    <w:rPr>
      <w:sz w:val="18"/>
    </w:rPr>
  </w:style>
  <w:style w:type="paragraph" w:customStyle="1" w:styleId="BodySmallRight">
    <w:name w:val="Body Small Right"/>
    <w:basedOn w:val="BodyTextRight"/>
    <w:rsid w:val="008C0D2E"/>
    <w:rPr>
      <w:sz w:val="18"/>
      <w:szCs w:val="18"/>
    </w:rPr>
  </w:style>
  <w:style w:type="paragraph" w:customStyle="1" w:styleId="MarginEdition">
    <w:name w:val="Margin Edition"/>
    <w:basedOn w:val="MarginNote"/>
    <w:rsid w:val="008C0D2E"/>
    <w:pPr>
      <w:spacing w:before="0" w:after="0"/>
    </w:pPr>
    <w:rPr>
      <w:rFonts w:ascii="Times New Roman" w:hAnsi="Times New Roman"/>
      <w:color w:val="999999"/>
    </w:rPr>
  </w:style>
  <w:style w:type="paragraph" w:customStyle="1" w:styleId="Spacer">
    <w:name w:val="Spacer"/>
    <w:basedOn w:val="Normal"/>
    <w:rsid w:val="008C0D2E"/>
    <w:rPr>
      <w:sz w:val="2"/>
      <w:szCs w:val="2"/>
    </w:rPr>
  </w:style>
  <w:style w:type="character" w:customStyle="1" w:styleId="Small">
    <w:name w:val="Small"/>
    <w:rsid w:val="008C0D2E"/>
    <w:rPr>
      <w:sz w:val="16"/>
    </w:rPr>
  </w:style>
  <w:style w:type="paragraph" w:customStyle="1" w:styleId="WideTable">
    <w:name w:val="Wide Table"/>
    <w:basedOn w:val="Normal"/>
    <w:rsid w:val="008C0D2E"/>
    <w:pPr>
      <w:ind w:left="-1418"/>
    </w:pPr>
    <w:rPr>
      <w:sz w:val="2"/>
      <w:szCs w:val="2"/>
    </w:rPr>
  </w:style>
  <w:style w:type="character" w:styleId="PageNumber">
    <w:name w:val="page number"/>
    <w:rsid w:val="008C0D2E"/>
  </w:style>
  <w:style w:type="paragraph" w:styleId="Quote">
    <w:name w:val="Quote"/>
    <w:basedOn w:val="Heading1"/>
    <w:link w:val="QuoteChar"/>
    <w:qFormat/>
    <w:rsid w:val="008C0D2E"/>
    <w:rPr>
      <w:b w:val="0"/>
      <w:sz w:val="72"/>
      <w:szCs w:val="72"/>
      <w:lang w:val="en-NZ"/>
    </w:rPr>
  </w:style>
  <w:style w:type="character" w:customStyle="1" w:styleId="QuoteChar">
    <w:name w:val="Quote Char"/>
    <w:link w:val="Quote"/>
    <w:rsid w:val="008C0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D2E"/>
    <w:pPr>
      <w:pageBreakBefore/>
    </w:pPr>
  </w:style>
  <w:style w:type="paragraph" w:customStyle="1" w:styleId="Border">
    <w:name w:val="Border"/>
    <w:basedOn w:val="Normal"/>
    <w:qFormat/>
    <w:rsid w:val="008C0D2E"/>
    <w:pPr>
      <w:pBdr>
        <w:top w:val="single" w:sz="18" w:space="1" w:color="auto"/>
      </w:pBdr>
    </w:pPr>
    <w:rPr>
      <w:rFonts w:ascii="Times New Roman" w:hAnsi="Times New Roman"/>
      <w:color w:val="FFFFFF"/>
      <w:sz w:val="2"/>
    </w:rPr>
  </w:style>
  <w:style w:type="character" w:styleId="IntenseEmphasis">
    <w:name w:val="Intense Emphasis"/>
    <w:uiPriority w:val="21"/>
    <w:qFormat/>
    <w:rsid w:val="008C0D2E"/>
    <w:rPr>
      <w:b/>
      <w:bCs/>
      <w:i/>
      <w:iCs/>
      <w:color w:val="auto"/>
    </w:rPr>
  </w:style>
  <w:style w:type="paragraph" w:styleId="IntenseQuote">
    <w:name w:val="Intense Quote"/>
    <w:basedOn w:val="Normal"/>
    <w:next w:val="Normal"/>
    <w:link w:val="IntenseQuoteChar"/>
    <w:uiPriority w:val="30"/>
    <w:qFormat/>
    <w:rsid w:val="008C0D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0D2E"/>
    <w:rPr>
      <w:rFonts w:ascii="Courier New" w:eastAsia="Times New Roman" w:hAnsi="Courier New" w:cs="Times New Roman"/>
      <w:b/>
      <w:bCs/>
      <w:i/>
      <w:iCs/>
      <w:szCs w:val="20"/>
      <w:lang w:val="en-US" w:eastAsia="en-US"/>
    </w:rPr>
  </w:style>
  <w:style w:type="character" w:styleId="SubtleReference">
    <w:name w:val="Subtle Reference"/>
    <w:uiPriority w:val="31"/>
    <w:qFormat/>
    <w:rsid w:val="008C0D2E"/>
    <w:rPr>
      <w:smallCaps/>
      <w:color w:val="auto"/>
      <w:u w:val="single"/>
    </w:rPr>
  </w:style>
  <w:style w:type="character" w:styleId="IntenseReference">
    <w:name w:val="Intense Reference"/>
    <w:uiPriority w:val="32"/>
    <w:qFormat/>
    <w:rsid w:val="008C0D2E"/>
    <w:rPr>
      <w:b/>
      <w:bCs/>
      <w:smallCaps/>
      <w:color w:val="auto"/>
      <w:spacing w:val="5"/>
      <w:u w:val="single"/>
    </w:rPr>
  </w:style>
  <w:style w:type="paragraph" w:customStyle="1" w:styleId="2ColumnHeading">
    <w:name w:val="2Column Heading"/>
    <w:basedOn w:val="BodyText"/>
    <w:qFormat/>
    <w:rsid w:val="008C0D2E"/>
    <w:pPr>
      <w:spacing w:after="60"/>
      <w:ind w:left="-2268"/>
    </w:pPr>
    <w:rPr>
      <w:b/>
    </w:rPr>
  </w:style>
  <w:style w:type="paragraph" w:customStyle="1" w:styleId="Heading1TOC">
    <w:name w:val="Heading1 TOC"/>
    <w:basedOn w:val="Normal"/>
    <w:qFormat/>
    <w:rsid w:val="008C0D2E"/>
    <w:pPr>
      <w:spacing w:before="240" w:after="120"/>
    </w:pPr>
    <w:rPr>
      <w:rFonts w:ascii="Times New Roman" w:hAnsi="Times New Roman"/>
      <w:b/>
      <w:sz w:val="32"/>
    </w:rPr>
  </w:style>
  <w:style w:type="paragraph" w:customStyle="1" w:styleId="Heading2TOC">
    <w:name w:val="Heading2 TOC"/>
    <w:basedOn w:val="Normal"/>
    <w:qFormat/>
    <w:rsid w:val="008C0D2E"/>
    <w:pPr>
      <w:spacing w:before="240" w:after="60"/>
    </w:pPr>
    <w:rPr>
      <w:rFonts w:ascii="Times New Roman" w:hAnsi="Times New Roman"/>
      <w:b/>
      <w:sz w:val="28"/>
    </w:rPr>
  </w:style>
  <w:style w:type="character" w:customStyle="1" w:styleId="Underline">
    <w:name w:val="Underline"/>
    <w:qFormat/>
    <w:rsid w:val="008C0D2E"/>
    <w:rPr>
      <w:u w:val="single"/>
    </w:rPr>
  </w:style>
  <w:style w:type="character" w:customStyle="1" w:styleId="BoldandItalics">
    <w:name w:val="Bold and Italics"/>
    <w:qFormat/>
    <w:rsid w:val="008C0D2E"/>
    <w:rPr>
      <w:b/>
      <w:i/>
      <w:u w:val="none"/>
    </w:rPr>
  </w:style>
  <w:style w:type="paragraph" w:styleId="BalloonText">
    <w:name w:val="Balloon Text"/>
    <w:basedOn w:val="Normal"/>
    <w:link w:val="BalloonTextChar"/>
    <w:rsid w:val="008C0D2E"/>
    <w:rPr>
      <w:rFonts w:ascii="Tahoma" w:hAnsi="Tahoma" w:cs="Tahoma"/>
      <w:sz w:val="16"/>
      <w:szCs w:val="16"/>
    </w:rPr>
  </w:style>
  <w:style w:type="character" w:customStyle="1" w:styleId="BalloonTextChar">
    <w:name w:val="Balloon Text Char"/>
    <w:link w:val="BalloonText"/>
    <w:rsid w:val="008C0D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D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0D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863</Words>
  <Characters>5365</Characters>
  <Application>Microsoft Office Word</Application>
  <DocSecurity>0</DocSecurity>
  <Lines>198</Lines>
  <Paragraphs>88</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MEM11017B Organise and lead stocktakes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