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92C" w:rsidP="00F9392C">
      <w:pPr>
        <w:pStyle w:val="Title"/>
      </w:pPr>
      <w:r>
        <w:fldChar w:fldCharType="begin"/>
      </w:r>
      <w:r>
        <w:instrText xml:space="preserve"> TITLE   \* MERGEFORMAT </w:instrText>
      </w:r>
      <w:r>
        <w:fldChar w:fldCharType="separate"/>
      </w:r>
      <w:r>
        <w:t>MEM11011B Undertake manual handling</w:t>
      </w:r>
      <w:r>
        <w:fldChar w:fldCharType="end"/>
      </w:r>
    </w:p>
    <w:p w:rsidR="00F9392C" w:rsidP="00F9392C">
      <w:pPr>
        <w:pStyle w:val="Version"/>
        <w:sectPr w:rsidSect="006F2F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F3D" w:rsidP="006F2F3D">
      <w:pPr>
        <w:pStyle w:val="SuperHeading"/>
      </w:pPr>
      <w:r w:rsidRPr="006F2F3D">
        <w:t>MEM11011B Undertake manual handling</w:t>
      </w:r>
    </w:p>
    <w:p w:rsidR="00000000" w:rsidRPr="006F2F3D" w:rsidP="006F2F3D">
      <w:pPr>
        <w:pStyle w:val="Heading1"/>
      </w:pPr>
      <w:bookmarkStart w:id="1" w:name="O_272141"/>
      <w:bookmarkEnd w:id="1"/>
      <w:r w:rsidRPr="006F2F3D">
        <w:t>Modification History</w:t>
      </w:r>
    </w:p>
    <w:p w:rsidR="00000000" w:rsidRPr="006F2F3D" w:rsidP="006F2F3D">
      <w:pPr>
        <w:pStyle w:val="BodyText"/>
      </w:pPr>
      <w:r w:rsidRPr="006F2F3D">
        <w:t>Not Applicable</w:t>
      </w:r>
    </w:p>
    <w:p w:rsidR="00000000" w:rsidRPr="006F2F3D" w:rsidP="006F2F3D">
      <w:pPr>
        <w:pStyle w:val="AllowPageBreak"/>
      </w:pPr>
    </w:p>
    <w:p w:rsidR="00000000" w:rsidRPr="006F2F3D" w:rsidP="006F2F3D">
      <w:pPr>
        <w:pStyle w:val="Heading1"/>
      </w:pPr>
      <w:bookmarkStart w:id="2" w:name="O_211425"/>
      <w:bookmarkEnd w:id="2"/>
      <w:r w:rsidRPr="006F2F3D">
        <w:t>Unit Descriptor</w:t>
      </w:r>
    </w:p>
    <w:tbl>
      <w:tblPr>
        <w:tblW w:w="0" w:type="auto"/>
        <w:tblLayout w:type="fixed"/>
        <w:tblCellMar>
          <w:left w:w="62" w:type="dxa"/>
          <w:right w:w="62" w:type="dxa"/>
        </w:tblCellMar>
        <w:tblLook w:val="0000"/>
      </w:tblPr>
      <w:tblGrid>
        <w:gridCol w:w="2673"/>
        <w:gridCol w:w="5849"/>
      </w:tblGrid>
      <w:tr w:rsidTr="00F9392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This unit covers lifting and moving materials manually.</w:t>
            </w:r>
          </w:p>
        </w:tc>
      </w:tr>
    </w:tbl>
    <w:p w:rsidR="00F9392C" w:rsidP="006F2F3D">
      <w:pPr>
        <w:pStyle w:val="BodyText"/>
      </w:pPr>
    </w:p>
    <w:p w:rsidR="00F9392C" w:rsidP="006F2F3D">
      <w:pPr>
        <w:pStyle w:val="BodyText"/>
      </w:pPr>
    </w:p>
    <w:p w:rsidR="00000000" w:rsidRPr="006F2F3D" w:rsidP="006F2F3D">
      <w:pPr>
        <w:pStyle w:val="Heading1"/>
      </w:pPr>
      <w:bookmarkStart w:id="3" w:name="O_211429"/>
      <w:bookmarkEnd w:id="3"/>
      <w:r w:rsidRPr="006F2F3D">
        <w:t>Application of the Unit</w:t>
      </w:r>
    </w:p>
    <w:tbl>
      <w:tblPr>
        <w:tblW w:w="0" w:type="auto"/>
        <w:tblLayout w:type="fixed"/>
        <w:tblCellMar>
          <w:left w:w="62" w:type="dxa"/>
          <w:right w:w="62" w:type="dxa"/>
        </w:tblCellMar>
        <w:tblLook w:val="0000"/>
      </w:tblPr>
      <w:tblGrid>
        <w:gridCol w:w="2743"/>
        <w:gridCol w:w="5779"/>
      </w:tblGrid>
      <w:tr w:rsidTr="00F9392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This unit applies to lifting and moving materials manually and/or using basic manual handling equipment in a wide range of environments.</w:t>
            </w:r>
          </w:p>
          <w:p w:rsidR="00000000" w:rsidRPr="006F2F3D" w:rsidP="006F2F3D">
            <w:pPr>
              <w:pStyle w:val="BodyText"/>
            </w:pPr>
            <w:r w:rsidRPr="006F2F3D">
              <w:t xml:space="preserve">Maximum manual lifting weight is limited to National Occupational Health and Safety Commission </w:t>
            </w:r>
            <w:r w:rsidRPr="006F2F3D">
              <w:t>(NOHSC) recommendations.</w:t>
            </w:r>
          </w:p>
          <w:p w:rsidR="00000000" w:rsidRPr="006F2F3D" w:rsidP="006F2F3D">
            <w:pPr>
              <w:pStyle w:val="BodyText"/>
            </w:pPr>
          </w:p>
          <w:p w:rsidR="00000000" w:rsidRPr="006F2F3D" w:rsidP="006F2F3D">
            <w:pPr>
              <w:pStyle w:val="BodyText"/>
            </w:pPr>
            <w:r w:rsidRPr="006F2F3D">
              <w:rPr>
                <w:rStyle w:val="SpecialBold"/>
              </w:rPr>
              <w:t>Band</w:t>
            </w:r>
            <w:r w:rsidRPr="006F2F3D">
              <w:t>:</w:t>
            </w:r>
            <w:r w:rsidRPr="006F2F3D">
              <w:tab/>
            </w:r>
            <w:r w:rsidRPr="006F2F3D">
              <w:rPr>
                <w:rStyle w:val="SpecialBold"/>
              </w:rPr>
              <w:t>A</w:t>
            </w:r>
          </w:p>
          <w:p w:rsidR="00000000" w:rsidRPr="006F2F3D" w:rsidP="006F2F3D">
            <w:pPr>
              <w:pStyle w:val="BodyText"/>
            </w:pPr>
            <w:r w:rsidRPr="006F2F3D">
              <w:rPr>
                <w:rStyle w:val="SpecialBold"/>
              </w:rPr>
              <w:t>Unit Weight</w:t>
            </w:r>
            <w:r w:rsidRPr="006F2F3D">
              <w:t>:</w:t>
            </w:r>
            <w:r w:rsidRPr="006F2F3D">
              <w:tab/>
            </w:r>
            <w:r w:rsidRPr="006F2F3D">
              <w:rPr>
                <w:rStyle w:val="SpecialBold"/>
              </w:rPr>
              <w:t>2</w:t>
            </w:r>
          </w:p>
        </w:tc>
      </w:tr>
    </w:tbl>
    <w:p w:rsidR="00F9392C" w:rsidP="006F2F3D">
      <w:pPr>
        <w:pStyle w:val="BodyText"/>
      </w:pPr>
    </w:p>
    <w:p w:rsidR="00F9392C" w:rsidP="006F2F3D">
      <w:pPr>
        <w:pStyle w:val="BodyText"/>
      </w:pPr>
    </w:p>
    <w:p w:rsidR="00000000" w:rsidRPr="006F2F3D" w:rsidP="006F2F3D">
      <w:pPr>
        <w:pStyle w:val="Heading1"/>
      </w:pPr>
      <w:bookmarkStart w:id="4" w:name="O_280401"/>
      <w:bookmarkEnd w:id="4"/>
      <w:r w:rsidRPr="006F2F3D">
        <w:t>Licensing/Regulatory Information</w:t>
      </w:r>
    </w:p>
    <w:p w:rsidR="00000000" w:rsidRPr="006F2F3D" w:rsidP="006F2F3D">
      <w:pPr>
        <w:pStyle w:val="BodyText"/>
      </w:pPr>
      <w:r w:rsidRPr="006F2F3D">
        <w:t>Not Applicable</w:t>
      </w:r>
    </w:p>
    <w:p w:rsidR="00000000" w:rsidRPr="006F2F3D" w:rsidP="006F2F3D">
      <w:pPr>
        <w:pStyle w:val="AllowPageBreak"/>
      </w:pPr>
    </w:p>
    <w:p w:rsidR="00000000" w:rsidRPr="006F2F3D" w:rsidP="006F2F3D">
      <w:pPr>
        <w:pStyle w:val="Heading1"/>
      </w:pPr>
      <w:bookmarkStart w:id="5" w:name="O_211427"/>
      <w:bookmarkEnd w:id="5"/>
      <w:r w:rsidRPr="006F2F3D">
        <w:t>Pre-Requisites</w:t>
      </w:r>
    </w:p>
    <w:tbl>
      <w:tblPr>
        <w:tblW w:w="0" w:type="auto"/>
        <w:tblLayout w:type="fixed"/>
        <w:tblCellMar>
          <w:left w:w="62" w:type="dxa"/>
          <w:right w:w="62" w:type="dxa"/>
        </w:tblCellMar>
        <w:tblLook w:val="0000"/>
      </w:tblPr>
      <w:tblGrid>
        <w:gridCol w:w="2775"/>
        <w:gridCol w:w="1295"/>
        <w:gridCol w:w="4452"/>
      </w:tblGrid>
      <w:tr w:rsidTr="00F939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p>
        </w:tc>
      </w:tr>
      <w:tr w:rsidTr="00F939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p>
        </w:tc>
      </w:tr>
      <w:tr w:rsidTr="00F939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p>
        </w:tc>
      </w:tr>
    </w:tbl>
    <w:p w:rsidR="00F9392C" w:rsidP="006F2F3D">
      <w:pPr>
        <w:pStyle w:val="BodyText"/>
      </w:pPr>
    </w:p>
    <w:p w:rsidR="00F9392C" w:rsidP="006F2F3D">
      <w:pPr>
        <w:pStyle w:val="BodyText"/>
      </w:pPr>
    </w:p>
    <w:p w:rsidR="00000000" w:rsidRPr="006F2F3D" w:rsidP="006F2F3D">
      <w:pPr>
        <w:pStyle w:val="Heading1"/>
      </w:pPr>
      <w:bookmarkStart w:id="6" w:name="O_211426"/>
      <w:bookmarkEnd w:id="6"/>
      <w:r w:rsidRPr="006F2F3D">
        <w:t>Employability Skills Information</w:t>
      </w:r>
    </w:p>
    <w:tbl>
      <w:tblPr>
        <w:tblW w:w="0" w:type="auto"/>
        <w:tblLayout w:type="fixed"/>
        <w:tblCellMar>
          <w:left w:w="62" w:type="dxa"/>
          <w:right w:w="62" w:type="dxa"/>
        </w:tblCellMar>
        <w:tblLook w:val="0000"/>
      </w:tblPr>
      <w:tblGrid>
        <w:gridCol w:w="2802"/>
        <w:gridCol w:w="5720"/>
      </w:tblGrid>
      <w:tr w:rsidTr="00F939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This unit contains employability skills.</w:t>
            </w:r>
          </w:p>
        </w:tc>
      </w:tr>
    </w:tbl>
    <w:p w:rsidR="00F9392C" w:rsidP="006F2F3D">
      <w:pPr>
        <w:pStyle w:val="BodyText"/>
      </w:pPr>
    </w:p>
    <w:p w:rsidR="00F9392C" w:rsidP="006F2F3D">
      <w:pPr>
        <w:pStyle w:val="BodyText"/>
      </w:pPr>
    </w:p>
    <w:p w:rsidR="00000000" w:rsidRPr="006F2F3D" w:rsidP="006F2F3D">
      <w:pPr>
        <w:pStyle w:val="Heading1"/>
      </w:pPr>
      <w:bookmarkStart w:id="7" w:name="O_290187"/>
      <w:bookmarkEnd w:id="7"/>
      <w:r w:rsidRPr="006F2F3D">
        <w:t>Elements and Performance Criteria Pre-Content</w:t>
      </w:r>
    </w:p>
    <w:tbl>
      <w:tblPr>
        <w:tblW w:w="0" w:type="auto"/>
        <w:tblLayout w:type="fixed"/>
        <w:tblCellMar>
          <w:left w:w="62" w:type="dxa"/>
          <w:right w:w="62" w:type="dxa"/>
        </w:tblCellMar>
        <w:tblLook w:val="0000"/>
      </w:tblPr>
      <w:tblGrid>
        <w:gridCol w:w="2573"/>
        <w:gridCol w:w="5949"/>
      </w:tblGrid>
      <w:tr w:rsidTr="00F9392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 xml:space="preserve">Performance criteria describe the performance needed to demonstrate achievement of </w:t>
            </w:r>
            <w:r w:rsidRPr="006F2F3D">
              <w:t>the element. Where bold italicised text is used, further information is detailed in the required skills and knowledge section and the range statement. Assessment of performance is to be consistent with the evidence guide.</w:t>
            </w:r>
          </w:p>
        </w:tc>
      </w:tr>
    </w:tbl>
    <w:p w:rsidR="00000000" w:rsidRPr="006F2F3D" w:rsidP="006F2F3D">
      <w:pPr>
        <w:pStyle w:val="BodyText"/>
      </w:pPr>
    </w:p>
    <w:p w:rsidR="00000000" w:rsidRPr="006F2F3D" w:rsidP="006F2F3D">
      <w:pPr>
        <w:pStyle w:val="AllowPageBreak"/>
      </w:pPr>
    </w:p>
    <w:p w:rsidR="00000000" w:rsidRPr="006F2F3D" w:rsidP="006F2F3D">
      <w:pPr>
        <w:pStyle w:val="Heading1"/>
      </w:pPr>
      <w:bookmarkStart w:id="8" w:name="O_236854"/>
      <w:bookmarkEnd w:id="8"/>
      <w:r w:rsidRPr="006F2F3D">
        <w:t>Elements and Performance Criteria</w:t>
      </w:r>
    </w:p>
    <w:tbl>
      <w:tblPr>
        <w:tblW w:w="0" w:type="auto"/>
        <w:tblLayout w:type="fixed"/>
        <w:tblCellMar>
          <w:left w:w="62" w:type="dxa"/>
          <w:right w:w="62" w:type="dxa"/>
        </w:tblCellMar>
        <w:tblLook w:val="0000"/>
      </w:tblPr>
      <w:tblGrid>
        <w:gridCol w:w="2573"/>
        <w:gridCol w:w="5949"/>
      </w:tblGrid>
      <w:tr w:rsidTr="00F9392C">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PERFORMANCE CRITERIA</w:t>
            </w:r>
          </w:p>
        </w:tc>
      </w:tr>
      <w:tr w:rsidTr="00F9392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List"/>
              <w:rPr>
                <w:lang w:val="en-NZ"/>
              </w:rPr>
            </w:pPr>
            <w:r w:rsidRPr="006F2F3D">
              <w:t>1.</w:t>
            </w:r>
            <w:r w:rsidRPr="006F2F3D">
              <w:tab/>
              <w:t>Lift materials manually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List2"/>
            </w:pPr>
            <w:r w:rsidRPr="006F2F3D">
              <w:t>1.1.</w:t>
            </w:r>
            <w:r w:rsidRPr="006F2F3D">
              <w:tab/>
              <w:t>Material weight is determined correctly utilising most appropriate technique, and risks associated with lifting are assessed.</w:t>
            </w:r>
          </w:p>
          <w:p w:rsidR="00000000" w:rsidP="006F2F3D">
            <w:pPr>
              <w:pStyle w:val="List2"/>
              <w:rPr>
                <w:lang w:val="en-NZ"/>
              </w:rPr>
            </w:pPr>
            <w:r w:rsidRPr="006F2F3D">
              <w:t>1.2.</w:t>
            </w:r>
            <w:r w:rsidRPr="006F2F3D">
              <w:tab/>
              <w:t>Lifting techniques are undert</w:t>
            </w:r>
            <w:r w:rsidRPr="006F2F3D">
              <w:t>aken to National Occupational Health and Safety Commission (NOHSC) and standard operating procedures. Types of movement, methods, storage, height and position are considered.</w:t>
            </w:r>
          </w:p>
        </w:tc>
      </w:tr>
      <w:tr w:rsidTr="00F9392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List"/>
              <w:rPr>
                <w:lang w:val="en-NZ"/>
              </w:rPr>
            </w:pPr>
            <w:r w:rsidRPr="006F2F3D">
              <w:t>2.</w:t>
            </w:r>
            <w:r w:rsidRPr="006F2F3D">
              <w:tab/>
              <w:t>Move/shift materials manually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List2"/>
            </w:pPr>
            <w:r w:rsidRPr="006F2F3D">
              <w:t>2.1.</w:t>
            </w:r>
            <w:r w:rsidRPr="006F2F3D">
              <w:tab/>
            </w:r>
            <w:r w:rsidRPr="006F2F3D">
              <w:t>Appropriate equipment is selected where required.</w:t>
            </w:r>
          </w:p>
          <w:p w:rsidR="00000000" w:rsidRPr="006F2F3D" w:rsidP="006F2F3D">
            <w:pPr>
              <w:pStyle w:val="List2"/>
            </w:pPr>
            <w:r w:rsidRPr="006F2F3D">
              <w:t>2.2.</w:t>
            </w:r>
            <w:r w:rsidRPr="006F2F3D">
              <w:tab/>
              <w:t>Material is placed safely and securely on moving equipment.</w:t>
            </w:r>
          </w:p>
          <w:p w:rsidR="00000000" w:rsidRPr="006F2F3D" w:rsidP="006F2F3D">
            <w:pPr>
              <w:pStyle w:val="List2"/>
            </w:pPr>
            <w:r w:rsidRPr="006F2F3D">
              <w:t>2.3.</w:t>
            </w:r>
            <w:r w:rsidRPr="006F2F3D">
              <w:tab/>
              <w:t>Material is relocated ensuring safety of personnel and security of material.</w:t>
            </w:r>
          </w:p>
          <w:p w:rsidR="00000000" w:rsidRPr="006F2F3D" w:rsidP="006F2F3D">
            <w:pPr>
              <w:pStyle w:val="List2"/>
            </w:pPr>
            <w:r w:rsidRPr="006F2F3D">
              <w:t>2.4.</w:t>
            </w:r>
            <w:r w:rsidRPr="006F2F3D">
              <w:tab/>
              <w:t xml:space="preserve">Material is unloaded from moving equipment and placed </w:t>
            </w:r>
            <w:r w:rsidRPr="006F2F3D">
              <w:t>in a safe and secure manner.</w:t>
            </w:r>
          </w:p>
        </w:tc>
      </w:tr>
    </w:tbl>
    <w:p w:rsidR="00F9392C" w:rsidP="006F2F3D">
      <w:pPr>
        <w:pStyle w:val="BodyText"/>
      </w:pPr>
    </w:p>
    <w:p w:rsidR="00F9392C" w:rsidP="006F2F3D">
      <w:pPr>
        <w:pStyle w:val="BodyText"/>
      </w:pPr>
    </w:p>
    <w:p w:rsidR="00000000" w:rsidRPr="006F2F3D" w:rsidP="006F2F3D">
      <w:pPr>
        <w:pStyle w:val="Heading1"/>
      </w:pPr>
      <w:bookmarkStart w:id="9" w:name="O_260804"/>
      <w:bookmarkEnd w:id="9"/>
      <w:r w:rsidRPr="006F2F3D">
        <w:t>Required Skills and Knowledge</w:t>
      </w:r>
    </w:p>
    <w:tbl>
      <w:tblPr>
        <w:tblW w:w="0" w:type="auto"/>
        <w:tblLayout w:type="fixed"/>
        <w:tblCellMar>
          <w:left w:w="62" w:type="dxa"/>
          <w:right w:w="62" w:type="dxa"/>
        </w:tblCellMar>
        <w:tblLook w:val="0000"/>
      </w:tblPr>
      <w:tblGrid>
        <w:gridCol w:w="8522"/>
      </w:tblGrid>
      <w:tr w:rsidTr="00F939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REQUIRED SKILLS AND KNOWLEDGE</w:t>
            </w:r>
          </w:p>
        </w:tc>
      </w:tr>
      <w:tr w:rsidTr="00F939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This section describes the skills and knowledge required for this unit.</w:t>
            </w:r>
          </w:p>
        </w:tc>
      </w:tr>
      <w:tr w:rsidTr="00F939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Required skills</w:t>
            </w:r>
          </w:p>
        </w:tc>
      </w:tr>
      <w:tr w:rsidTr="00F939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Look for evidence that confirms skills in:</w:t>
            </w:r>
          </w:p>
          <w:p w:rsidR="00000000" w:rsidRPr="006F2F3D" w:rsidP="006F2F3D">
            <w:pPr>
              <w:pStyle w:val="ListBullet"/>
            </w:pPr>
            <w:r w:rsidRPr="006F2F3D">
              <w:t>identifying relevant standards and lifting techniques</w:t>
            </w:r>
          </w:p>
          <w:p w:rsidR="00000000" w:rsidRPr="006F2F3D" w:rsidP="006F2F3D">
            <w:pPr>
              <w:pStyle w:val="ListBullet"/>
            </w:pPr>
            <w:r w:rsidRPr="006F2F3D">
              <w:t>assessing weight of material</w:t>
            </w:r>
          </w:p>
          <w:p w:rsidR="00000000" w:rsidRPr="006F2F3D" w:rsidP="006F2F3D">
            <w:pPr>
              <w:pStyle w:val="ListBullet"/>
            </w:pPr>
            <w:r w:rsidRPr="006F2F3D">
              <w:t>selecting lifting equipment</w:t>
            </w:r>
          </w:p>
          <w:p w:rsidR="00000000" w:rsidRPr="006F2F3D" w:rsidP="006F2F3D">
            <w:pPr>
              <w:pStyle w:val="ListBullet"/>
            </w:pPr>
            <w:r w:rsidRPr="006F2F3D">
              <w:t xml:space="preserve">working and communicating in teams </w:t>
            </w:r>
          </w:p>
          <w:p w:rsidR="00000000" w:rsidRPr="006F2F3D" w:rsidP="006F2F3D">
            <w:pPr>
              <w:pStyle w:val="ListBullet"/>
            </w:pPr>
            <w:r w:rsidRPr="006F2F3D">
              <w:t>assessing risks</w:t>
            </w:r>
          </w:p>
          <w:p w:rsidR="00000000" w:rsidRPr="006F2F3D" w:rsidP="006F2F3D">
            <w:pPr>
              <w:pStyle w:val="ListBullet"/>
            </w:pPr>
            <w:r w:rsidRPr="006F2F3D">
              <w:t>planning</w:t>
            </w:r>
          </w:p>
          <w:p w:rsidR="00000000" w:rsidRPr="006F2F3D" w:rsidP="006F2F3D">
            <w:pPr>
              <w:pStyle w:val="ListBullet"/>
            </w:pPr>
            <w:r w:rsidRPr="006F2F3D">
              <w:t>reading and interpreting routine informa</w:t>
            </w:r>
            <w:r w:rsidRPr="006F2F3D">
              <w:t>tion on written job instructions, specifications and standard operating procedures. May include drawings</w:t>
            </w:r>
          </w:p>
          <w:p w:rsidR="00000000" w:rsidP="006F2F3D">
            <w:pPr>
              <w:pStyle w:val="ListBullet"/>
              <w:rPr>
                <w:lang w:val="en-NZ"/>
              </w:rPr>
            </w:pPr>
            <w:r w:rsidRPr="006F2F3D">
              <w:t>following oral instructions</w:t>
            </w:r>
          </w:p>
        </w:tc>
      </w:tr>
      <w:tr w:rsidTr="00F939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Required knowledge</w:t>
            </w:r>
          </w:p>
        </w:tc>
      </w:tr>
      <w:tr w:rsidTr="00F939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Look for evidence that confirms knowledge of:</w:t>
            </w:r>
          </w:p>
          <w:p w:rsidR="00000000" w:rsidRPr="006F2F3D" w:rsidP="006F2F3D">
            <w:pPr>
              <w:pStyle w:val="ListBullet"/>
            </w:pPr>
            <w:r w:rsidRPr="006F2F3D">
              <w:t>manual handling techniques</w:t>
            </w:r>
          </w:p>
          <w:p w:rsidR="00000000" w:rsidRPr="006F2F3D" w:rsidP="006F2F3D">
            <w:pPr>
              <w:pStyle w:val="ListBullet"/>
            </w:pPr>
            <w:r w:rsidRPr="006F2F3D">
              <w:t>hazards of incorrect procedu</w:t>
            </w:r>
            <w:r w:rsidRPr="006F2F3D">
              <w:t>res</w:t>
            </w:r>
          </w:p>
          <w:p w:rsidR="00000000" w:rsidRPr="006F2F3D" w:rsidP="006F2F3D">
            <w:pPr>
              <w:pStyle w:val="ListBullet"/>
            </w:pPr>
            <w:r w:rsidRPr="006F2F3D">
              <w:t>NOHSC standards for manual handling</w:t>
            </w:r>
          </w:p>
          <w:p w:rsidR="00000000" w:rsidRPr="006F2F3D" w:rsidP="006F2F3D">
            <w:pPr>
              <w:pStyle w:val="ListBullet"/>
            </w:pPr>
            <w:r w:rsidRPr="006F2F3D">
              <w:t>safe work practices and procedures</w:t>
            </w:r>
          </w:p>
        </w:tc>
      </w:tr>
    </w:tbl>
    <w:p w:rsidR="00F9392C" w:rsidP="006F2F3D">
      <w:pPr>
        <w:pStyle w:val="BodyText"/>
      </w:pPr>
    </w:p>
    <w:p w:rsidR="00F9392C" w:rsidP="006F2F3D">
      <w:pPr>
        <w:pStyle w:val="BodyText"/>
      </w:pPr>
    </w:p>
    <w:p w:rsidR="00000000" w:rsidRPr="006F2F3D" w:rsidP="006F2F3D">
      <w:pPr>
        <w:pStyle w:val="AllowPageBreak"/>
      </w:pPr>
    </w:p>
    <w:p w:rsidR="00000000" w:rsidRPr="006F2F3D" w:rsidP="006F2F3D">
      <w:pPr>
        <w:pStyle w:val="Heading1"/>
      </w:pPr>
      <w:bookmarkStart w:id="10" w:name="O_244838"/>
      <w:bookmarkEnd w:id="10"/>
      <w:r w:rsidRPr="006F2F3D">
        <w:t>Evidence Guide</w:t>
      </w:r>
    </w:p>
    <w:tbl>
      <w:tblPr>
        <w:tblW w:w="9570" w:type="dxa"/>
        <w:tblLayout w:type="fixed"/>
        <w:tblCellMar>
          <w:left w:w="62" w:type="dxa"/>
          <w:right w:w="62" w:type="dxa"/>
        </w:tblCellMar>
        <w:tblLook w:val="0000"/>
      </w:tblPr>
      <w:tblGrid>
        <w:gridCol w:w="3908"/>
        <w:gridCol w:w="5662"/>
      </w:tblGrid>
      <w:tr w:rsidTr="00F939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EVIDENCE GUIDE</w:t>
            </w:r>
          </w:p>
        </w:tc>
      </w:tr>
      <w:tr w:rsidTr="00F939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The evidence guide provides advice on assessment and must be read in conjunction with the performance criteria, required skills and knowledge, range statement and the Assessment Guidelines for the Training Package.</w:t>
            </w:r>
          </w:p>
        </w:tc>
      </w:tr>
      <w:tr w:rsidTr="00F939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 xml:space="preserve">A person who demonstrates competency in this unit must be able to move loads manually using appropriate aids. </w:t>
            </w:r>
          </w:p>
        </w:tc>
      </w:tr>
      <w:tr w:rsidTr="00F939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 xml:space="preserve">Assessors must be satisfied that the candidate can </w:t>
            </w:r>
            <w:r w:rsidRPr="006F2F3D">
              <w:t>competently and consistently perform all elements of the unit as specified by the criteria, including required knowledge, and be capable of applying the competency in new and different situations and contexts.</w:t>
            </w:r>
          </w:p>
        </w:tc>
      </w:tr>
      <w:tr w:rsidTr="00F939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Context of and specific resources for assessm</w:t>
            </w:r>
            <w:r w:rsidRPr="006F2F3D">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This unit may be assessed on the job, off the job or a combination of both on and off the job. Where assessment occurs off the job, that is the candidate is not in productive work, then an appropriate simulation must be used where the range of conditio</w:t>
            </w:r>
            <w:r w:rsidRPr="006F2F3D">
              <w:t xml:space="preserve">ns reflects realistic workplace situations. The competencies covered by this unit would be demonstrated by an individual working alone or as part of a team. The assessment environment should not disadvantage the candidate. </w:t>
            </w:r>
          </w:p>
          <w:p w:rsidR="00000000" w:rsidP="006F2F3D">
            <w:pPr>
              <w:pStyle w:val="BodyText"/>
              <w:rPr>
                <w:lang w:val="en-NZ"/>
              </w:rPr>
            </w:pPr>
            <w:r w:rsidRPr="006F2F3D">
              <w:t>This unit could be assessed in c</w:t>
            </w:r>
            <w:r w:rsidRPr="006F2F3D">
              <w:t>onjunction with any other units addressing the safety, quality, communication, materials handling, recording and reporting associated with moving loads manually or other units requiring the exercise of the skills and knowledge covered by this unit.</w:t>
            </w:r>
          </w:p>
        </w:tc>
      </w:tr>
      <w:tr w:rsidTr="00F939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Method</w:t>
            </w:r>
            <w:r w:rsidRPr="006F2F3D">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Assessors should gather a range of evidence that is valid, sufficient, current and authentic. Evidence can be gathered through a variety of ways including direct observation, supervisor's reports, project work, samples and questioning. Quest</w:t>
            </w:r>
            <w:r w:rsidRPr="006F2F3D">
              <w:t>ioning techniques should not require language, literacy and numeracy skills beyond those required in this unit of competency. The candidate must have access to all tools, equipment, materials and documentation required. The candidate must be permitted to r</w:t>
            </w:r>
            <w:r w:rsidRPr="006F2F3D">
              <w:t>efer to any relevant workplace procedures, product and manufacturing specifications, codes, standards, manuals and reference materials.</w:t>
            </w:r>
          </w:p>
        </w:tc>
      </w:tr>
      <w:tr w:rsidTr="00F939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p>
        </w:tc>
      </w:tr>
    </w:tbl>
    <w:p w:rsidR="00F9392C" w:rsidP="006F2F3D">
      <w:pPr>
        <w:pStyle w:val="BodyText"/>
      </w:pPr>
    </w:p>
    <w:p w:rsidR="00F9392C" w:rsidP="006F2F3D">
      <w:pPr>
        <w:pStyle w:val="BodyText"/>
      </w:pPr>
    </w:p>
    <w:p w:rsidR="00000000" w:rsidRPr="006F2F3D" w:rsidP="006F2F3D">
      <w:pPr>
        <w:pStyle w:val="Heading1"/>
      </w:pPr>
      <w:bookmarkStart w:id="11" w:name="O_252821"/>
      <w:bookmarkEnd w:id="11"/>
      <w:r w:rsidRPr="006F2F3D">
        <w:t>Range Statement</w:t>
      </w:r>
    </w:p>
    <w:tbl>
      <w:tblPr>
        <w:tblW w:w="0" w:type="auto"/>
        <w:tblLayout w:type="fixed"/>
        <w:tblCellMar>
          <w:left w:w="62" w:type="dxa"/>
          <w:right w:w="62" w:type="dxa"/>
        </w:tblCellMar>
        <w:tblLook w:val="0000"/>
      </w:tblPr>
      <w:tblGrid>
        <w:gridCol w:w="3509"/>
        <w:gridCol w:w="5013"/>
      </w:tblGrid>
      <w:tr w:rsidTr="00F939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RANGE STATEMENT</w:t>
            </w:r>
          </w:p>
        </w:tc>
      </w:tr>
      <w:tr w:rsidTr="00F939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The range statement relates to the unit of competency as a whole. It allows for different work environments and situations that may affect performance. Bold italicised wording, if used in the performance criteria, is detailed below. Essential operating con</w:t>
            </w:r>
            <w:r w:rsidRPr="006F2F3D">
              <w:t>ditions that may be present with training and assessment (depending on the work situation, needs of the candidate, accessibility of the item, and local industry and regional contexts) may also be included.</w:t>
            </w:r>
          </w:p>
        </w:tc>
      </w:tr>
      <w:tr w:rsidTr="00F939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Material weight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Material weight is determined us</w:t>
            </w:r>
            <w:r w:rsidRPr="006F2F3D">
              <w:t>ing scales or interpreting signage</w:t>
            </w:r>
          </w:p>
        </w:tc>
      </w:tr>
      <w:tr w:rsidTr="00F939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Lifting techniques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t>Individual or team lifting, use of appropriate lifting equipment</w:t>
            </w:r>
          </w:p>
        </w:tc>
      </w:tr>
      <w:tr w:rsidTr="00F939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Appropriate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Hand trolleys, wheelbarrows, mot</w:t>
            </w:r>
            <w:r w:rsidRPr="006F2F3D">
              <w:t>orised/hand pallet trucks (not sit on), scissor lifts, boom lifts, hand carts, dedicated production or process lifting equipment such as baskets, spreader bars, cradles or the like attached to lifting equipment</w:t>
            </w:r>
          </w:p>
        </w:tc>
      </w:tr>
    </w:tbl>
    <w:p w:rsidR="00F9392C" w:rsidP="006F2F3D">
      <w:pPr>
        <w:pStyle w:val="BodyText"/>
      </w:pPr>
    </w:p>
    <w:p w:rsidR="00F9392C" w:rsidP="006F2F3D">
      <w:pPr>
        <w:pStyle w:val="BodyText"/>
      </w:pPr>
    </w:p>
    <w:p w:rsidR="00000000" w:rsidRPr="006F2F3D" w:rsidP="006F2F3D">
      <w:pPr>
        <w:pStyle w:val="Heading1"/>
      </w:pPr>
      <w:bookmarkStart w:id="12" w:name="O_211431"/>
      <w:bookmarkEnd w:id="12"/>
      <w:r w:rsidRPr="006F2F3D">
        <w:t>Unit Sector(s)</w:t>
      </w:r>
    </w:p>
    <w:tbl>
      <w:tblPr>
        <w:tblW w:w="0" w:type="auto"/>
        <w:tblLayout w:type="fixed"/>
        <w:tblCellMar>
          <w:left w:w="62" w:type="dxa"/>
          <w:right w:w="62" w:type="dxa"/>
        </w:tblCellMar>
        <w:tblLook w:val="0000"/>
      </w:tblPr>
      <w:tblGrid>
        <w:gridCol w:w="2654"/>
        <w:gridCol w:w="5868"/>
      </w:tblGrid>
      <w:tr w:rsidTr="00F9392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p>
        </w:tc>
      </w:tr>
    </w:tbl>
    <w:p w:rsidR="00F9392C" w:rsidP="006F2F3D">
      <w:pPr>
        <w:pStyle w:val="BodyText"/>
      </w:pPr>
    </w:p>
    <w:p w:rsidR="00F9392C" w:rsidP="006F2F3D">
      <w:pPr>
        <w:pStyle w:val="BodyText"/>
      </w:pPr>
    </w:p>
    <w:p w:rsidR="00000000" w:rsidRPr="006F2F3D" w:rsidP="006F2F3D">
      <w:pPr>
        <w:pStyle w:val="Heading1"/>
      </w:pPr>
      <w:bookmarkStart w:id="13" w:name="O_211428"/>
      <w:bookmarkEnd w:id="13"/>
      <w:r w:rsidRPr="006F2F3D">
        <w:t>Co-requisite units</w:t>
      </w:r>
    </w:p>
    <w:tbl>
      <w:tblPr>
        <w:tblW w:w="0" w:type="auto"/>
        <w:tblLayout w:type="fixed"/>
        <w:tblCellMar>
          <w:left w:w="62" w:type="dxa"/>
          <w:right w:w="62" w:type="dxa"/>
        </w:tblCellMar>
        <w:tblLook w:val="0000"/>
      </w:tblPr>
      <w:tblGrid>
        <w:gridCol w:w="2641"/>
        <w:gridCol w:w="1322"/>
        <w:gridCol w:w="4559"/>
      </w:tblGrid>
      <w:tr w:rsidTr="00F939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939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p>
        </w:tc>
      </w:tr>
      <w:tr w:rsidTr="00F939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p>
        </w:tc>
      </w:tr>
    </w:tbl>
    <w:p w:rsidR="00F9392C" w:rsidP="006F2F3D">
      <w:pPr>
        <w:pStyle w:val="BodyText"/>
      </w:pPr>
    </w:p>
    <w:p w:rsidR="00F9392C" w:rsidP="006F2F3D">
      <w:pPr>
        <w:pStyle w:val="BodyText"/>
      </w:pPr>
    </w:p>
    <w:p w:rsidR="00000000" w:rsidRPr="006F2F3D" w:rsidP="006F2F3D">
      <w:pPr>
        <w:pStyle w:val="Heading1"/>
      </w:pPr>
      <w:bookmarkStart w:id="14" w:name="O_211430"/>
      <w:bookmarkEnd w:id="14"/>
      <w:r w:rsidRPr="006F2F3D">
        <w:t>Competency field</w:t>
      </w:r>
    </w:p>
    <w:tbl>
      <w:tblPr>
        <w:tblW w:w="0" w:type="auto"/>
        <w:tblLayout w:type="fixed"/>
        <w:tblCellMar>
          <w:left w:w="62" w:type="dxa"/>
          <w:right w:w="62" w:type="dxa"/>
        </w:tblCellMar>
        <w:tblLook w:val="0000"/>
      </w:tblPr>
      <w:tblGrid>
        <w:gridCol w:w="2777"/>
        <w:gridCol w:w="5745"/>
      </w:tblGrid>
      <w:tr w:rsidTr="00F9392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F3D">
            <w:pPr>
              <w:pStyle w:val="BodyText"/>
              <w:rPr>
                <w:lang w:val="en-NZ"/>
              </w:rPr>
            </w:pPr>
            <w:r w:rsidRPr="006F2F3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F3D" w:rsidP="006F2F3D">
            <w:pPr>
              <w:pStyle w:val="BodyText"/>
            </w:pPr>
            <w:r w:rsidRPr="006F2F3D">
              <w:t>Materials handling</w:t>
            </w:r>
          </w:p>
        </w:tc>
      </w:tr>
    </w:tbl>
    <w:p w:rsidR="00F9392C" w:rsidP="006F2F3D">
      <w:pPr>
        <w:pStyle w:val="BodyText"/>
      </w:pPr>
    </w:p>
    <w:p w:rsidR="00F9392C" w:rsidP="006F2F3D">
      <w:pPr>
        <w:pStyle w:val="BodyText"/>
      </w:pPr>
    </w:p>
    <w:p w:rsidR="00000000" w:rsidRPr="006F2F3D" w:rsidP="006F2F3D"/>
    <w:sectPr w:rsidSect="006F2F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92C" w:rsidP="00F93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2C" w:rsidP="006F2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392C" w:rsidP="006F2F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392C" w:rsidP="006F2F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92C" w:rsidP="00F939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2C" w:rsidP="006F2F3D">
    <w:pPr>
      <w:pStyle w:val="Header"/>
      <w:framePr w:wrap="around"/>
    </w:pPr>
    <w:r>
      <w:fldChar w:fldCharType="begin"/>
    </w:r>
    <w:r>
      <w:instrText xml:space="preserve"> TITLE   \* MERGEFORMAT </w:instrText>
    </w:r>
    <w:r>
      <w:fldChar w:fldCharType="separate"/>
    </w:r>
    <w:r>
      <w:t>MEM11011B Undertake manual handling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392C" w:rsidP="006F2F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72D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22A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F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2F3D"/>
    <w:pPr>
      <w:spacing w:before="360" w:after="60"/>
      <w:outlineLvl w:val="0"/>
    </w:pPr>
    <w:rPr>
      <w:sz w:val="32"/>
    </w:rPr>
  </w:style>
  <w:style w:type="paragraph" w:styleId="Heading2">
    <w:name w:val="heading 2"/>
    <w:basedOn w:val="HeadingBase"/>
    <w:next w:val="BodyText"/>
    <w:link w:val="Heading2Char"/>
    <w:qFormat/>
    <w:rsid w:val="006F2F3D"/>
    <w:pPr>
      <w:keepLines/>
      <w:spacing w:before="240" w:after="120"/>
      <w:outlineLvl w:val="1"/>
    </w:pPr>
    <w:rPr>
      <w:sz w:val="28"/>
      <w:szCs w:val="40"/>
    </w:rPr>
  </w:style>
  <w:style w:type="paragraph" w:styleId="Heading3">
    <w:name w:val="heading 3"/>
    <w:basedOn w:val="HeadingBase"/>
    <w:next w:val="BodyText"/>
    <w:link w:val="Heading3Char"/>
    <w:qFormat/>
    <w:rsid w:val="006F2F3D"/>
    <w:pPr>
      <w:spacing w:before="180" w:after="120"/>
      <w:outlineLvl w:val="2"/>
    </w:pPr>
    <w:rPr>
      <w:spacing w:val="-10"/>
      <w:kern w:val="32"/>
    </w:rPr>
  </w:style>
  <w:style w:type="paragraph" w:styleId="Heading4">
    <w:name w:val="heading 4"/>
    <w:basedOn w:val="HeadingBase"/>
    <w:next w:val="BodyText"/>
    <w:link w:val="Heading4Char"/>
    <w:qFormat/>
    <w:rsid w:val="006F2F3D"/>
    <w:pPr>
      <w:spacing w:before="160" w:after="120"/>
      <w:outlineLvl w:val="3"/>
    </w:pPr>
    <w:rPr>
      <w:sz w:val="22"/>
    </w:rPr>
  </w:style>
  <w:style w:type="paragraph" w:styleId="Heading5">
    <w:name w:val="heading 5"/>
    <w:basedOn w:val="HeadingBase"/>
    <w:next w:val="Normal"/>
    <w:link w:val="Heading5Char"/>
    <w:qFormat/>
    <w:rsid w:val="006F2F3D"/>
    <w:pPr>
      <w:spacing w:before="80"/>
      <w:outlineLvl w:val="4"/>
    </w:pPr>
    <w:rPr>
      <w:color w:val="918585"/>
      <w:sz w:val="20"/>
    </w:rPr>
  </w:style>
  <w:style w:type="paragraph" w:styleId="Heading6">
    <w:name w:val="heading 6"/>
    <w:basedOn w:val="HeadingBase"/>
    <w:next w:val="Normal"/>
    <w:link w:val="Heading6Char"/>
    <w:qFormat/>
    <w:rsid w:val="006F2F3D"/>
    <w:pPr>
      <w:spacing w:before="60"/>
      <w:outlineLvl w:val="5"/>
    </w:pPr>
    <w:rPr>
      <w:color w:val="918585"/>
      <w:sz w:val="20"/>
    </w:rPr>
  </w:style>
  <w:style w:type="paragraph" w:styleId="Heading7">
    <w:name w:val="heading 7"/>
    <w:basedOn w:val="Normal"/>
    <w:next w:val="Normal"/>
    <w:link w:val="Heading7Char"/>
    <w:qFormat/>
    <w:rsid w:val="006F2F3D"/>
    <w:pPr>
      <w:ind w:left="720"/>
      <w:outlineLvl w:val="6"/>
    </w:pPr>
    <w:rPr>
      <w:i/>
    </w:rPr>
  </w:style>
  <w:style w:type="paragraph" w:styleId="Heading8">
    <w:name w:val="heading 8"/>
    <w:basedOn w:val="Normal"/>
    <w:next w:val="Normal"/>
    <w:link w:val="Heading8Char"/>
    <w:qFormat/>
    <w:rsid w:val="006F2F3D"/>
    <w:pPr>
      <w:ind w:left="720"/>
      <w:outlineLvl w:val="7"/>
    </w:pPr>
    <w:rPr>
      <w:i/>
    </w:rPr>
  </w:style>
  <w:style w:type="paragraph" w:styleId="Heading9">
    <w:name w:val="heading 9"/>
    <w:basedOn w:val="Normal"/>
    <w:next w:val="Normal"/>
    <w:link w:val="Heading9Char"/>
    <w:qFormat/>
    <w:rsid w:val="006F2F3D"/>
    <w:pPr>
      <w:ind w:left="720"/>
      <w:outlineLvl w:val="8"/>
    </w:pPr>
    <w:rPr>
      <w:i/>
    </w:rPr>
  </w:style>
  <w:style w:type="character" w:default="1" w:styleId="DefaultParagraphFont">
    <w:name w:val="Default Paragraph Font"/>
    <w:uiPriority w:val="1"/>
    <w:unhideWhenUsed/>
    <w:rsid w:val="006F2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F3D"/>
  </w:style>
  <w:style w:type="character" w:customStyle="1" w:styleId="Heading1Char">
    <w:name w:val="Heading 1 Char"/>
    <w:basedOn w:val="DefaultParagraphFont"/>
    <w:link w:val="Heading1"/>
    <w:rsid w:val="006F2F3D"/>
    <w:rPr>
      <w:rFonts w:ascii="Times New Roman" w:eastAsia="Times New Roman" w:hAnsi="Times New Roman" w:cs="Times New Roman"/>
      <w:b/>
      <w:sz w:val="32"/>
      <w:szCs w:val="20"/>
      <w:lang w:eastAsia="en-US"/>
    </w:rPr>
  </w:style>
  <w:style w:type="paragraph" w:styleId="BodyText">
    <w:name w:val="Body Text"/>
    <w:basedOn w:val="Normal"/>
    <w:link w:val="BodyTextChar"/>
    <w:rsid w:val="006F2F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F3D"/>
    <w:rPr>
      <w:rFonts w:ascii="Times New Roman" w:eastAsia="Times New Roman" w:hAnsi="Times New Roman" w:cs="Times New Roman"/>
      <w:sz w:val="24"/>
      <w:lang w:val="en-US" w:eastAsia="en-US"/>
    </w:rPr>
  </w:style>
  <w:style w:type="paragraph" w:styleId="Footer">
    <w:name w:val="footer"/>
    <w:basedOn w:val="Normal"/>
    <w:link w:val="FooterChar"/>
    <w:rsid w:val="006F2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F3D"/>
    <w:rPr>
      <w:rFonts w:ascii="Times New Roman" w:eastAsia="Times New Roman" w:hAnsi="Times New Roman" w:cs="Times New Roman"/>
      <w:sz w:val="16"/>
      <w:lang w:val="en-US" w:eastAsia="en-US"/>
    </w:rPr>
  </w:style>
  <w:style w:type="paragraph" w:styleId="List">
    <w:name w:val="List"/>
    <w:basedOn w:val="BodyText"/>
    <w:next w:val="BodyText"/>
    <w:rsid w:val="006F2F3D"/>
    <w:pPr>
      <w:tabs>
        <w:tab w:val="left" w:pos="340"/>
      </w:tabs>
      <w:spacing w:before="60" w:after="60"/>
      <w:ind w:left="340" w:hanging="340"/>
    </w:pPr>
  </w:style>
  <w:style w:type="paragraph" w:styleId="ListBullet">
    <w:name w:val="List Bullet"/>
    <w:basedOn w:val="List"/>
    <w:rsid w:val="006F2F3D"/>
    <w:pPr>
      <w:numPr>
        <w:numId w:val="12"/>
      </w:numPr>
      <w:tabs>
        <w:tab w:val="clear" w:pos="340"/>
      </w:tabs>
      <w:spacing w:before="40" w:after="40"/>
    </w:pPr>
  </w:style>
  <w:style w:type="character" w:customStyle="1" w:styleId="SpecialBold">
    <w:name w:val="Special Bold"/>
    <w:basedOn w:val="DefaultParagraphFont"/>
    <w:rsid w:val="006F2F3D"/>
    <w:rPr>
      <w:b/>
      <w:spacing w:val="0"/>
    </w:rPr>
  </w:style>
  <w:style w:type="paragraph" w:styleId="Header">
    <w:name w:val="header"/>
    <w:basedOn w:val="Normal"/>
    <w:link w:val="HeaderChar"/>
    <w:rsid w:val="006F2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F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2F3D"/>
    <w:pPr>
      <w:spacing w:before="240" w:after="120"/>
      <w:outlineLvl w:val="0"/>
    </w:pPr>
    <w:rPr>
      <w:rFonts w:ascii="Times New Roman" w:hAnsi="Times New Roman"/>
      <w:b/>
      <w:sz w:val="28"/>
    </w:rPr>
  </w:style>
  <w:style w:type="paragraph" w:customStyle="1" w:styleId="AllowPageBreak">
    <w:name w:val="AllowPageBreak"/>
    <w:rsid w:val="006F2F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2F3D"/>
    <w:pPr>
      <w:tabs>
        <w:tab w:val="left" w:pos="680"/>
      </w:tabs>
      <w:spacing w:before="60" w:after="60"/>
      <w:ind w:left="680" w:hanging="340"/>
    </w:pPr>
  </w:style>
  <w:style w:type="character" w:customStyle="1" w:styleId="Heading2Char">
    <w:name w:val="Heading 2 Char"/>
    <w:basedOn w:val="DefaultParagraphFont"/>
    <w:link w:val="Heading2"/>
    <w:rsid w:val="006F2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F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2F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2F3D"/>
    <w:rPr>
      <w:rFonts w:ascii="Courier New" w:eastAsia="Times New Roman" w:hAnsi="Courier New" w:cs="Times New Roman"/>
      <w:i/>
      <w:szCs w:val="20"/>
      <w:lang w:val="en-US" w:eastAsia="en-US"/>
    </w:rPr>
  </w:style>
  <w:style w:type="paragraph" w:customStyle="1" w:styleId="HeadingBase">
    <w:name w:val="Heading Base"/>
    <w:rsid w:val="006F2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F3D"/>
    <w:pPr>
      <w:tabs>
        <w:tab w:val="right" w:leader="dot" w:pos="9072"/>
      </w:tabs>
      <w:ind w:left="567"/>
    </w:pPr>
    <w:rPr>
      <w:szCs w:val="22"/>
    </w:rPr>
  </w:style>
  <w:style w:type="paragraph" w:customStyle="1" w:styleId="TOCBase">
    <w:name w:val="TOC Base"/>
    <w:rsid w:val="006F2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F3D"/>
    <w:pPr>
      <w:tabs>
        <w:tab w:val="right" w:leader="dot" w:pos="9072"/>
      </w:tabs>
      <w:spacing w:before="40" w:after="40"/>
      <w:ind w:left="284"/>
    </w:pPr>
    <w:rPr>
      <w:rFonts w:ascii="Times New Roman" w:hAnsi="Times New Roman"/>
    </w:rPr>
  </w:style>
  <w:style w:type="paragraph" w:styleId="TOC1">
    <w:name w:val="toc 1"/>
    <w:basedOn w:val="TOCBase"/>
    <w:next w:val="Normal"/>
    <w:rsid w:val="006F2F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F3D"/>
    <w:pPr>
      <w:spacing w:before="5040"/>
      <w:jc w:val="center"/>
    </w:pPr>
    <w:rPr>
      <w:sz w:val="48"/>
      <w:szCs w:val="72"/>
      <w:lang w:val="en-US"/>
    </w:rPr>
  </w:style>
  <w:style w:type="character" w:customStyle="1" w:styleId="TitleChar">
    <w:name w:val="Title Char"/>
    <w:basedOn w:val="DefaultParagraphFont"/>
    <w:link w:val="Title"/>
    <w:rsid w:val="006F2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F3D"/>
    <w:pPr>
      <w:tabs>
        <w:tab w:val="left" w:pos="3600"/>
        <w:tab w:val="left" w:pos="3958"/>
      </w:tabs>
    </w:pPr>
  </w:style>
  <w:style w:type="paragraph" w:customStyle="1" w:styleId="Note">
    <w:name w:val="Note"/>
    <w:basedOn w:val="BodyText"/>
    <w:rsid w:val="006F2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F3D"/>
    <w:pPr>
      <w:framePr w:wrap="auto" w:hAnchor="text" w:y="6049"/>
    </w:pPr>
    <w:rPr>
      <w:color w:val="000000"/>
      <w:sz w:val="40"/>
    </w:rPr>
  </w:style>
  <w:style w:type="paragraph" w:customStyle="1" w:styleId="TOCTitle">
    <w:name w:val="TOCTitle"/>
    <w:basedOn w:val="Heading1"/>
    <w:rsid w:val="006F2F3D"/>
    <w:pPr>
      <w:spacing w:after="240"/>
      <w:jc w:val="center"/>
      <w:outlineLvl w:val="9"/>
    </w:pPr>
    <w:rPr>
      <w:caps/>
    </w:rPr>
  </w:style>
  <w:style w:type="paragraph" w:customStyle="1" w:styleId="Version">
    <w:name w:val="Version"/>
    <w:rsid w:val="006F2F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F3D"/>
    <w:pPr>
      <w:numPr>
        <w:numId w:val="13"/>
      </w:numPr>
      <w:tabs>
        <w:tab w:val="clear" w:pos="680"/>
      </w:tabs>
    </w:pPr>
  </w:style>
  <w:style w:type="paragraph" w:styleId="Index1">
    <w:name w:val="index 1"/>
    <w:basedOn w:val="Normal"/>
    <w:next w:val="Normal"/>
    <w:semiHidden/>
    <w:rsid w:val="006F2F3D"/>
    <w:pPr>
      <w:keepNext w:val="0"/>
      <w:tabs>
        <w:tab w:val="right" w:pos="4176"/>
      </w:tabs>
      <w:ind w:left="198" w:hanging="198"/>
    </w:pPr>
    <w:rPr>
      <w:rFonts w:ascii="Garamond" w:hAnsi="Garamond"/>
    </w:rPr>
  </w:style>
  <w:style w:type="paragraph" w:styleId="IndexHeading">
    <w:name w:val="index heading"/>
    <w:basedOn w:val="Normal"/>
    <w:next w:val="Index1"/>
    <w:semiHidden/>
    <w:rsid w:val="006F2F3D"/>
    <w:pPr>
      <w:spacing w:before="120" w:after="120"/>
    </w:pPr>
    <w:rPr>
      <w:rFonts w:ascii="Arial" w:hAnsi="Arial"/>
      <w:b/>
      <w:color w:val="918585"/>
      <w:sz w:val="24"/>
    </w:rPr>
  </w:style>
  <w:style w:type="paragraph" w:customStyle="1" w:styleId="Chapter">
    <w:name w:val="Chapter"/>
    <w:basedOn w:val="Normal"/>
    <w:rsid w:val="006F2F3D"/>
    <w:pPr>
      <w:spacing w:before="240"/>
    </w:pPr>
    <w:rPr>
      <w:rFonts w:ascii="Times New Roman" w:hAnsi="Times New Roman"/>
      <w:smallCaps/>
      <w:spacing w:val="80"/>
      <w:sz w:val="28"/>
    </w:rPr>
  </w:style>
  <w:style w:type="paragraph" w:customStyle="1" w:styleId="InChapter">
    <w:name w:val="InChapter"/>
    <w:basedOn w:val="Heading3"/>
    <w:rsid w:val="006F2F3D"/>
    <w:pPr>
      <w:spacing w:after="240"/>
      <w:outlineLvl w:val="9"/>
    </w:pPr>
    <w:rPr>
      <w:noProof/>
    </w:rPr>
  </w:style>
  <w:style w:type="paragraph" w:styleId="Index2">
    <w:name w:val="index 2"/>
    <w:basedOn w:val="Normal"/>
    <w:next w:val="Normal"/>
    <w:semiHidden/>
    <w:rsid w:val="006F2F3D"/>
    <w:pPr>
      <w:tabs>
        <w:tab w:val="right" w:pos="4176"/>
      </w:tabs>
      <w:ind w:left="568" w:hanging="284"/>
    </w:pPr>
    <w:rPr>
      <w:rFonts w:ascii="Garamond" w:hAnsi="Garamond"/>
    </w:rPr>
  </w:style>
  <w:style w:type="paragraph" w:customStyle="1" w:styleId="Byline">
    <w:name w:val="Byline"/>
    <w:rsid w:val="006F2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F3D"/>
    <w:pPr>
      <w:tabs>
        <w:tab w:val="clear" w:pos="3600"/>
        <w:tab w:val="clear" w:pos="3958"/>
      </w:tabs>
      <w:jc w:val="right"/>
    </w:pPr>
  </w:style>
  <w:style w:type="character" w:styleId="Emphasis">
    <w:name w:val="Emphasis"/>
    <w:basedOn w:val="DefaultParagraphFont"/>
    <w:qFormat/>
    <w:rsid w:val="006F2F3D"/>
    <w:rPr>
      <w:i/>
    </w:rPr>
  </w:style>
  <w:style w:type="paragraph" w:styleId="Caption">
    <w:name w:val="caption"/>
    <w:basedOn w:val="BodyText"/>
    <w:next w:val="Normal"/>
    <w:qFormat/>
    <w:rsid w:val="006F2F3D"/>
    <w:pPr>
      <w:framePr w:w="2268" w:hSpace="181" w:vSpace="181" w:wrap="around" w:vAnchor="text" w:hAnchor="page" w:x="1135" w:y="285" w:anchorLock="1"/>
    </w:pPr>
    <w:rPr>
      <w:i/>
    </w:rPr>
  </w:style>
  <w:style w:type="paragraph" w:customStyle="1" w:styleId="MiniTOCTitle">
    <w:name w:val="MiniTOCTitle"/>
    <w:basedOn w:val="Heading4"/>
    <w:rsid w:val="006F2F3D"/>
    <w:pPr>
      <w:spacing w:before="240"/>
      <w:outlineLvl w:val="9"/>
    </w:pPr>
    <w:rPr>
      <w:noProof/>
      <w:sz w:val="24"/>
    </w:rPr>
  </w:style>
  <w:style w:type="paragraph" w:customStyle="1" w:styleId="MiniTOCItem">
    <w:name w:val="MiniTOCItem"/>
    <w:basedOn w:val="ListBullet"/>
    <w:rsid w:val="006F2F3D"/>
    <w:pPr>
      <w:numPr>
        <w:numId w:val="0"/>
      </w:numPr>
      <w:tabs>
        <w:tab w:val="right" w:leader="dot" w:pos="6521"/>
      </w:tabs>
      <w:spacing w:before="0" w:after="0"/>
    </w:pPr>
  </w:style>
  <w:style w:type="paragraph" w:customStyle="1" w:styleId="TOFTitle">
    <w:name w:val="TOFTitle"/>
    <w:basedOn w:val="TOCTitle"/>
    <w:rsid w:val="006F2F3D"/>
  </w:style>
  <w:style w:type="paragraph" w:styleId="TableofFigures">
    <w:name w:val="table of figures"/>
    <w:basedOn w:val="Normal"/>
    <w:next w:val="Normal"/>
    <w:semiHidden/>
    <w:rsid w:val="006F2F3D"/>
    <w:pPr>
      <w:tabs>
        <w:tab w:val="right" w:leader="dot" w:pos="9072"/>
      </w:tabs>
      <w:ind w:left="970" w:hanging="403"/>
    </w:pPr>
    <w:rPr>
      <w:rFonts w:ascii="Times New Roman" w:hAnsi="Times New Roman"/>
      <w:b/>
    </w:rPr>
  </w:style>
  <w:style w:type="paragraph" w:styleId="ListNumber">
    <w:name w:val="List Number"/>
    <w:basedOn w:val="List"/>
    <w:rsid w:val="006F2F3D"/>
    <w:pPr>
      <w:numPr>
        <w:numId w:val="10"/>
      </w:numPr>
    </w:pPr>
  </w:style>
  <w:style w:type="character" w:customStyle="1" w:styleId="WingdingSymbols">
    <w:name w:val="Wingding Symbols"/>
    <w:rsid w:val="006F2F3D"/>
    <w:rPr>
      <w:rFonts w:ascii="Wingdings" w:hAnsi="Wingdings"/>
    </w:rPr>
  </w:style>
  <w:style w:type="paragraph" w:customStyle="1" w:styleId="TableHeading">
    <w:name w:val="Table Heading"/>
    <w:basedOn w:val="HeadingBase"/>
    <w:rsid w:val="006F2F3D"/>
    <w:pPr>
      <w:keepLines/>
      <w:pBdr>
        <w:bottom w:val="single" w:sz="6" w:space="1" w:color="918585"/>
      </w:pBdr>
      <w:spacing w:before="240"/>
    </w:pPr>
  </w:style>
  <w:style w:type="character" w:customStyle="1" w:styleId="HotSpot">
    <w:name w:val="HotSpot"/>
    <w:rsid w:val="006F2F3D"/>
    <w:rPr>
      <w:color w:val="0033CC"/>
      <w:u w:val="none"/>
    </w:rPr>
  </w:style>
  <w:style w:type="paragraph" w:customStyle="1" w:styleId="BodyTextRight">
    <w:name w:val="Body Text Right"/>
    <w:basedOn w:val="BodyText"/>
    <w:rsid w:val="006F2F3D"/>
    <w:pPr>
      <w:spacing w:before="0" w:after="0"/>
      <w:jc w:val="right"/>
    </w:pPr>
  </w:style>
  <w:style w:type="paragraph" w:styleId="Index3">
    <w:name w:val="index 3"/>
    <w:basedOn w:val="ListNumber2"/>
    <w:next w:val="Normal"/>
    <w:semiHidden/>
    <w:rsid w:val="006F2F3D"/>
    <w:pPr>
      <w:numPr>
        <w:numId w:val="0"/>
      </w:numPr>
      <w:tabs>
        <w:tab w:val="right" w:leader="dot" w:pos="4176"/>
      </w:tabs>
    </w:pPr>
  </w:style>
  <w:style w:type="paragraph" w:styleId="ListNumber2">
    <w:name w:val="List Number 2"/>
    <w:basedOn w:val="List2"/>
    <w:rsid w:val="006F2F3D"/>
    <w:pPr>
      <w:numPr>
        <w:numId w:val="9"/>
      </w:numPr>
      <w:tabs>
        <w:tab w:val="clear" w:pos="1060"/>
      </w:tabs>
    </w:pPr>
  </w:style>
  <w:style w:type="paragraph" w:customStyle="1" w:styleId="MarginNote">
    <w:name w:val="Margin Note"/>
    <w:basedOn w:val="BodyText"/>
    <w:rsid w:val="006F2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F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2F3D"/>
    <w:rPr>
      <w:sz w:val="32"/>
    </w:rPr>
  </w:style>
  <w:style w:type="paragraph" w:customStyle="1" w:styleId="HeadingProcedure">
    <w:name w:val="Heading Procedure"/>
    <w:basedOn w:val="HeadingBase"/>
    <w:next w:val="Normal"/>
    <w:rsid w:val="006F2F3D"/>
    <w:pPr>
      <w:tabs>
        <w:tab w:val="left" w:pos="0"/>
      </w:tabs>
      <w:spacing w:before="120" w:after="60"/>
    </w:pPr>
    <w:rPr>
      <w:i/>
      <w:color w:val="918585"/>
      <w:sz w:val="22"/>
    </w:rPr>
  </w:style>
  <w:style w:type="paragraph" w:customStyle="1" w:styleId="TableBodyText">
    <w:name w:val="Table Body Text"/>
    <w:basedOn w:val="BodyText"/>
    <w:rsid w:val="006F2F3D"/>
    <w:pPr>
      <w:spacing w:before="60" w:after="60"/>
    </w:pPr>
  </w:style>
  <w:style w:type="paragraph" w:styleId="ListContinue">
    <w:name w:val="List Continue"/>
    <w:basedOn w:val="List"/>
    <w:rsid w:val="006F2F3D"/>
    <w:pPr>
      <w:ind w:firstLine="0"/>
    </w:pPr>
  </w:style>
  <w:style w:type="paragraph" w:customStyle="1" w:styleId="ListNote">
    <w:name w:val="List Note"/>
    <w:basedOn w:val="List"/>
    <w:rsid w:val="006F2F3D"/>
    <w:pPr>
      <w:pBdr>
        <w:top w:val="single" w:sz="6" w:space="2" w:color="918585"/>
        <w:bottom w:val="single" w:sz="6" w:space="2" w:color="918585"/>
      </w:pBdr>
      <w:tabs>
        <w:tab w:val="left" w:pos="1021"/>
      </w:tabs>
      <w:ind w:firstLine="0"/>
    </w:pPr>
  </w:style>
  <w:style w:type="paragraph" w:customStyle="1" w:styleId="Warning">
    <w:name w:val="Warning"/>
    <w:basedOn w:val="BodyText"/>
    <w:rsid w:val="006F2F3D"/>
    <w:pPr>
      <w:shd w:val="clear" w:color="auto" w:fill="D9D9D9"/>
      <w:tabs>
        <w:tab w:val="left" w:pos="992"/>
      </w:tabs>
      <w:ind w:left="119" w:right="119"/>
    </w:pPr>
    <w:rPr>
      <w:sz w:val="20"/>
    </w:rPr>
  </w:style>
  <w:style w:type="paragraph" w:customStyle="1" w:styleId="MarginIcons">
    <w:name w:val="Margin Icons"/>
    <w:basedOn w:val="BodyText"/>
    <w:rsid w:val="006F2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F3D"/>
    <w:rPr>
      <w:rFonts w:ascii="Courier New" w:hAnsi="Courier New"/>
    </w:rPr>
  </w:style>
  <w:style w:type="paragraph" w:customStyle="1" w:styleId="NoteBullet">
    <w:name w:val="Note Bullet"/>
    <w:basedOn w:val="Note"/>
    <w:rsid w:val="006F2F3D"/>
    <w:pPr>
      <w:tabs>
        <w:tab w:val="clear" w:pos="680"/>
      </w:tabs>
      <w:spacing w:before="60" w:after="60"/>
    </w:pPr>
  </w:style>
  <w:style w:type="paragraph" w:customStyle="1" w:styleId="SubHeading2">
    <w:name w:val="SubHeading2"/>
    <w:basedOn w:val="HeadingBase"/>
    <w:rsid w:val="006F2F3D"/>
    <w:pPr>
      <w:spacing w:before="240" w:after="60"/>
    </w:pPr>
    <w:rPr>
      <w:sz w:val="20"/>
    </w:rPr>
  </w:style>
  <w:style w:type="paragraph" w:customStyle="1" w:styleId="SubHeading1">
    <w:name w:val="SubHeading1"/>
    <w:basedOn w:val="HeadingBase"/>
    <w:rsid w:val="006F2F3D"/>
    <w:pPr>
      <w:spacing w:before="240" w:after="60"/>
    </w:pPr>
    <w:rPr>
      <w:color w:val="918585"/>
      <w:sz w:val="22"/>
    </w:rPr>
  </w:style>
  <w:style w:type="paragraph" w:customStyle="1" w:styleId="SideHeading">
    <w:name w:val="Side Heading"/>
    <w:basedOn w:val="HeadingBase"/>
    <w:rsid w:val="006F2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F3D"/>
    <w:pPr>
      <w:tabs>
        <w:tab w:val="num" w:pos="360"/>
      </w:tabs>
    </w:pPr>
  </w:style>
  <w:style w:type="paragraph" w:styleId="PlainText">
    <w:name w:val="Plain Text"/>
    <w:basedOn w:val="Normal"/>
    <w:link w:val="PlainTextChar"/>
    <w:rsid w:val="006F2F3D"/>
    <w:rPr>
      <w:sz w:val="20"/>
    </w:rPr>
  </w:style>
  <w:style w:type="character" w:customStyle="1" w:styleId="PlainTextChar">
    <w:name w:val="Plain Text Char"/>
    <w:basedOn w:val="DefaultParagraphFont"/>
    <w:link w:val="PlainText"/>
    <w:rsid w:val="006F2F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2F3D"/>
    <w:rPr>
      <w:b/>
      <w:smallCaps/>
    </w:rPr>
  </w:style>
  <w:style w:type="paragraph" w:customStyle="1" w:styleId="TableListNumber">
    <w:name w:val="Table List Number"/>
    <w:basedOn w:val="ListNumber"/>
    <w:rsid w:val="006F2F3D"/>
    <w:pPr>
      <w:numPr>
        <w:numId w:val="0"/>
      </w:numPr>
    </w:pPr>
  </w:style>
  <w:style w:type="paragraph" w:styleId="TOC4">
    <w:name w:val="toc 4"/>
    <w:basedOn w:val="TOCBase"/>
    <w:next w:val="Normal"/>
    <w:semiHidden/>
    <w:rsid w:val="006F2F3D"/>
    <w:pPr>
      <w:tabs>
        <w:tab w:val="right" w:leader="dot" w:pos="9071"/>
      </w:tabs>
      <w:ind w:left="1701"/>
    </w:pPr>
  </w:style>
  <w:style w:type="paragraph" w:customStyle="1" w:styleId="ListAlpha">
    <w:name w:val="List Alpha"/>
    <w:basedOn w:val="List"/>
    <w:rsid w:val="006F2F3D"/>
    <w:pPr>
      <w:numPr>
        <w:numId w:val="8"/>
      </w:numPr>
    </w:pPr>
  </w:style>
  <w:style w:type="paragraph" w:customStyle="1" w:styleId="ListAlpha2">
    <w:name w:val="List Alpha 2"/>
    <w:basedOn w:val="List2"/>
    <w:rsid w:val="006F2F3D"/>
    <w:pPr>
      <w:numPr>
        <w:numId w:val="7"/>
      </w:numPr>
    </w:pPr>
  </w:style>
  <w:style w:type="paragraph" w:styleId="List3">
    <w:name w:val="List 3"/>
    <w:basedOn w:val="BodyText"/>
    <w:rsid w:val="006F2F3D"/>
    <w:pPr>
      <w:tabs>
        <w:tab w:val="left" w:pos="1021"/>
      </w:tabs>
      <w:spacing w:before="60" w:after="60"/>
      <w:ind w:left="1020" w:hanging="340"/>
    </w:pPr>
  </w:style>
  <w:style w:type="paragraph" w:styleId="List4">
    <w:name w:val="List 4"/>
    <w:basedOn w:val="BodyText"/>
    <w:rsid w:val="006F2F3D"/>
    <w:pPr>
      <w:tabs>
        <w:tab w:val="left" w:pos="1361"/>
      </w:tabs>
      <w:spacing w:before="60" w:after="60"/>
      <w:ind w:left="1361" w:hanging="340"/>
    </w:pPr>
  </w:style>
  <w:style w:type="paragraph" w:styleId="List5">
    <w:name w:val="List 5"/>
    <w:basedOn w:val="BodyText"/>
    <w:rsid w:val="006F2F3D"/>
    <w:pPr>
      <w:tabs>
        <w:tab w:val="left" w:pos="1701"/>
      </w:tabs>
      <w:spacing w:before="60" w:after="60"/>
      <w:ind w:left="1701" w:hanging="340"/>
    </w:pPr>
  </w:style>
  <w:style w:type="paragraph" w:styleId="ListBullet3">
    <w:name w:val="List Bullet 3"/>
    <w:basedOn w:val="List3"/>
    <w:rsid w:val="006F2F3D"/>
    <w:pPr>
      <w:numPr>
        <w:numId w:val="14"/>
      </w:numPr>
      <w:tabs>
        <w:tab w:val="clear" w:pos="1021"/>
      </w:tabs>
      <w:ind w:left="1037" w:hanging="357"/>
    </w:pPr>
  </w:style>
  <w:style w:type="paragraph" w:styleId="ListBullet4">
    <w:name w:val="List Bullet 4"/>
    <w:basedOn w:val="List4"/>
    <w:rsid w:val="006F2F3D"/>
    <w:pPr>
      <w:numPr>
        <w:numId w:val="2"/>
      </w:numPr>
    </w:pPr>
  </w:style>
  <w:style w:type="paragraph" w:styleId="ListBullet5">
    <w:name w:val="List Bullet 5"/>
    <w:basedOn w:val="List5"/>
    <w:rsid w:val="006F2F3D"/>
    <w:pPr>
      <w:numPr>
        <w:numId w:val="3"/>
      </w:numPr>
    </w:pPr>
  </w:style>
  <w:style w:type="paragraph" w:styleId="ListContinue2">
    <w:name w:val="List Continue 2"/>
    <w:basedOn w:val="List2"/>
    <w:rsid w:val="006F2F3D"/>
    <w:pPr>
      <w:ind w:firstLine="0"/>
    </w:pPr>
  </w:style>
  <w:style w:type="paragraph" w:styleId="ListContinue3">
    <w:name w:val="List Continue 3"/>
    <w:basedOn w:val="List3"/>
    <w:rsid w:val="006F2F3D"/>
    <w:pPr>
      <w:ind w:left="1021" w:firstLine="0"/>
    </w:pPr>
  </w:style>
  <w:style w:type="paragraph" w:styleId="ListContinue4">
    <w:name w:val="List Continue 4"/>
    <w:basedOn w:val="List4"/>
    <w:rsid w:val="006F2F3D"/>
    <w:pPr>
      <w:ind w:firstLine="0"/>
    </w:pPr>
  </w:style>
  <w:style w:type="paragraph" w:styleId="ListContinue5">
    <w:name w:val="List Continue 5"/>
    <w:basedOn w:val="List5"/>
    <w:rsid w:val="006F2F3D"/>
    <w:pPr>
      <w:ind w:firstLine="0"/>
    </w:pPr>
  </w:style>
  <w:style w:type="paragraph" w:styleId="ListNumber3">
    <w:name w:val="List Number 3"/>
    <w:basedOn w:val="List3"/>
    <w:rsid w:val="006F2F3D"/>
    <w:pPr>
      <w:numPr>
        <w:numId w:val="4"/>
      </w:numPr>
    </w:pPr>
  </w:style>
  <w:style w:type="paragraph" w:styleId="ListNumber4">
    <w:name w:val="List Number 4"/>
    <w:basedOn w:val="List4"/>
    <w:rsid w:val="006F2F3D"/>
    <w:pPr>
      <w:numPr>
        <w:numId w:val="5"/>
      </w:numPr>
    </w:pPr>
  </w:style>
  <w:style w:type="paragraph" w:styleId="ListNumber5">
    <w:name w:val="List Number 5"/>
    <w:basedOn w:val="List5"/>
    <w:rsid w:val="006F2F3D"/>
    <w:pPr>
      <w:numPr>
        <w:numId w:val="6"/>
      </w:numPr>
    </w:pPr>
  </w:style>
  <w:style w:type="paragraph" w:styleId="BlockText">
    <w:name w:val="Block Text"/>
    <w:basedOn w:val="Normal"/>
    <w:rsid w:val="006F2F3D"/>
    <w:pPr>
      <w:spacing w:after="120"/>
      <w:ind w:left="1440" w:right="1440"/>
    </w:pPr>
  </w:style>
  <w:style w:type="character" w:customStyle="1" w:styleId="Subscript">
    <w:name w:val="Subscript"/>
    <w:basedOn w:val="DefaultParagraphFont"/>
    <w:rsid w:val="006F2F3D"/>
    <w:rPr>
      <w:sz w:val="16"/>
      <w:vertAlign w:val="subscript"/>
    </w:rPr>
  </w:style>
  <w:style w:type="character" w:customStyle="1" w:styleId="Superscript">
    <w:name w:val="Superscript"/>
    <w:basedOn w:val="DefaultParagraphFont"/>
    <w:rsid w:val="006F2F3D"/>
    <w:rPr>
      <w:sz w:val="16"/>
      <w:vertAlign w:val="superscript"/>
    </w:rPr>
  </w:style>
  <w:style w:type="character" w:customStyle="1" w:styleId="Symbols">
    <w:name w:val="Symbols"/>
    <w:basedOn w:val="DefaultParagraphFont"/>
    <w:rsid w:val="006F2F3D"/>
    <w:rPr>
      <w:rFonts w:ascii="Symbol" w:hAnsi="Symbol"/>
    </w:rPr>
  </w:style>
  <w:style w:type="character" w:customStyle="1" w:styleId="MenuOptions">
    <w:name w:val="Menu Options"/>
    <w:basedOn w:val="DefaultParagraphFont"/>
    <w:rsid w:val="006F2F3D"/>
    <w:rPr>
      <w:rFonts w:ascii="Arial Narrow" w:hAnsi="Arial Narrow"/>
      <w:smallCaps/>
    </w:rPr>
  </w:style>
  <w:style w:type="character" w:customStyle="1" w:styleId="Buttons">
    <w:name w:val="Buttons"/>
    <w:basedOn w:val="DefaultParagraphFont"/>
    <w:rsid w:val="006F2F3D"/>
    <w:rPr>
      <w:b/>
    </w:rPr>
  </w:style>
  <w:style w:type="character" w:customStyle="1" w:styleId="Underlined">
    <w:name w:val="Underlined"/>
    <w:basedOn w:val="DefaultParagraphFont"/>
    <w:rsid w:val="006F2F3D"/>
    <w:rPr>
      <w:u w:val="single"/>
    </w:rPr>
  </w:style>
  <w:style w:type="paragraph" w:customStyle="1" w:styleId="TableBodyTextRight">
    <w:name w:val="Table Body Text Right"/>
    <w:basedOn w:val="TableBodyText"/>
    <w:rsid w:val="006F2F3D"/>
    <w:pPr>
      <w:widowControl w:val="0"/>
      <w:autoSpaceDE w:val="0"/>
      <w:autoSpaceDN w:val="0"/>
      <w:adjustRightInd w:val="0"/>
      <w:jc w:val="right"/>
    </w:pPr>
    <w:rPr>
      <w:rFonts w:cs="Arial"/>
      <w:szCs w:val="18"/>
    </w:rPr>
  </w:style>
  <w:style w:type="paragraph" w:customStyle="1" w:styleId="CopyrightText">
    <w:name w:val="Copyright Text"/>
    <w:basedOn w:val="BodyText"/>
    <w:rsid w:val="006F2F3D"/>
    <w:rPr>
      <w:sz w:val="18"/>
    </w:rPr>
  </w:style>
  <w:style w:type="paragraph" w:customStyle="1" w:styleId="BodySmallRight">
    <w:name w:val="Body Small Right"/>
    <w:basedOn w:val="BodyTextRight"/>
    <w:rsid w:val="006F2F3D"/>
    <w:rPr>
      <w:sz w:val="18"/>
      <w:szCs w:val="18"/>
    </w:rPr>
  </w:style>
  <w:style w:type="paragraph" w:customStyle="1" w:styleId="MarginEdition">
    <w:name w:val="Margin Edition"/>
    <w:basedOn w:val="MarginNote"/>
    <w:rsid w:val="006F2F3D"/>
    <w:pPr>
      <w:spacing w:before="0" w:after="0"/>
    </w:pPr>
    <w:rPr>
      <w:rFonts w:ascii="Times New Roman" w:hAnsi="Times New Roman"/>
      <w:color w:val="999999"/>
    </w:rPr>
  </w:style>
  <w:style w:type="paragraph" w:customStyle="1" w:styleId="Spacer">
    <w:name w:val="Spacer"/>
    <w:basedOn w:val="Normal"/>
    <w:rsid w:val="006F2F3D"/>
    <w:rPr>
      <w:sz w:val="2"/>
      <w:szCs w:val="2"/>
    </w:rPr>
  </w:style>
  <w:style w:type="character" w:customStyle="1" w:styleId="Small">
    <w:name w:val="Small"/>
    <w:basedOn w:val="DefaultParagraphFont"/>
    <w:rsid w:val="006F2F3D"/>
    <w:rPr>
      <w:sz w:val="16"/>
    </w:rPr>
  </w:style>
  <w:style w:type="paragraph" w:customStyle="1" w:styleId="WideTable">
    <w:name w:val="Wide Table"/>
    <w:basedOn w:val="Normal"/>
    <w:rsid w:val="006F2F3D"/>
    <w:pPr>
      <w:ind w:left="-1418"/>
    </w:pPr>
    <w:rPr>
      <w:sz w:val="2"/>
      <w:szCs w:val="2"/>
    </w:rPr>
  </w:style>
  <w:style w:type="character" w:styleId="PageNumber">
    <w:name w:val="page number"/>
    <w:basedOn w:val="DefaultParagraphFont"/>
    <w:rsid w:val="006F2F3D"/>
  </w:style>
  <w:style w:type="paragraph" w:styleId="Quote">
    <w:name w:val="Quote"/>
    <w:basedOn w:val="Heading1"/>
    <w:link w:val="QuoteChar"/>
    <w:qFormat/>
    <w:rsid w:val="006F2F3D"/>
    <w:rPr>
      <w:b w:val="0"/>
      <w:sz w:val="72"/>
      <w:szCs w:val="72"/>
      <w:lang w:val="en-NZ"/>
    </w:rPr>
  </w:style>
  <w:style w:type="character" w:customStyle="1" w:styleId="QuoteChar">
    <w:name w:val="Quote Char"/>
    <w:basedOn w:val="DefaultParagraphFont"/>
    <w:link w:val="Quote"/>
    <w:rsid w:val="006F2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F3D"/>
    <w:pPr>
      <w:pageBreakBefore/>
    </w:pPr>
  </w:style>
  <w:style w:type="paragraph" w:customStyle="1" w:styleId="Border">
    <w:name w:val="Border"/>
    <w:basedOn w:val="Normal"/>
    <w:qFormat/>
    <w:rsid w:val="006F2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F3D"/>
    <w:rPr>
      <w:b/>
      <w:bCs/>
      <w:i/>
      <w:iCs/>
      <w:color w:val="auto"/>
    </w:rPr>
  </w:style>
  <w:style w:type="paragraph" w:styleId="IntenseQuote">
    <w:name w:val="Intense Quote"/>
    <w:basedOn w:val="Normal"/>
    <w:next w:val="Normal"/>
    <w:link w:val="IntenseQuoteChar"/>
    <w:uiPriority w:val="30"/>
    <w:qFormat/>
    <w:rsid w:val="006F2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F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2F3D"/>
    <w:rPr>
      <w:smallCaps/>
      <w:color w:val="auto"/>
      <w:u w:val="single"/>
    </w:rPr>
  </w:style>
  <w:style w:type="character" w:styleId="IntenseReference">
    <w:name w:val="Intense Reference"/>
    <w:basedOn w:val="DefaultParagraphFont"/>
    <w:uiPriority w:val="32"/>
    <w:qFormat/>
    <w:rsid w:val="006F2F3D"/>
    <w:rPr>
      <w:b/>
      <w:bCs/>
      <w:smallCaps/>
      <w:color w:val="auto"/>
      <w:spacing w:val="5"/>
      <w:u w:val="single"/>
    </w:rPr>
  </w:style>
  <w:style w:type="paragraph" w:customStyle="1" w:styleId="2ColumnHeading">
    <w:name w:val="2Column Heading"/>
    <w:basedOn w:val="BodyText"/>
    <w:qFormat/>
    <w:rsid w:val="006F2F3D"/>
    <w:pPr>
      <w:spacing w:after="60"/>
      <w:ind w:left="-2268"/>
    </w:pPr>
    <w:rPr>
      <w:b/>
    </w:rPr>
  </w:style>
  <w:style w:type="paragraph" w:customStyle="1" w:styleId="Heading1TOC">
    <w:name w:val="Heading1 TOC"/>
    <w:basedOn w:val="Normal"/>
    <w:qFormat/>
    <w:rsid w:val="006F2F3D"/>
    <w:pPr>
      <w:spacing w:before="240" w:after="120"/>
    </w:pPr>
    <w:rPr>
      <w:rFonts w:ascii="Times New Roman" w:hAnsi="Times New Roman"/>
      <w:b/>
      <w:sz w:val="32"/>
    </w:rPr>
  </w:style>
  <w:style w:type="paragraph" w:customStyle="1" w:styleId="Heading2TOC">
    <w:name w:val="Heading2 TOC"/>
    <w:basedOn w:val="Normal"/>
    <w:qFormat/>
    <w:rsid w:val="006F2F3D"/>
    <w:pPr>
      <w:spacing w:before="240" w:after="60"/>
    </w:pPr>
    <w:rPr>
      <w:rFonts w:ascii="Times New Roman" w:hAnsi="Times New Roman"/>
      <w:b/>
      <w:sz w:val="28"/>
    </w:rPr>
  </w:style>
  <w:style w:type="character" w:customStyle="1" w:styleId="Underline">
    <w:name w:val="Underline"/>
    <w:basedOn w:val="DefaultParagraphFont"/>
    <w:qFormat/>
    <w:rsid w:val="006F2F3D"/>
    <w:rPr>
      <w:u w:val="single"/>
    </w:rPr>
  </w:style>
  <w:style w:type="character" w:customStyle="1" w:styleId="BoldandItalics">
    <w:name w:val="Bold and Italics"/>
    <w:qFormat/>
    <w:rsid w:val="006F2F3D"/>
    <w:rPr>
      <w:b/>
      <w:i/>
      <w:u w:val="none"/>
    </w:rPr>
  </w:style>
  <w:style w:type="paragraph" w:styleId="BalloonText">
    <w:name w:val="Balloon Text"/>
    <w:basedOn w:val="Normal"/>
    <w:link w:val="BalloonTextChar"/>
    <w:rsid w:val="006F2F3D"/>
    <w:rPr>
      <w:rFonts w:ascii="Tahoma" w:hAnsi="Tahoma" w:cs="Tahoma"/>
      <w:sz w:val="16"/>
      <w:szCs w:val="16"/>
    </w:rPr>
  </w:style>
  <w:style w:type="character" w:customStyle="1" w:styleId="BalloonTextChar">
    <w:name w:val="Balloon Text Char"/>
    <w:basedOn w:val="DefaultParagraphFont"/>
    <w:link w:val="BalloonText"/>
    <w:rsid w:val="006F2F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2F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F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824</Words>
  <Characters>5071</Characters>
  <Application>Microsoft Office Word</Application>
  <DocSecurity>0</DocSecurity>
  <Lines>196</Lines>
  <Paragraphs>83</Paragraphs>
  <ScaleCrop>false</ScaleCrop>
  <Company>Author-it Software Corporation Ltd.</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MEM11011B Undertake manual handling</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2012-05-27T01:42:00Z</dcterms:created>
  <dcterms:modified xsi:type="dcterms:W3CDTF">2012-05-27T01:42:00Z</dcterms:modified>
</cp:coreProperties>
</file>