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6F3" w:rsidP="00D736F3">
      <w:pPr>
        <w:pStyle w:val="Title"/>
      </w:pPr>
      <w:r>
        <w:fldChar w:fldCharType="begin"/>
      </w:r>
      <w:r>
        <w:instrText xml:space="preserve"> TITLE   \* MERGEFORMAT </w:instrText>
      </w:r>
      <w:r>
        <w:fldChar w:fldCharType="separate"/>
      </w:r>
      <w:r>
        <w:t>MEM11008B Package materials (stores and warehouse)</w:t>
      </w:r>
      <w:r>
        <w:fldChar w:fldCharType="end"/>
      </w:r>
    </w:p>
    <w:p w:rsidR="00D736F3" w:rsidP="00D736F3">
      <w:pPr>
        <w:pStyle w:val="Version"/>
        <w:sectPr w:rsidSect="00FC0A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A7D" w:rsidP="00FC0A7D">
      <w:pPr>
        <w:pStyle w:val="SuperHeading"/>
      </w:pPr>
      <w:r w:rsidRPr="00FC0A7D">
        <w:t>MEM11008B Package materials (stores and warehouse)</w:t>
      </w:r>
    </w:p>
    <w:p w:rsidR="00000000" w:rsidRPr="00FC0A7D" w:rsidP="00FC0A7D">
      <w:pPr>
        <w:pStyle w:val="Heading1"/>
      </w:pPr>
      <w:bookmarkStart w:id="1" w:name="O_272138"/>
      <w:bookmarkEnd w:id="1"/>
      <w:r w:rsidRPr="00FC0A7D">
        <w:t>Modification History</w:t>
      </w:r>
    </w:p>
    <w:p w:rsidR="00000000" w:rsidRPr="00FC0A7D" w:rsidP="00FC0A7D">
      <w:pPr>
        <w:pStyle w:val="BodyText"/>
      </w:pPr>
      <w:r w:rsidRPr="00FC0A7D">
        <w:t>Not Applicable</w:t>
      </w:r>
    </w:p>
    <w:p w:rsidR="00000000" w:rsidRPr="00FC0A7D" w:rsidP="00FC0A7D">
      <w:pPr>
        <w:pStyle w:val="AllowPageBreak"/>
      </w:pPr>
    </w:p>
    <w:p w:rsidR="00000000" w:rsidRPr="00FC0A7D" w:rsidP="00FC0A7D">
      <w:pPr>
        <w:pStyle w:val="Heading1"/>
      </w:pPr>
      <w:bookmarkStart w:id="2" w:name="O_211404"/>
      <w:bookmarkEnd w:id="2"/>
      <w:r w:rsidRPr="00FC0A7D">
        <w:t>Unit Descriptor</w:t>
      </w:r>
    </w:p>
    <w:tbl>
      <w:tblPr>
        <w:tblW w:w="0" w:type="auto"/>
        <w:tblLayout w:type="fixed"/>
        <w:tblCellMar>
          <w:left w:w="62" w:type="dxa"/>
          <w:right w:w="62" w:type="dxa"/>
        </w:tblCellMar>
        <w:tblLook w:val="0000"/>
      </w:tblPr>
      <w:tblGrid>
        <w:gridCol w:w="2668"/>
        <w:gridCol w:w="5854"/>
      </w:tblGrid>
      <w:tr w:rsidTr="00D736F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r w:rsidRPr="00FC0A7D">
              <w:t>This unit covers determining packaging requirements, packaging and labelling items in a stores and wa</w:t>
            </w:r>
            <w:r w:rsidRPr="00FC0A7D">
              <w:t>rehousing environment.</w:t>
            </w:r>
          </w:p>
        </w:tc>
      </w:tr>
    </w:tbl>
    <w:p w:rsidR="00D736F3" w:rsidP="00FC0A7D">
      <w:pPr>
        <w:pStyle w:val="BodyText"/>
      </w:pPr>
    </w:p>
    <w:p w:rsidR="00D736F3" w:rsidP="00FC0A7D">
      <w:pPr>
        <w:pStyle w:val="BodyText"/>
      </w:pPr>
    </w:p>
    <w:p w:rsidR="00000000" w:rsidRPr="00FC0A7D" w:rsidP="00FC0A7D">
      <w:pPr>
        <w:pStyle w:val="Heading1"/>
      </w:pPr>
      <w:bookmarkStart w:id="3" w:name="O_211408"/>
      <w:bookmarkEnd w:id="3"/>
      <w:r w:rsidRPr="00FC0A7D">
        <w:t>Application of the Unit</w:t>
      </w:r>
    </w:p>
    <w:tbl>
      <w:tblPr>
        <w:tblW w:w="0" w:type="auto"/>
        <w:tblLayout w:type="fixed"/>
        <w:tblCellMar>
          <w:left w:w="62" w:type="dxa"/>
          <w:right w:w="62" w:type="dxa"/>
        </w:tblCellMar>
        <w:tblLook w:val="0000"/>
      </w:tblPr>
      <w:tblGrid>
        <w:gridCol w:w="2745"/>
        <w:gridCol w:w="5777"/>
      </w:tblGrid>
      <w:tr w:rsidTr="00D736F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r w:rsidRPr="00FC0A7D">
              <w:t xml:space="preserve">This unit applies to determining appropriate packaging and includes stacking, storage, weight, size, material type and expected life and transport </w:t>
            </w:r>
            <w:r w:rsidRPr="00FC0A7D">
              <w:t xml:space="preserve">requirements. Packaging includes sequenced packaging and point of pick up packaging, packaging materials and methods. </w:t>
            </w:r>
          </w:p>
          <w:p w:rsidR="00000000" w:rsidRPr="00FC0A7D" w:rsidP="00FC0A7D">
            <w:pPr>
              <w:pStyle w:val="BodyText"/>
            </w:pPr>
            <w:r w:rsidRPr="00FC0A7D">
              <w:t>Competencies covered by this unit are typically performed in a store or warehouse and often relate to receive or dispatch functions.</w:t>
            </w:r>
          </w:p>
          <w:p w:rsidR="00000000" w:rsidRPr="00FC0A7D" w:rsidP="00FC0A7D">
            <w:pPr>
              <w:pStyle w:val="BodyText"/>
            </w:pPr>
          </w:p>
          <w:p w:rsidR="00000000" w:rsidRPr="00FC0A7D" w:rsidP="00FC0A7D">
            <w:pPr>
              <w:pStyle w:val="BodyText"/>
            </w:pPr>
            <w:r w:rsidRPr="00FC0A7D">
              <w:rPr>
                <w:rStyle w:val="SpecialBold"/>
              </w:rPr>
              <w:t>Ban</w:t>
            </w:r>
            <w:r w:rsidRPr="00FC0A7D">
              <w:rPr>
                <w:rStyle w:val="SpecialBold"/>
              </w:rPr>
              <w:t>d</w:t>
            </w:r>
            <w:r w:rsidRPr="00FC0A7D">
              <w:t>:</w:t>
            </w:r>
            <w:r w:rsidRPr="00FC0A7D">
              <w:tab/>
            </w:r>
            <w:r w:rsidRPr="00FC0A7D">
              <w:rPr>
                <w:rStyle w:val="SpecialBold"/>
              </w:rPr>
              <w:t>A</w:t>
            </w:r>
          </w:p>
          <w:p w:rsidR="00000000" w:rsidRPr="00FC0A7D" w:rsidP="00FC0A7D">
            <w:pPr>
              <w:pStyle w:val="BodyText"/>
            </w:pPr>
            <w:r w:rsidRPr="00FC0A7D">
              <w:rPr>
                <w:rStyle w:val="SpecialBold"/>
              </w:rPr>
              <w:t>Unit Weight</w:t>
            </w:r>
            <w:r w:rsidRPr="00FC0A7D">
              <w:t>:</w:t>
            </w:r>
            <w:r w:rsidRPr="00FC0A7D">
              <w:tab/>
            </w:r>
            <w:r w:rsidRPr="00FC0A7D">
              <w:rPr>
                <w:rStyle w:val="SpecialBold"/>
              </w:rPr>
              <w:t>2</w:t>
            </w:r>
          </w:p>
        </w:tc>
      </w:tr>
    </w:tbl>
    <w:p w:rsidR="00D736F3" w:rsidP="00FC0A7D">
      <w:pPr>
        <w:pStyle w:val="BodyText"/>
      </w:pPr>
    </w:p>
    <w:p w:rsidR="00D736F3" w:rsidP="00FC0A7D">
      <w:pPr>
        <w:pStyle w:val="BodyText"/>
      </w:pPr>
    </w:p>
    <w:p w:rsidR="00000000" w:rsidRPr="00FC0A7D" w:rsidP="00FC0A7D">
      <w:pPr>
        <w:pStyle w:val="Heading1"/>
      </w:pPr>
      <w:bookmarkStart w:id="4" w:name="O_280398"/>
      <w:bookmarkEnd w:id="4"/>
      <w:r w:rsidRPr="00FC0A7D">
        <w:t>Licensing/Regulatory Information</w:t>
      </w:r>
    </w:p>
    <w:p w:rsidR="00000000" w:rsidRPr="00FC0A7D" w:rsidP="00FC0A7D">
      <w:pPr>
        <w:pStyle w:val="BodyText"/>
      </w:pPr>
      <w:r w:rsidRPr="00FC0A7D">
        <w:t>Not Applicable</w:t>
      </w:r>
    </w:p>
    <w:p w:rsidR="00000000" w:rsidRPr="00FC0A7D" w:rsidP="00FC0A7D">
      <w:pPr>
        <w:pStyle w:val="AllowPageBreak"/>
      </w:pPr>
    </w:p>
    <w:p w:rsidR="00000000" w:rsidRPr="00FC0A7D" w:rsidP="00FC0A7D">
      <w:pPr>
        <w:pStyle w:val="Heading1"/>
      </w:pPr>
      <w:bookmarkStart w:id="5" w:name="O_211406"/>
      <w:bookmarkEnd w:id="5"/>
      <w:r w:rsidRPr="00FC0A7D">
        <w:t>Pre-Requisites</w:t>
      </w:r>
    </w:p>
    <w:tbl>
      <w:tblPr>
        <w:tblW w:w="0" w:type="auto"/>
        <w:tblLayout w:type="fixed"/>
        <w:tblCellMar>
          <w:left w:w="62" w:type="dxa"/>
          <w:right w:w="62" w:type="dxa"/>
        </w:tblCellMar>
        <w:tblLook w:val="0000"/>
      </w:tblPr>
      <w:tblGrid>
        <w:gridCol w:w="2775"/>
        <w:gridCol w:w="1295"/>
        <w:gridCol w:w="4452"/>
      </w:tblGrid>
      <w:tr w:rsidTr="00D736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p>
        </w:tc>
      </w:tr>
      <w:tr w:rsidTr="00D736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p>
        </w:tc>
      </w:tr>
      <w:tr w:rsidTr="00D736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p>
        </w:tc>
      </w:tr>
    </w:tbl>
    <w:p w:rsidR="00D736F3" w:rsidP="00FC0A7D">
      <w:pPr>
        <w:pStyle w:val="BodyText"/>
      </w:pPr>
    </w:p>
    <w:p w:rsidR="00D736F3" w:rsidP="00FC0A7D">
      <w:pPr>
        <w:pStyle w:val="BodyText"/>
      </w:pPr>
    </w:p>
    <w:p w:rsidR="00000000" w:rsidRPr="00FC0A7D" w:rsidP="00FC0A7D">
      <w:pPr>
        <w:pStyle w:val="Heading1"/>
      </w:pPr>
      <w:bookmarkStart w:id="6" w:name="O_211405"/>
      <w:bookmarkEnd w:id="6"/>
      <w:r w:rsidRPr="00FC0A7D">
        <w:t>Employability Skills Information</w:t>
      </w:r>
    </w:p>
    <w:tbl>
      <w:tblPr>
        <w:tblW w:w="0" w:type="auto"/>
        <w:tblLayout w:type="fixed"/>
        <w:tblCellMar>
          <w:left w:w="62" w:type="dxa"/>
          <w:right w:w="62" w:type="dxa"/>
        </w:tblCellMar>
        <w:tblLook w:val="0000"/>
      </w:tblPr>
      <w:tblGrid>
        <w:gridCol w:w="2802"/>
        <w:gridCol w:w="5720"/>
      </w:tblGrid>
      <w:tr w:rsidTr="00D736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r w:rsidRPr="00FC0A7D">
              <w:t>This unit contains employa</w:t>
            </w:r>
            <w:r w:rsidRPr="00FC0A7D">
              <w:t>bility skills.</w:t>
            </w:r>
          </w:p>
        </w:tc>
      </w:tr>
    </w:tbl>
    <w:p w:rsidR="00D736F3" w:rsidP="00FC0A7D">
      <w:pPr>
        <w:pStyle w:val="BodyText"/>
      </w:pPr>
    </w:p>
    <w:p w:rsidR="00D736F3" w:rsidP="00FC0A7D">
      <w:pPr>
        <w:pStyle w:val="BodyText"/>
      </w:pPr>
    </w:p>
    <w:p w:rsidR="00000000" w:rsidRPr="00FC0A7D" w:rsidP="00FC0A7D">
      <w:pPr>
        <w:pStyle w:val="Heading1"/>
      </w:pPr>
      <w:bookmarkStart w:id="7" w:name="O_290184"/>
      <w:bookmarkEnd w:id="7"/>
      <w:r w:rsidRPr="00FC0A7D">
        <w:t>Elements and Performance Criteria Pre-Content</w:t>
      </w:r>
    </w:p>
    <w:tbl>
      <w:tblPr>
        <w:tblW w:w="0" w:type="auto"/>
        <w:tblLayout w:type="fixed"/>
        <w:tblCellMar>
          <w:left w:w="62" w:type="dxa"/>
          <w:right w:w="62" w:type="dxa"/>
        </w:tblCellMar>
        <w:tblLook w:val="0000"/>
      </w:tblPr>
      <w:tblGrid>
        <w:gridCol w:w="2583"/>
        <w:gridCol w:w="5939"/>
      </w:tblGrid>
      <w:tr w:rsidTr="00D736F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r w:rsidRPr="00FC0A7D">
              <w:t>Performance criteria describe the performance needed to demonstrate achievement of the element. Where bold it</w:t>
            </w:r>
            <w:r w:rsidRPr="00FC0A7D">
              <w:t>alicised text is used, further information is detailed in the required skills and knowledge section and the range statement. Assessment of performance is to be consistent with the evidence guide.</w:t>
            </w:r>
          </w:p>
        </w:tc>
      </w:tr>
    </w:tbl>
    <w:p w:rsidR="00000000" w:rsidRPr="00FC0A7D" w:rsidP="00FC0A7D">
      <w:pPr>
        <w:pStyle w:val="BodyText"/>
      </w:pPr>
    </w:p>
    <w:p w:rsidR="00000000" w:rsidRPr="00FC0A7D" w:rsidP="00FC0A7D">
      <w:pPr>
        <w:pStyle w:val="AllowPageBreak"/>
      </w:pPr>
    </w:p>
    <w:p w:rsidR="00000000" w:rsidRPr="00FC0A7D" w:rsidP="00FC0A7D">
      <w:pPr>
        <w:pStyle w:val="Heading1"/>
      </w:pPr>
      <w:bookmarkStart w:id="8" w:name="O_236851"/>
      <w:bookmarkEnd w:id="8"/>
      <w:r w:rsidRPr="00FC0A7D">
        <w:t>Elements and Performance Criteria</w:t>
      </w:r>
    </w:p>
    <w:tbl>
      <w:tblPr>
        <w:tblW w:w="0" w:type="auto"/>
        <w:tblLayout w:type="fixed"/>
        <w:tblCellMar>
          <w:left w:w="62" w:type="dxa"/>
          <w:right w:w="62" w:type="dxa"/>
        </w:tblCellMar>
        <w:tblLook w:val="0000"/>
      </w:tblPr>
      <w:tblGrid>
        <w:gridCol w:w="2583"/>
        <w:gridCol w:w="5939"/>
      </w:tblGrid>
      <w:tr w:rsidTr="00D736F3">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r w:rsidRPr="00FC0A7D">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PERFORMANCE CRITERIA</w:t>
            </w:r>
          </w:p>
        </w:tc>
      </w:tr>
      <w:tr w:rsidTr="00D736F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List"/>
              <w:rPr>
                <w:lang w:val="en-NZ"/>
              </w:rPr>
            </w:pPr>
            <w:r w:rsidRPr="00FC0A7D">
              <w:t>1.</w:t>
            </w:r>
            <w:r w:rsidRPr="00FC0A7D">
              <w:tab/>
              <w:t>Determine packaging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List2"/>
            </w:pPr>
            <w:r w:rsidRPr="00FC0A7D">
              <w:t>1.1.</w:t>
            </w:r>
            <w:r w:rsidRPr="00FC0A7D">
              <w:tab/>
              <w:t>Safety or special packaging requirements are determined.</w:t>
            </w:r>
          </w:p>
          <w:p w:rsidR="00000000" w:rsidRPr="00FC0A7D" w:rsidP="00FC0A7D">
            <w:pPr>
              <w:pStyle w:val="List2"/>
            </w:pPr>
            <w:r w:rsidRPr="00FC0A7D">
              <w:t>1.2.</w:t>
            </w:r>
            <w:r w:rsidRPr="00FC0A7D">
              <w:tab/>
              <w:t>Storage requirements to meet safety, storage conditions, site and legislative requirements are determined.</w:t>
            </w:r>
          </w:p>
          <w:p w:rsidR="00000000" w:rsidP="00FC0A7D">
            <w:pPr>
              <w:pStyle w:val="List2"/>
              <w:rPr>
                <w:lang w:val="en-NZ"/>
              </w:rPr>
            </w:pPr>
            <w:r w:rsidRPr="00FC0A7D">
              <w:t>1.3.</w:t>
            </w:r>
            <w:r w:rsidRPr="00FC0A7D">
              <w:tab/>
              <w:t>Transport and stor</w:t>
            </w:r>
            <w:r w:rsidRPr="00FC0A7D">
              <w:t>e requirements are determined.</w:t>
            </w:r>
          </w:p>
        </w:tc>
      </w:tr>
      <w:tr w:rsidTr="00D736F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List"/>
              <w:rPr>
                <w:lang w:val="en-NZ"/>
              </w:rPr>
            </w:pPr>
            <w:r w:rsidRPr="00FC0A7D">
              <w:t>2.</w:t>
            </w:r>
            <w:r w:rsidRPr="00FC0A7D">
              <w:tab/>
              <w:t>Undertake packaging</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List2"/>
            </w:pPr>
            <w:r w:rsidRPr="00FC0A7D">
              <w:t>2.1.</w:t>
            </w:r>
            <w:r w:rsidRPr="00FC0A7D">
              <w:tab/>
              <w:t>The most appropriate packaging method to suit the product is selected and used.</w:t>
            </w:r>
          </w:p>
          <w:p w:rsidR="00000000" w:rsidP="00FC0A7D">
            <w:pPr>
              <w:pStyle w:val="List2"/>
              <w:rPr>
                <w:lang w:val="en-NZ"/>
              </w:rPr>
            </w:pPr>
            <w:r w:rsidRPr="00FC0A7D">
              <w:t>2.2.</w:t>
            </w:r>
            <w:r w:rsidRPr="00FC0A7D">
              <w:tab/>
              <w:t>Correct seal, compression and packaging materials are used.</w:t>
            </w:r>
          </w:p>
        </w:tc>
      </w:tr>
      <w:tr w:rsidTr="00D736F3">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List"/>
              <w:rPr>
                <w:lang w:val="en-NZ"/>
              </w:rPr>
            </w:pPr>
            <w:r w:rsidRPr="00FC0A7D">
              <w:t>3.</w:t>
            </w:r>
            <w:r w:rsidRPr="00FC0A7D">
              <w:tab/>
              <w:t xml:space="preserve">Label packaged items </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List2"/>
            </w:pPr>
            <w:r w:rsidRPr="00FC0A7D">
              <w:t>3.1.</w:t>
            </w:r>
            <w:r w:rsidRPr="00FC0A7D">
              <w:tab/>
            </w:r>
            <w:r w:rsidRPr="00FC0A7D">
              <w:t>Labels and identification stickers are correctly applied and accurately describe content of package.</w:t>
            </w:r>
          </w:p>
        </w:tc>
      </w:tr>
    </w:tbl>
    <w:p w:rsidR="00D736F3" w:rsidP="00FC0A7D">
      <w:pPr>
        <w:pStyle w:val="BodyText"/>
      </w:pPr>
    </w:p>
    <w:p w:rsidR="00D736F3" w:rsidP="00FC0A7D">
      <w:pPr>
        <w:pStyle w:val="BodyText"/>
      </w:pPr>
    </w:p>
    <w:p w:rsidR="00000000" w:rsidRPr="00FC0A7D" w:rsidP="00FC0A7D">
      <w:pPr>
        <w:pStyle w:val="Heading1"/>
      </w:pPr>
      <w:bookmarkStart w:id="9" w:name="O_260801"/>
      <w:bookmarkEnd w:id="9"/>
      <w:r w:rsidRPr="00FC0A7D">
        <w:t>Required Skills and Knowledge</w:t>
      </w:r>
    </w:p>
    <w:tbl>
      <w:tblPr>
        <w:tblW w:w="0" w:type="auto"/>
        <w:tblLayout w:type="fixed"/>
        <w:tblCellMar>
          <w:left w:w="62" w:type="dxa"/>
          <w:right w:w="62" w:type="dxa"/>
        </w:tblCellMar>
        <w:tblLook w:val="0000"/>
      </w:tblPr>
      <w:tblGrid>
        <w:gridCol w:w="8522"/>
      </w:tblGrid>
      <w:tr w:rsidTr="00D736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REQUIRED SKILLS AND KNOWLEDGE</w:t>
            </w:r>
          </w:p>
        </w:tc>
      </w:tr>
      <w:tr w:rsidTr="00D736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t>This section describes the skills and knowledge required for this unit.</w:t>
            </w:r>
          </w:p>
        </w:tc>
      </w:tr>
      <w:tr w:rsidTr="00D73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Required skills</w:t>
            </w:r>
          </w:p>
        </w:tc>
      </w:tr>
      <w:tr w:rsidTr="00D73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r w:rsidRPr="00FC0A7D">
              <w:t>Look for evidence that confirms skills in:</w:t>
            </w:r>
          </w:p>
          <w:p w:rsidR="00000000" w:rsidRPr="00FC0A7D" w:rsidP="00FC0A7D">
            <w:pPr>
              <w:pStyle w:val="ListBullet"/>
            </w:pPr>
            <w:r w:rsidRPr="00FC0A7D">
              <w:t>selecting packaging methods and materials to suit given products</w:t>
            </w:r>
          </w:p>
          <w:p w:rsidR="00000000" w:rsidRPr="00FC0A7D" w:rsidP="00FC0A7D">
            <w:pPr>
              <w:pStyle w:val="ListBullet"/>
            </w:pPr>
            <w:r w:rsidRPr="00FC0A7D">
              <w:t>effectively communicating with the production and dispatch personnel</w:t>
            </w:r>
          </w:p>
          <w:p w:rsidR="00000000" w:rsidRPr="00FC0A7D" w:rsidP="00FC0A7D">
            <w:pPr>
              <w:pStyle w:val="ListBullet"/>
            </w:pPr>
            <w:r w:rsidRPr="00FC0A7D">
              <w:t>undertaking numerical operations and calculations within the scope of this unit</w:t>
            </w:r>
          </w:p>
          <w:p w:rsidR="00000000" w:rsidRPr="00FC0A7D" w:rsidP="00FC0A7D">
            <w:pPr>
              <w:pStyle w:val="ListBullet"/>
            </w:pPr>
            <w:r w:rsidRPr="00FC0A7D">
              <w:t>managing time</w:t>
            </w:r>
          </w:p>
          <w:p w:rsidR="00000000" w:rsidRPr="00FC0A7D" w:rsidP="00FC0A7D">
            <w:pPr>
              <w:pStyle w:val="ListBullet"/>
            </w:pPr>
            <w:r w:rsidRPr="00FC0A7D">
              <w:t>following procedures for labelling packaged products</w:t>
            </w:r>
          </w:p>
          <w:p w:rsidR="00000000" w:rsidP="00FC0A7D">
            <w:pPr>
              <w:pStyle w:val="ListBullet"/>
              <w:rPr>
                <w:lang w:val="en-NZ"/>
              </w:rPr>
            </w:pPr>
            <w:r w:rsidRPr="00FC0A7D">
              <w:t>entering routine and familiar informatio</w:t>
            </w:r>
            <w:r w:rsidRPr="00FC0A7D">
              <w:t>n onto proformas and standard workplace forms</w:t>
            </w:r>
          </w:p>
        </w:tc>
      </w:tr>
      <w:tr w:rsidTr="00D73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Required knowledge</w:t>
            </w:r>
          </w:p>
        </w:tc>
      </w:tr>
      <w:tr w:rsidTr="00D73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r w:rsidRPr="00FC0A7D">
              <w:t>Look for evidence that confirms knowledge of:</w:t>
            </w:r>
          </w:p>
          <w:p w:rsidR="00000000" w:rsidRPr="00FC0A7D" w:rsidP="00FC0A7D">
            <w:pPr>
              <w:pStyle w:val="ListBullet"/>
            </w:pPr>
            <w:r w:rsidRPr="00FC0A7D">
              <w:t>packaging methods, materials and legislation</w:t>
            </w:r>
          </w:p>
          <w:p w:rsidR="00000000" w:rsidRPr="00FC0A7D" w:rsidP="00FC0A7D">
            <w:pPr>
              <w:pStyle w:val="ListBullet"/>
            </w:pPr>
            <w:r w:rsidRPr="00FC0A7D">
              <w:t>weights, measures and capacities</w:t>
            </w:r>
          </w:p>
          <w:p w:rsidR="00000000" w:rsidRPr="00FC0A7D" w:rsidP="00FC0A7D">
            <w:pPr>
              <w:pStyle w:val="ListBullet"/>
            </w:pPr>
            <w:r w:rsidRPr="00FC0A7D">
              <w:t>types of transport</w:t>
            </w:r>
          </w:p>
          <w:p w:rsidR="00000000" w:rsidRPr="00FC0A7D" w:rsidP="00FC0A7D">
            <w:pPr>
              <w:pStyle w:val="ListBullet"/>
            </w:pPr>
            <w:r w:rsidRPr="00FC0A7D">
              <w:t>knowledge of organisational receival and disp</w:t>
            </w:r>
            <w:r w:rsidRPr="00FC0A7D">
              <w:t>atch functions</w:t>
            </w:r>
          </w:p>
          <w:p w:rsidR="00000000" w:rsidRPr="00FC0A7D" w:rsidP="00FC0A7D">
            <w:pPr>
              <w:pStyle w:val="ListBullet"/>
            </w:pPr>
            <w:r w:rsidRPr="00FC0A7D">
              <w:t>applicable material safety data sheets (MSDS)</w:t>
            </w:r>
          </w:p>
          <w:p w:rsidR="00000000" w:rsidRPr="00FC0A7D" w:rsidP="00FC0A7D">
            <w:pPr>
              <w:pStyle w:val="ListBullet"/>
            </w:pPr>
            <w:r w:rsidRPr="00FC0A7D">
              <w:t>labelling procedures and standards</w:t>
            </w:r>
          </w:p>
          <w:p w:rsidR="00000000" w:rsidRPr="00FC0A7D" w:rsidP="00FC0A7D">
            <w:pPr>
              <w:pStyle w:val="ListBullet"/>
            </w:pPr>
            <w:r w:rsidRPr="00FC0A7D">
              <w:t>storage and recording procedures</w:t>
            </w:r>
          </w:p>
          <w:p w:rsidR="00000000" w:rsidRPr="00FC0A7D" w:rsidP="00FC0A7D">
            <w:pPr>
              <w:pStyle w:val="ListBullet"/>
            </w:pPr>
            <w:r w:rsidRPr="00FC0A7D">
              <w:t>use and application of personal protective equipment</w:t>
            </w:r>
          </w:p>
          <w:p w:rsidR="00000000" w:rsidRPr="00FC0A7D" w:rsidP="00FC0A7D">
            <w:pPr>
              <w:pStyle w:val="ListBullet"/>
            </w:pPr>
            <w:r w:rsidRPr="00FC0A7D">
              <w:t>safe work practices and procedures</w:t>
            </w:r>
          </w:p>
          <w:p w:rsidR="00000000" w:rsidRPr="00FC0A7D" w:rsidP="00FC0A7D">
            <w:pPr>
              <w:pStyle w:val="ListBullet"/>
            </w:pPr>
            <w:r w:rsidRPr="00FC0A7D">
              <w:t>hazards and control measures associated with packaging materials</w:t>
            </w:r>
          </w:p>
        </w:tc>
      </w:tr>
    </w:tbl>
    <w:p w:rsidR="00D736F3" w:rsidP="00FC0A7D">
      <w:pPr>
        <w:pStyle w:val="BodyText"/>
      </w:pPr>
    </w:p>
    <w:p w:rsidR="00D736F3" w:rsidP="00FC0A7D">
      <w:pPr>
        <w:pStyle w:val="BodyText"/>
      </w:pPr>
    </w:p>
    <w:p w:rsidR="00000000" w:rsidRPr="00FC0A7D" w:rsidP="00FC0A7D">
      <w:pPr>
        <w:pStyle w:val="AllowPageBreak"/>
      </w:pPr>
    </w:p>
    <w:p w:rsidR="00000000" w:rsidRPr="00FC0A7D" w:rsidP="00FC0A7D">
      <w:pPr>
        <w:pStyle w:val="Heading1"/>
      </w:pPr>
      <w:bookmarkStart w:id="10" w:name="O_244835"/>
      <w:bookmarkEnd w:id="10"/>
      <w:r w:rsidRPr="00FC0A7D">
        <w:t>Evidence Guide</w:t>
      </w:r>
    </w:p>
    <w:tbl>
      <w:tblPr>
        <w:tblW w:w="9570" w:type="dxa"/>
        <w:tblLayout w:type="fixed"/>
        <w:tblCellMar>
          <w:left w:w="62" w:type="dxa"/>
          <w:right w:w="62" w:type="dxa"/>
        </w:tblCellMar>
        <w:tblLook w:val="0000"/>
      </w:tblPr>
      <w:tblGrid>
        <w:gridCol w:w="3908"/>
        <w:gridCol w:w="5662"/>
      </w:tblGrid>
      <w:tr w:rsidTr="00D736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EVIDENCE GUIDE</w:t>
            </w:r>
          </w:p>
        </w:tc>
      </w:tr>
      <w:tr w:rsidTr="00D736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t>The evidence guide provides advice on assessment and must be read in conjunction with the performance criteria, required skills and knowledge, range statement and the Assessment Guidelines for the Training Package.</w:t>
            </w:r>
          </w:p>
        </w:tc>
      </w:tr>
      <w:tr w:rsidTr="00D7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t xml:space="preserve">A person who demonstrates competency in this unit must be able to package goods in a store/warehouse environment. </w:t>
            </w:r>
          </w:p>
        </w:tc>
      </w:tr>
      <w:tr w:rsidTr="00D7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t xml:space="preserve">Assessors must be satisfied that the candidate </w:t>
            </w:r>
            <w:r w:rsidRPr="00FC0A7D">
              <w:t>can competently and consistently perform all elements of the unit as specified by the criteria, including required knowledge, and be capable of applying the competency in new and different situations and contexts.</w:t>
            </w:r>
          </w:p>
        </w:tc>
      </w:tr>
      <w:tr w:rsidTr="00D7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Context of and specific resources for ass</w:t>
            </w:r>
            <w:r w:rsidRPr="00FC0A7D">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r w:rsidRPr="00FC0A7D">
              <w:t>This unit may be assessed on the job, off the job or a combination of both. Where assessment occurs off the job, i.e. the candidate is not in productive work, an appropriate simulation must be used where the range of conditions reflects realistic w</w:t>
            </w:r>
            <w:r w:rsidRPr="00FC0A7D">
              <w:t xml:space="preserve">orkplace situations. The competencies covered by this unit would be demonstrated by an individual working alone or as part of a team. The assessment environment should not disadvantage the candidate. </w:t>
            </w:r>
          </w:p>
          <w:p w:rsidR="00000000" w:rsidP="00FC0A7D">
            <w:pPr>
              <w:pStyle w:val="BodyText"/>
              <w:rPr>
                <w:lang w:val="en-NZ"/>
              </w:rPr>
            </w:pPr>
            <w:r w:rsidRPr="00FC0A7D">
              <w:t>This unit could be assessed in conjunction with any oth</w:t>
            </w:r>
            <w:r w:rsidRPr="00FC0A7D">
              <w:t>er units addressing the safety, quality, communication, materials handling, recording and reporting associated with packaging goods in a store or warehouse or other units requiring the exercise of the skills and knowledge covered by this unit.</w:t>
            </w:r>
          </w:p>
        </w:tc>
      </w:tr>
      <w:tr w:rsidTr="00D7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Method of a</w:t>
            </w:r>
            <w:r w:rsidRPr="00FC0A7D">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t>Assessors should gather a range of evidence that is valid, sufficient, current and authentic. Evidence can be gathered through a variety of ways including direct observation, supervisor's reports, project work, samples and questioning. Questionin</w:t>
            </w:r>
            <w:r w:rsidRPr="00FC0A7D">
              <w:t>g should not require language, literacy and numeracy skills beyond those required in this unit. The candidate must have access to all tools, equipment, materials and documentation required. The candidate must be permitted to refer to any relevant workplace</w:t>
            </w:r>
            <w:r w:rsidRPr="00FC0A7D">
              <w:t xml:space="preserve"> procedures, product and manufacturing specifications, codes, standards, manuals and reference materials.</w:t>
            </w:r>
          </w:p>
        </w:tc>
      </w:tr>
      <w:tr w:rsidTr="00D736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p>
        </w:tc>
      </w:tr>
    </w:tbl>
    <w:p w:rsidR="00D736F3" w:rsidP="00FC0A7D">
      <w:pPr>
        <w:pStyle w:val="BodyText"/>
      </w:pPr>
    </w:p>
    <w:p w:rsidR="00D736F3" w:rsidP="00FC0A7D">
      <w:pPr>
        <w:pStyle w:val="BodyText"/>
      </w:pPr>
    </w:p>
    <w:p w:rsidR="00000000" w:rsidRPr="00FC0A7D" w:rsidP="00FC0A7D">
      <w:pPr>
        <w:pStyle w:val="Heading1"/>
      </w:pPr>
      <w:bookmarkStart w:id="11" w:name="O_252818"/>
      <w:bookmarkEnd w:id="11"/>
      <w:r w:rsidRPr="00FC0A7D">
        <w:t>Range Statement</w:t>
      </w:r>
    </w:p>
    <w:tbl>
      <w:tblPr>
        <w:tblW w:w="0" w:type="auto"/>
        <w:tblLayout w:type="fixed"/>
        <w:tblCellMar>
          <w:left w:w="62" w:type="dxa"/>
          <w:right w:w="62" w:type="dxa"/>
        </w:tblCellMar>
        <w:tblLook w:val="0000"/>
      </w:tblPr>
      <w:tblGrid>
        <w:gridCol w:w="3524"/>
        <w:gridCol w:w="4998"/>
      </w:tblGrid>
      <w:tr w:rsidTr="00D736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RANGE STATEMENT</w:t>
            </w:r>
          </w:p>
        </w:tc>
      </w:tr>
      <w:tr w:rsidTr="00D736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t>The range statement relates to the unit of competency as a whole. It allows for different work environments and situations that may affect performance. Bold italicised wording, if used in the performance criteria, is detailed below. Essential operating con</w:t>
            </w:r>
            <w:r w:rsidRPr="00FC0A7D">
              <w:t>ditions that may be present with training and assessment (depending on the work situation, needs of the candidate, accessibility of the item, and local industry and regional contexts) may also be included.</w:t>
            </w:r>
          </w:p>
        </w:tc>
      </w:tr>
      <w:tr w:rsidTr="00D736F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Storage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t>As per legislative requirem</w:t>
            </w:r>
            <w:r w:rsidRPr="00FC0A7D">
              <w:t>ents e.g. dangerous goods and storage of poisons acts and regulations</w:t>
            </w:r>
          </w:p>
        </w:tc>
      </w:tr>
      <w:tr w:rsidTr="00D736F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Site and legislative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ListBullet"/>
            </w:pPr>
            <w:r w:rsidRPr="00FC0A7D">
              <w:t>Site requirements: standard operating procedures, organisational policy</w:t>
            </w:r>
          </w:p>
          <w:p w:rsidR="00000000" w:rsidP="00FC0A7D">
            <w:pPr>
              <w:pStyle w:val="ListBullet"/>
              <w:rPr>
                <w:lang w:val="en-NZ"/>
              </w:rPr>
            </w:pPr>
            <w:r w:rsidRPr="00FC0A7D">
              <w:t xml:space="preserve">Legislative requirements e.g. dangerous goods, storage of poisons, </w:t>
            </w:r>
            <w:r w:rsidRPr="00FC0A7D">
              <w:t>environmental protection acts and regulations</w:t>
            </w:r>
          </w:p>
        </w:tc>
      </w:tr>
      <w:tr w:rsidTr="00D736F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Transport and store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ListBullet"/>
            </w:pPr>
            <w:r w:rsidRPr="00FC0A7D">
              <w:t>Racks, boxes, bins, etc.</w:t>
            </w:r>
          </w:p>
          <w:p w:rsidR="00000000" w:rsidRPr="00FC0A7D" w:rsidP="00FC0A7D">
            <w:pPr>
              <w:pStyle w:val="ListBullet"/>
            </w:pPr>
            <w:r w:rsidRPr="00FC0A7D">
              <w:t>Road, rail, courier transport</w:t>
            </w:r>
          </w:p>
          <w:p w:rsidR="00000000" w:rsidP="00FC0A7D">
            <w:pPr>
              <w:pStyle w:val="ListBullet"/>
              <w:rPr>
                <w:lang w:val="en-NZ"/>
              </w:rPr>
            </w:pPr>
            <w:r w:rsidRPr="00FC0A7D">
              <w:t>Dangerous goods code for transport of goods</w:t>
            </w:r>
          </w:p>
        </w:tc>
      </w:tr>
      <w:tr w:rsidTr="00D736F3">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Packaging methods and materials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ListBullet"/>
            </w:pPr>
            <w:r w:rsidRPr="00FC0A7D">
              <w:t>Wrapping, shrink wrapping, wrapping in bub</w:t>
            </w:r>
            <w:r w:rsidRPr="00FC0A7D">
              <w:t>ble wrap, polystyrene packing, pallets, crates/boxes and other methods</w:t>
            </w:r>
          </w:p>
          <w:p w:rsidR="00000000" w:rsidRPr="00FC0A7D" w:rsidP="00FC0A7D">
            <w:pPr>
              <w:pStyle w:val="ListBullet"/>
            </w:pPr>
            <w:r w:rsidRPr="00FC0A7D">
              <w:t>Sealing, such as packing tape, banding, boxes, pallet racking</w:t>
            </w:r>
          </w:p>
        </w:tc>
      </w:tr>
    </w:tbl>
    <w:p w:rsidR="00D736F3" w:rsidP="00FC0A7D">
      <w:pPr>
        <w:pStyle w:val="BodyText"/>
      </w:pPr>
    </w:p>
    <w:p w:rsidR="00D736F3" w:rsidP="00FC0A7D">
      <w:pPr>
        <w:pStyle w:val="BodyText"/>
      </w:pPr>
    </w:p>
    <w:p w:rsidR="00000000" w:rsidRPr="00FC0A7D" w:rsidP="00FC0A7D">
      <w:pPr>
        <w:pStyle w:val="Heading1"/>
      </w:pPr>
      <w:bookmarkStart w:id="12" w:name="O_211410"/>
      <w:bookmarkEnd w:id="12"/>
      <w:r w:rsidRPr="00FC0A7D">
        <w:t>Unit Sector(s)</w:t>
      </w:r>
    </w:p>
    <w:tbl>
      <w:tblPr>
        <w:tblW w:w="0" w:type="auto"/>
        <w:tblLayout w:type="fixed"/>
        <w:tblCellMar>
          <w:left w:w="62" w:type="dxa"/>
          <w:right w:w="62" w:type="dxa"/>
        </w:tblCellMar>
        <w:tblLook w:val="0000"/>
      </w:tblPr>
      <w:tblGrid>
        <w:gridCol w:w="2654"/>
        <w:gridCol w:w="5868"/>
      </w:tblGrid>
      <w:tr w:rsidTr="00D736F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p>
        </w:tc>
      </w:tr>
    </w:tbl>
    <w:p w:rsidR="00D736F3" w:rsidP="00FC0A7D">
      <w:pPr>
        <w:pStyle w:val="BodyText"/>
      </w:pPr>
    </w:p>
    <w:p w:rsidR="00D736F3" w:rsidP="00FC0A7D">
      <w:pPr>
        <w:pStyle w:val="BodyText"/>
      </w:pPr>
    </w:p>
    <w:p w:rsidR="00000000" w:rsidRPr="00FC0A7D" w:rsidP="00FC0A7D">
      <w:pPr>
        <w:pStyle w:val="Heading1"/>
      </w:pPr>
      <w:bookmarkStart w:id="13" w:name="O_211407"/>
      <w:bookmarkEnd w:id="13"/>
      <w:r w:rsidRPr="00FC0A7D">
        <w:t>Co-requisite units</w:t>
      </w:r>
    </w:p>
    <w:tbl>
      <w:tblPr>
        <w:tblW w:w="0" w:type="auto"/>
        <w:tblLayout w:type="fixed"/>
        <w:tblCellMar>
          <w:left w:w="62" w:type="dxa"/>
          <w:right w:w="62" w:type="dxa"/>
        </w:tblCellMar>
        <w:tblLook w:val="0000"/>
      </w:tblPr>
      <w:tblGrid>
        <w:gridCol w:w="2641"/>
        <w:gridCol w:w="1322"/>
        <w:gridCol w:w="4559"/>
      </w:tblGrid>
      <w:tr w:rsidTr="00D736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p>
        </w:tc>
      </w:tr>
      <w:tr w:rsidTr="00D736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p>
        </w:tc>
      </w:tr>
      <w:tr w:rsidTr="00D736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p>
        </w:tc>
      </w:tr>
    </w:tbl>
    <w:p w:rsidR="00D736F3" w:rsidP="00FC0A7D">
      <w:pPr>
        <w:pStyle w:val="BodyText"/>
      </w:pPr>
    </w:p>
    <w:p w:rsidR="00D736F3" w:rsidP="00FC0A7D">
      <w:pPr>
        <w:pStyle w:val="BodyText"/>
      </w:pPr>
    </w:p>
    <w:p w:rsidR="00000000" w:rsidRPr="00FC0A7D" w:rsidP="00FC0A7D">
      <w:pPr>
        <w:pStyle w:val="Heading1"/>
      </w:pPr>
      <w:bookmarkStart w:id="14" w:name="O_211409"/>
      <w:bookmarkEnd w:id="14"/>
      <w:r w:rsidRPr="00FC0A7D">
        <w:t>Competency field</w:t>
      </w:r>
    </w:p>
    <w:tbl>
      <w:tblPr>
        <w:tblW w:w="0" w:type="auto"/>
        <w:tblLayout w:type="fixed"/>
        <w:tblCellMar>
          <w:left w:w="62" w:type="dxa"/>
          <w:right w:w="62" w:type="dxa"/>
        </w:tblCellMar>
        <w:tblLook w:val="0000"/>
      </w:tblPr>
      <w:tblGrid>
        <w:gridCol w:w="2777"/>
        <w:gridCol w:w="5745"/>
      </w:tblGrid>
      <w:tr w:rsidTr="00D736F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0A7D">
            <w:pPr>
              <w:pStyle w:val="BodyText"/>
              <w:rPr>
                <w:lang w:val="en-NZ"/>
              </w:rPr>
            </w:pPr>
            <w:r w:rsidRPr="00FC0A7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A7D" w:rsidP="00FC0A7D">
            <w:pPr>
              <w:pStyle w:val="BodyText"/>
            </w:pPr>
            <w:r w:rsidRPr="00FC0A7D">
              <w:t>Materials handling</w:t>
            </w:r>
          </w:p>
        </w:tc>
      </w:tr>
    </w:tbl>
    <w:p w:rsidR="00D736F3" w:rsidP="00FC0A7D">
      <w:pPr>
        <w:pStyle w:val="BodyText"/>
      </w:pPr>
    </w:p>
    <w:p w:rsidR="00D736F3" w:rsidP="00FC0A7D">
      <w:pPr>
        <w:pStyle w:val="BodyText"/>
      </w:pPr>
    </w:p>
    <w:p w:rsidR="00000000" w:rsidRPr="00FC0A7D" w:rsidP="00FC0A7D"/>
    <w:sectPr w:rsidSect="00FC0A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6F3" w:rsidP="00D73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F3" w:rsidP="00FC0A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36F3" w:rsidP="00FC0A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36F3" w:rsidP="00FC0A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6F3" w:rsidP="00D736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F3" w:rsidP="00FC0A7D">
    <w:pPr>
      <w:pStyle w:val="Header"/>
      <w:framePr w:wrap="around"/>
    </w:pPr>
    <w:r>
      <w:fldChar w:fldCharType="begin"/>
    </w:r>
    <w:r>
      <w:instrText xml:space="preserve"> TITLE   \* MERGEFORMAT </w:instrText>
    </w:r>
    <w:r>
      <w:fldChar w:fldCharType="separate"/>
    </w:r>
    <w:r>
      <w:t>MEM11008B Package materials (stores and warehouse)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36F3" w:rsidP="00FC0A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86C6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422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A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A7D"/>
    <w:pPr>
      <w:spacing w:before="360" w:after="60"/>
      <w:outlineLvl w:val="0"/>
    </w:pPr>
    <w:rPr>
      <w:sz w:val="32"/>
    </w:rPr>
  </w:style>
  <w:style w:type="paragraph" w:styleId="Heading2">
    <w:name w:val="heading 2"/>
    <w:basedOn w:val="HeadingBase"/>
    <w:next w:val="BodyText"/>
    <w:link w:val="Heading2Char"/>
    <w:qFormat/>
    <w:rsid w:val="00FC0A7D"/>
    <w:pPr>
      <w:keepLines/>
      <w:spacing w:before="240" w:after="120"/>
      <w:outlineLvl w:val="1"/>
    </w:pPr>
    <w:rPr>
      <w:sz w:val="28"/>
      <w:szCs w:val="40"/>
    </w:rPr>
  </w:style>
  <w:style w:type="paragraph" w:styleId="Heading3">
    <w:name w:val="heading 3"/>
    <w:basedOn w:val="HeadingBase"/>
    <w:next w:val="BodyText"/>
    <w:link w:val="Heading3Char"/>
    <w:qFormat/>
    <w:rsid w:val="00FC0A7D"/>
    <w:pPr>
      <w:spacing w:before="180" w:after="120"/>
      <w:outlineLvl w:val="2"/>
    </w:pPr>
    <w:rPr>
      <w:spacing w:val="-10"/>
      <w:kern w:val="32"/>
    </w:rPr>
  </w:style>
  <w:style w:type="paragraph" w:styleId="Heading4">
    <w:name w:val="heading 4"/>
    <w:basedOn w:val="HeadingBase"/>
    <w:next w:val="BodyText"/>
    <w:link w:val="Heading4Char"/>
    <w:qFormat/>
    <w:rsid w:val="00FC0A7D"/>
    <w:pPr>
      <w:spacing w:before="160" w:after="120"/>
      <w:outlineLvl w:val="3"/>
    </w:pPr>
    <w:rPr>
      <w:sz w:val="22"/>
    </w:rPr>
  </w:style>
  <w:style w:type="paragraph" w:styleId="Heading5">
    <w:name w:val="heading 5"/>
    <w:basedOn w:val="HeadingBase"/>
    <w:next w:val="Normal"/>
    <w:link w:val="Heading5Char"/>
    <w:qFormat/>
    <w:rsid w:val="00FC0A7D"/>
    <w:pPr>
      <w:spacing w:before="80"/>
      <w:outlineLvl w:val="4"/>
    </w:pPr>
    <w:rPr>
      <w:color w:val="918585"/>
      <w:sz w:val="20"/>
    </w:rPr>
  </w:style>
  <w:style w:type="paragraph" w:styleId="Heading6">
    <w:name w:val="heading 6"/>
    <w:basedOn w:val="HeadingBase"/>
    <w:next w:val="Normal"/>
    <w:link w:val="Heading6Char"/>
    <w:qFormat/>
    <w:rsid w:val="00FC0A7D"/>
    <w:pPr>
      <w:spacing w:before="60"/>
      <w:outlineLvl w:val="5"/>
    </w:pPr>
    <w:rPr>
      <w:color w:val="918585"/>
      <w:sz w:val="20"/>
    </w:rPr>
  </w:style>
  <w:style w:type="paragraph" w:styleId="Heading7">
    <w:name w:val="heading 7"/>
    <w:basedOn w:val="Normal"/>
    <w:next w:val="Normal"/>
    <w:link w:val="Heading7Char"/>
    <w:qFormat/>
    <w:rsid w:val="00FC0A7D"/>
    <w:pPr>
      <w:ind w:left="720"/>
      <w:outlineLvl w:val="6"/>
    </w:pPr>
    <w:rPr>
      <w:i/>
    </w:rPr>
  </w:style>
  <w:style w:type="paragraph" w:styleId="Heading8">
    <w:name w:val="heading 8"/>
    <w:basedOn w:val="Normal"/>
    <w:next w:val="Normal"/>
    <w:link w:val="Heading8Char"/>
    <w:qFormat/>
    <w:rsid w:val="00FC0A7D"/>
    <w:pPr>
      <w:ind w:left="720"/>
      <w:outlineLvl w:val="7"/>
    </w:pPr>
    <w:rPr>
      <w:i/>
    </w:rPr>
  </w:style>
  <w:style w:type="paragraph" w:styleId="Heading9">
    <w:name w:val="heading 9"/>
    <w:basedOn w:val="Normal"/>
    <w:next w:val="Normal"/>
    <w:link w:val="Heading9Char"/>
    <w:qFormat/>
    <w:rsid w:val="00FC0A7D"/>
    <w:pPr>
      <w:ind w:left="720"/>
      <w:outlineLvl w:val="8"/>
    </w:pPr>
    <w:rPr>
      <w:i/>
    </w:rPr>
  </w:style>
  <w:style w:type="character" w:default="1" w:styleId="DefaultParagraphFont">
    <w:name w:val="Default Paragraph Font"/>
    <w:uiPriority w:val="1"/>
    <w:unhideWhenUsed/>
    <w:rsid w:val="00FC0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A7D"/>
  </w:style>
  <w:style w:type="character" w:customStyle="1" w:styleId="Heading1Char">
    <w:name w:val="Heading 1 Char"/>
    <w:basedOn w:val="DefaultParagraphFont"/>
    <w:link w:val="Heading1"/>
    <w:rsid w:val="00FC0A7D"/>
    <w:rPr>
      <w:rFonts w:ascii="Times New Roman" w:eastAsia="Times New Roman" w:hAnsi="Times New Roman" w:cs="Times New Roman"/>
      <w:b/>
      <w:sz w:val="32"/>
      <w:szCs w:val="20"/>
      <w:lang w:eastAsia="en-US"/>
    </w:rPr>
  </w:style>
  <w:style w:type="paragraph" w:styleId="BodyText">
    <w:name w:val="Body Text"/>
    <w:basedOn w:val="Normal"/>
    <w:link w:val="BodyTextChar"/>
    <w:rsid w:val="00FC0A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A7D"/>
    <w:rPr>
      <w:rFonts w:ascii="Times New Roman" w:eastAsia="Times New Roman" w:hAnsi="Times New Roman" w:cs="Times New Roman"/>
      <w:sz w:val="24"/>
      <w:lang w:val="en-US" w:eastAsia="en-US"/>
    </w:rPr>
  </w:style>
  <w:style w:type="paragraph" w:styleId="Footer">
    <w:name w:val="footer"/>
    <w:basedOn w:val="Normal"/>
    <w:link w:val="FooterChar"/>
    <w:rsid w:val="00FC0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A7D"/>
    <w:rPr>
      <w:rFonts w:ascii="Times New Roman" w:eastAsia="Times New Roman" w:hAnsi="Times New Roman" w:cs="Times New Roman"/>
      <w:sz w:val="16"/>
      <w:lang w:val="en-US" w:eastAsia="en-US"/>
    </w:rPr>
  </w:style>
  <w:style w:type="paragraph" w:styleId="List">
    <w:name w:val="List"/>
    <w:basedOn w:val="BodyText"/>
    <w:next w:val="BodyText"/>
    <w:rsid w:val="00FC0A7D"/>
    <w:pPr>
      <w:tabs>
        <w:tab w:val="left" w:pos="340"/>
      </w:tabs>
      <w:spacing w:before="60" w:after="60"/>
      <w:ind w:left="340" w:hanging="340"/>
    </w:pPr>
  </w:style>
  <w:style w:type="paragraph" w:styleId="ListBullet">
    <w:name w:val="List Bullet"/>
    <w:basedOn w:val="List"/>
    <w:rsid w:val="00FC0A7D"/>
    <w:pPr>
      <w:numPr>
        <w:numId w:val="12"/>
      </w:numPr>
      <w:tabs>
        <w:tab w:val="clear" w:pos="340"/>
      </w:tabs>
      <w:spacing w:before="40" w:after="40"/>
    </w:pPr>
  </w:style>
  <w:style w:type="character" w:customStyle="1" w:styleId="SpecialBold">
    <w:name w:val="Special Bold"/>
    <w:basedOn w:val="DefaultParagraphFont"/>
    <w:rsid w:val="00FC0A7D"/>
    <w:rPr>
      <w:b/>
      <w:spacing w:val="0"/>
    </w:rPr>
  </w:style>
  <w:style w:type="paragraph" w:styleId="Header">
    <w:name w:val="header"/>
    <w:basedOn w:val="Normal"/>
    <w:link w:val="HeaderChar"/>
    <w:rsid w:val="00FC0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A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0A7D"/>
    <w:pPr>
      <w:spacing w:before="240" w:after="120"/>
      <w:outlineLvl w:val="0"/>
    </w:pPr>
    <w:rPr>
      <w:rFonts w:ascii="Times New Roman" w:hAnsi="Times New Roman"/>
      <w:b/>
      <w:sz w:val="28"/>
    </w:rPr>
  </w:style>
  <w:style w:type="paragraph" w:customStyle="1" w:styleId="AllowPageBreak">
    <w:name w:val="AllowPageBreak"/>
    <w:rsid w:val="00FC0A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0A7D"/>
    <w:pPr>
      <w:tabs>
        <w:tab w:val="left" w:pos="680"/>
      </w:tabs>
      <w:spacing w:before="60" w:after="60"/>
      <w:ind w:left="680" w:hanging="340"/>
    </w:pPr>
  </w:style>
  <w:style w:type="character" w:customStyle="1" w:styleId="Heading2Char">
    <w:name w:val="Heading 2 Char"/>
    <w:basedOn w:val="DefaultParagraphFont"/>
    <w:link w:val="Heading2"/>
    <w:rsid w:val="00FC0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A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A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A7D"/>
    <w:rPr>
      <w:rFonts w:ascii="Courier New" w:eastAsia="Times New Roman" w:hAnsi="Courier New" w:cs="Times New Roman"/>
      <w:i/>
      <w:szCs w:val="20"/>
      <w:lang w:val="en-US" w:eastAsia="en-US"/>
    </w:rPr>
  </w:style>
  <w:style w:type="paragraph" w:customStyle="1" w:styleId="HeadingBase">
    <w:name w:val="Heading Base"/>
    <w:rsid w:val="00FC0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A7D"/>
    <w:pPr>
      <w:tabs>
        <w:tab w:val="right" w:leader="dot" w:pos="9072"/>
      </w:tabs>
      <w:ind w:left="567"/>
    </w:pPr>
    <w:rPr>
      <w:szCs w:val="22"/>
    </w:rPr>
  </w:style>
  <w:style w:type="paragraph" w:customStyle="1" w:styleId="TOCBase">
    <w:name w:val="TOC Base"/>
    <w:rsid w:val="00FC0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A7D"/>
    <w:pPr>
      <w:tabs>
        <w:tab w:val="right" w:leader="dot" w:pos="9072"/>
      </w:tabs>
      <w:spacing w:before="40" w:after="40"/>
      <w:ind w:left="284"/>
    </w:pPr>
    <w:rPr>
      <w:rFonts w:ascii="Times New Roman" w:hAnsi="Times New Roman"/>
    </w:rPr>
  </w:style>
  <w:style w:type="paragraph" w:styleId="TOC1">
    <w:name w:val="toc 1"/>
    <w:basedOn w:val="TOCBase"/>
    <w:next w:val="Normal"/>
    <w:rsid w:val="00FC0A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A7D"/>
    <w:pPr>
      <w:spacing w:before="5040"/>
      <w:jc w:val="center"/>
    </w:pPr>
    <w:rPr>
      <w:sz w:val="48"/>
      <w:szCs w:val="72"/>
      <w:lang w:val="en-US"/>
    </w:rPr>
  </w:style>
  <w:style w:type="character" w:customStyle="1" w:styleId="TitleChar">
    <w:name w:val="Title Char"/>
    <w:basedOn w:val="DefaultParagraphFont"/>
    <w:link w:val="Title"/>
    <w:rsid w:val="00FC0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A7D"/>
    <w:pPr>
      <w:tabs>
        <w:tab w:val="left" w:pos="3600"/>
        <w:tab w:val="left" w:pos="3958"/>
      </w:tabs>
    </w:pPr>
  </w:style>
  <w:style w:type="paragraph" w:customStyle="1" w:styleId="Note">
    <w:name w:val="Note"/>
    <w:basedOn w:val="BodyText"/>
    <w:rsid w:val="00FC0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A7D"/>
    <w:pPr>
      <w:framePr w:wrap="auto" w:hAnchor="text" w:y="6049"/>
    </w:pPr>
    <w:rPr>
      <w:color w:val="000000"/>
      <w:sz w:val="40"/>
    </w:rPr>
  </w:style>
  <w:style w:type="paragraph" w:customStyle="1" w:styleId="TOCTitle">
    <w:name w:val="TOCTitle"/>
    <w:basedOn w:val="Heading1"/>
    <w:rsid w:val="00FC0A7D"/>
    <w:pPr>
      <w:spacing w:after="240"/>
      <w:jc w:val="center"/>
      <w:outlineLvl w:val="9"/>
    </w:pPr>
    <w:rPr>
      <w:caps/>
    </w:rPr>
  </w:style>
  <w:style w:type="paragraph" w:customStyle="1" w:styleId="Version">
    <w:name w:val="Version"/>
    <w:rsid w:val="00FC0A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A7D"/>
    <w:pPr>
      <w:numPr>
        <w:numId w:val="13"/>
      </w:numPr>
      <w:tabs>
        <w:tab w:val="clear" w:pos="680"/>
      </w:tabs>
    </w:pPr>
  </w:style>
  <w:style w:type="paragraph" w:styleId="Index1">
    <w:name w:val="index 1"/>
    <w:basedOn w:val="Normal"/>
    <w:next w:val="Normal"/>
    <w:semiHidden/>
    <w:rsid w:val="00FC0A7D"/>
    <w:pPr>
      <w:keepNext w:val="0"/>
      <w:tabs>
        <w:tab w:val="right" w:pos="4176"/>
      </w:tabs>
      <w:ind w:left="198" w:hanging="198"/>
    </w:pPr>
    <w:rPr>
      <w:rFonts w:ascii="Garamond" w:hAnsi="Garamond"/>
    </w:rPr>
  </w:style>
  <w:style w:type="paragraph" w:styleId="IndexHeading">
    <w:name w:val="index heading"/>
    <w:basedOn w:val="Normal"/>
    <w:next w:val="Index1"/>
    <w:semiHidden/>
    <w:rsid w:val="00FC0A7D"/>
    <w:pPr>
      <w:spacing w:before="120" w:after="120"/>
    </w:pPr>
    <w:rPr>
      <w:rFonts w:ascii="Arial" w:hAnsi="Arial"/>
      <w:b/>
      <w:color w:val="918585"/>
      <w:sz w:val="24"/>
    </w:rPr>
  </w:style>
  <w:style w:type="paragraph" w:customStyle="1" w:styleId="Chapter">
    <w:name w:val="Chapter"/>
    <w:basedOn w:val="Normal"/>
    <w:rsid w:val="00FC0A7D"/>
    <w:pPr>
      <w:spacing w:before="240"/>
    </w:pPr>
    <w:rPr>
      <w:rFonts w:ascii="Times New Roman" w:hAnsi="Times New Roman"/>
      <w:smallCaps/>
      <w:spacing w:val="80"/>
      <w:sz w:val="28"/>
    </w:rPr>
  </w:style>
  <w:style w:type="paragraph" w:customStyle="1" w:styleId="InChapter">
    <w:name w:val="InChapter"/>
    <w:basedOn w:val="Heading3"/>
    <w:rsid w:val="00FC0A7D"/>
    <w:pPr>
      <w:spacing w:after="240"/>
      <w:outlineLvl w:val="9"/>
    </w:pPr>
    <w:rPr>
      <w:noProof/>
    </w:rPr>
  </w:style>
  <w:style w:type="paragraph" w:styleId="Index2">
    <w:name w:val="index 2"/>
    <w:basedOn w:val="Normal"/>
    <w:next w:val="Normal"/>
    <w:semiHidden/>
    <w:rsid w:val="00FC0A7D"/>
    <w:pPr>
      <w:tabs>
        <w:tab w:val="right" w:pos="4176"/>
      </w:tabs>
      <w:ind w:left="568" w:hanging="284"/>
    </w:pPr>
    <w:rPr>
      <w:rFonts w:ascii="Garamond" w:hAnsi="Garamond"/>
    </w:rPr>
  </w:style>
  <w:style w:type="paragraph" w:customStyle="1" w:styleId="Byline">
    <w:name w:val="Byline"/>
    <w:rsid w:val="00FC0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A7D"/>
    <w:pPr>
      <w:tabs>
        <w:tab w:val="clear" w:pos="3600"/>
        <w:tab w:val="clear" w:pos="3958"/>
      </w:tabs>
      <w:jc w:val="right"/>
    </w:pPr>
  </w:style>
  <w:style w:type="character" w:styleId="Emphasis">
    <w:name w:val="Emphasis"/>
    <w:basedOn w:val="DefaultParagraphFont"/>
    <w:qFormat/>
    <w:rsid w:val="00FC0A7D"/>
    <w:rPr>
      <w:i/>
    </w:rPr>
  </w:style>
  <w:style w:type="paragraph" w:styleId="Caption">
    <w:name w:val="caption"/>
    <w:basedOn w:val="BodyText"/>
    <w:next w:val="Normal"/>
    <w:qFormat/>
    <w:rsid w:val="00FC0A7D"/>
    <w:pPr>
      <w:framePr w:w="2268" w:hSpace="181" w:vSpace="181" w:wrap="around" w:vAnchor="text" w:hAnchor="page" w:x="1135" w:y="285" w:anchorLock="1"/>
    </w:pPr>
    <w:rPr>
      <w:i/>
    </w:rPr>
  </w:style>
  <w:style w:type="paragraph" w:customStyle="1" w:styleId="MiniTOCTitle">
    <w:name w:val="MiniTOCTitle"/>
    <w:basedOn w:val="Heading4"/>
    <w:rsid w:val="00FC0A7D"/>
    <w:pPr>
      <w:spacing w:before="240"/>
      <w:outlineLvl w:val="9"/>
    </w:pPr>
    <w:rPr>
      <w:noProof/>
      <w:sz w:val="24"/>
    </w:rPr>
  </w:style>
  <w:style w:type="paragraph" w:customStyle="1" w:styleId="MiniTOCItem">
    <w:name w:val="MiniTOCItem"/>
    <w:basedOn w:val="ListBullet"/>
    <w:rsid w:val="00FC0A7D"/>
    <w:pPr>
      <w:numPr>
        <w:numId w:val="0"/>
      </w:numPr>
      <w:tabs>
        <w:tab w:val="right" w:leader="dot" w:pos="6521"/>
      </w:tabs>
      <w:spacing w:before="0" w:after="0"/>
    </w:pPr>
  </w:style>
  <w:style w:type="paragraph" w:customStyle="1" w:styleId="TOFTitle">
    <w:name w:val="TOFTitle"/>
    <w:basedOn w:val="TOCTitle"/>
    <w:rsid w:val="00FC0A7D"/>
  </w:style>
  <w:style w:type="paragraph" w:styleId="TableofFigures">
    <w:name w:val="table of figures"/>
    <w:basedOn w:val="Normal"/>
    <w:next w:val="Normal"/>
    <w:semiHidden/>
    <w:rsid w:val="00FC0A7D"/>
    <w:pPr>
      <w:tabs>
        <w:tab w:val="right" w:leader="dot" w:pos="9072"/>
      </w:tabs>
      <w:ind w:left="970" w:hanging="403"/>
    </w:pPr>
    <w:rPr>
      <w:rFonts w:ascii="Times New Roman" w:hAnsi="Times New Roman"/>
      <w:b/>
    </w:rPr>
  </w:style>
  <w:style w:type="paragraph" w:styleId="ListNumber">
    <w:name w:val="List Number"/>
    <w:basedOn w:val="List"/>
    <w:rsid w:val="00FC0A7D"/>
    <w:pPr>
      <w:numPr>
        <w:numId w:val="10"/>
      </w:numPr>
    </w:pPr>
  </w:style>
  <w:style w:type="character" w:customStyle="1" w:styleId="WingdingSymbols">
    <w:name w:val="Wingding Symbols"/>
    <w:rsid w:val="00FC0A7D"/>
    <w:rPr>
      <w:rFonts w:ascii="Wingdings" w:hAnsi="Wingdings"/>
    </w:rPr>
  </w:style>
  <w:style w:type="paragraph" w:customStyle="1" w:styleId="TableHeading">
    <w:name w:val="Table Heading"/>
    <w:basedOn w:val="HeadingBase"/>
    <w:rsid w:val="00FC0A7D"/>
    <w:pPr>
      <w:keepLines/>
      <w:pBdr>
        <w:bottom w:val="single" w:sz="6" w:space="1" w:color="918585"/>
      </w:pBdr>
      <w:spacing w:before="240"/>
    </w:pPr>
  </w:style>
  <w:style w:type="character" w:customStyle="1" w:styleId="HotSpot">
    <w:name w:val="HotSpot"/>
    <w:rsid w:val="00FC0A7D"/>
    <w:rPr>
      <w:color w:val="0033CC"/>
      <w:u w:val="none"/>
    </w:rPr>
  </w:style>
  <w:style w:type="paragraph" w:customStyle="1" w:styleId="BodyTextRight">
    <w:name w:val="Body Text Right"/>
    <w:basedOn w:val="BodyText"/>
    <w:rsid w:val="00FC0A7D"/>
    <w:pPr>
      <w:spacing w:before="0" w:after="0"/>
      <w:jc w:val="right"/>
    </w:pPr>
  </w:style>
  <w:style w:type="paragraph" w:styleId="Index3">
    <w:name w:val="index 3"/>
    <w:basedOn w:val="ListNumber2"/>
    <w:next w:val="Normal"/>
    <w:semiHidden/>
    <w:rsid w:val="00FC0A7D"/>
    <w:pPr>
      <w:numPr>
        <w:numId w:val="0"/>
      </w:numPr>
      <w:tabs>
        <w:tab w:val="right" w:leader="dot" w:pos="4176"/>
      </w:tabs>
    </w:pPr>
  </w:style>
  <w:style w:type="paragraph" w:styleId="ListNumber2">
    <w:name w:val="List Number 2"/>
    <w:basedOn w:val="List2"/>
    <w:rsid w:val="00FC0A7D"/>
    <w:pPr>
      <w:numPr>
        <w:numId w:val="9"/>
      </w:numPr>
      <w:tabs>
        <w:tab w:val="clear" w:pos="1060"/>
      </w:tabs>
    </w:pPr>
  </w:style>
  <w:style w:type="paragraph" w:customStyle="1" w:styleId="MarginNote">
    <w:name w:val="Margin Note"/>
    <w:basedOn w:val="BodyText"/>
    <w:rsid w:val="00FC0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A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A7D"/>
    <w:rPr>
      <w:sz w:val="32"/>
    </w:rPr>
  </w:style>
  <w:style w:type="paragraph" w:customStyle="1" w:styleId="HeadingProcedure">
    <w:name w:val="Heading Procedure"/>
    <w:basedOn w:val="HeadingBase"/>
    <w:next w:val="Normal"/>
    <w:rsid w:val="00FC0A7D"/>
    <w:pPr>
      <w:tabs>
        <w:tab w:val="left" w:pos="0"/>
      </w:tabs>
      <w:spacing w:before="120" w:after="60"/>
    </w:pPr>
    <w:rPr>
      <w:i/>
      <w:color w:val="918585"/>
      <w:sz w:val="22"/>
    </w:rPr>
  </w:style>
  <w:style w:type="paragraph" w:customStyle="1" w:styleId="TableBodyText">
    <w:name w:val="Table Body Text"/>
    <w:basedOn w:val="BodyText"/>
    <w:rsid w:val="00FC0A7D"/>
    <w:pPr>
      <w:spacing w:before="60" w:after="60"/>
    </w:pPr>
  </w:style>
  <w:style w:type="paragraph" w:styleId="ListContinue">
    <w:name w:val="List Continue"/>
    <w:basedOn w:val="List"/>
    <w:rsid w:val="00FC0A7D"/>
    <w:pPr>
      <w:ind w:firstLine="0"/>
    </w:pPr>
  </w:style>
  <w:style w:type="paragraph" w:customStyle="1" w:styleId="ListNote">
    <w:name w:val="List Note"/>
    <w:basedOn w:val="List"/>
    <w:rsid w:val="00FC0A7D"/>
    <w:pPr>
      <w:pBdr>
        <w:top w:val="single" w:sz="6" w:space="2" w:color="918585"/>
        <w:bottom w:val="single" w:sz="6" w:space="2" w:color="918585"/>
      </w:pBdr>
      <w:tabs>
        <w:tab w:val="left" w:pos="1021"/>
      </w:tabs>
      <w:ind w:firstLine="0"/>
    </w:pPr>
  </w:style>
  <w:style w:type="paragraph" w:customStyle="1" w:styleId="Warning">
    <w:name w:val="Warning"/>
    <w:basedOn w:val="BodyText"/>
    <w:rsid w:val="00FC0A7D"/>
    <w:pPr>
      <w:shd w:val="clear" w:color="auto" w:fill="D9D9D9"/>
      <w:tabs>
        <w:tab w:val="left" w:pos="992"/>
      </w:tabs>
      <w:ind w:left="119" w:right="119"/>
    </w:pPr>
    <w:rPr>
      <w:sz w:val="20"/>
    </w:rPr>
  </w:style>
  <w:style w:type="paragraph" w:customStyle="1" w:styleId="MarginIcons">
    <w:name w:val="Margin Icons"/>
    <w:basedOn w:val="BodyText"/>
    <w:rsid w:val="00FC0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A7D"/>
    <w:rPr>
      <w:rFonts w:ascii="Courier New" w:hAnsi="Courier New"/>
    </w:rPr>
  </w:style>
  <w:style w:type="paragraph" w:customStyle="1" w:styleId="NoteBullet">
    <w:name w:val="Note Bullet"/>
    <w:basedOn w:val="Note"/>
    <w:rsid w:val="00FC0A7D"/>
    <w:pPr>
      <w:tabs>
        <w:tab w:val="clear" w:pos="680"/>
      </w:tabs>
      <w:spacing w:before="60" w:after="60"/>
    </w:pPr>
  </w:style>
  <w:style w:type="paragraph" w:customStyle="1" w:styleId="SubHeading2">
    <w:name w:val="SubHeading2"/>
    <w:basedOn w:val="HeadingBase"/>
    <w:rsid w:val="00FC0A7D"/>
    <w:pPr>
      <w:spacing w:before="240" w:after="60"/>
    </w:pPr>
    <w:rPr>
      <w:sz w:val="20"/>
    </w:rPr>
  </w:style>
  <w:style w:type="paragraph" w:customStyle="1" w:styleId="SubHeading1">
    <w:name w:val="SubHeading1"/>
    <w:basedOn w:val="HeadingBase"/>
    <w:rsid w:val="00FC0A7D"/>
    <w:pPr>
      <w:spacing w:before="240" w:after="60"/>
    </w:pPr>
    <w:rPr>
      <w:color w:val="918585"/>
      <w:sz w:val="22"/>
    </w:rPr>
  </w:style>
  <w:style w:type="paragraph" w:customStyle="1" w:styleId="SideHeading">
    <w:name w:val="Side Heading"/>
    <w:basedOn w:val="HeadingBase"/>
    <w:rsid w:val="00FC0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A7D"/>
    <w:pPr>
      <w:tabs>
        <w:tab w:val="num" w:pos="360"/>
      </w:tabs>
    </w:pPr>
  </w:style>
  <w:style w:type="paragraph" w:styleId="PlainText">
    <w:name w:val="Plain Text"/>
    <w:basedOn w:val="Normal"/>
    <w:link w:val="PlainTextChar"/>
    <w:rsid w:val="00FC0A7D"/>
    <w:rPr>
      <w:sz w:val="20"/>
    </w:rPr>
  </w:style>
  <w:style w:type="character" w:customStyle="1" w:styleId="PlainTextChar">
    <w:name w:val="Plain Text Char"/>
    <w:basedOn w:val="DefaultParagraphFont"/>
    <w:link w:val="PlainText"/>
    <w:rsid w:val="00FC0A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A7D"/>
    <w:rPr>
      <w:b/>
      <w:smallCaps/>
    </w:rPr>
  </w:style>
  <w:style w:type="paragraph" w:customStyle="1" w:styleId="TableListNumber">
    <w:name w:val="Table List Number"/>
    <w:basedOn w:val="ListNumber"/>
    <w:rsid w:val="00FC0A7D"/>
    <w:pPr>
      <w:numPr>
        <w:numId w:val="0"/>
      </w:numPr>
    </w:pPr>
  </w:style>
  <w:style w:type="paragraph" w:styleId="TOC4">
    <w:name w:val="toc 4"/>
    <w:basedOn w:val="TOCBase"/>
    <w:next w:val="Normal"/>
    <w:semiHidden/>
    <w:rsid w:val="00FC0A7D"/>
    <w:pPr>
      <w:tabs>
        <w:tab w:val="right" w:leader="dot" w:pos="9071"/>
      </w:tabs>
      <w:ind w:left="1701"/>
    </w:pPr>
  </w:style>
  <w:style w:type="paragraph" w:customStyle="1" w:styleId="ListAlpha">
    <w:name w:val="List Alpha"/>
    <w:basedOn w:val="List"/>
    <w:rsid w:val="00FC0A7D"/>
    <w:pPr>
      <w:numPr>
        <w:numId w:val="8"/>
      </w:numPr>
    </w:pPr>
  </w:style>
  <w:style w:type="paragraph" w:customStyle="1" w:styleId="ListAlpha2">
    <w:name w:val="List Alpha 2"/>
    <w:basedOn w:val="List2"/>
    <w:rsid w:val="00FC0A7D"/>
    <w:pPr>
      <w:numPr>
        <w:numId w:val="7"/>
      </w:numPr>
    </w:pPr>
  </w:style>
  <w:style w:type="paragraph" w:styleId="List3">
    <w:name w:val="List 3"/>
    <w:basedOn w:val="BodyText"/>
    <w:rsid w:val="00FC0A7D"/>
    <w:pPr>
      <w:tabs>
        <w:tab w:val="left" w:pos="1021"/>
      </w:tabs>
      <w:spacing w:before="60" w:after="60"/>
      <w:ind w:left="1020" w:hanging="340"/>
    </w:pPr>
  </w:style>
  <w:style w:type="paragraph" w:styleId="List4">
    <w:name w:val="List 4"/>
    <w:basedOn w:val="BodyText"/>
    <w:rsid w:val="00FC0A7D"/>
    <w:pPr>
      <w:tabs>
        <w:tab w:val="left" w:pos="1361"/>
      </w:tabs>
      <w:spacing w:before="60" w:after="60"/>
      <w:ind w:left="1361" w:hanging="340"/>
    </w:pPr>
  </w:style>
  <w:style w:type="paragraph" w:styleId="List5">
    <w:name w:val="List 5"/>
    <w:basedOn w:val="BodyText"/>
    <w:rsid w:val="00FC0A7D"/>
    <w:pPr>
      <w:tabs>
        <w:tab w:val="left" w:pos="1701"/>
      </w:tabs>
      <w:spacing w:before="60" w:after="60"/>
      <w:ind w:left="1701" w:hanging="340"/>
    </w:pPr>
  </w:style>
  <w:style w:type="paragraph" w:styleId="ListBullet3">
    <w:name w:val="List Bullet 3"/>
    <w:basedOn w:val="List3"/>
    <w:rsid w:val="00FC0A7D"/>
    <w:pPr>
      <w:numPr>
        <w:numId w:val="14"/>
      </w:numPr>
      <w:tabs>
        <w:tab w:val="clear" w:pos="1021"/>
      </w:tabs>
      <w:ind w:left="1037" w:hanging="357"/>
    </w:pPr>
  </w:style>
  <w:style w:type="paragraph" w:styleId="ListBullet4">
    <w:name w:val="List Bullet 4"/>
    <w:basedOn w:val="List4"/>
    <w:rsid w:val="00FC0A7D"/>
    <w:pPr>
      <w:numPr>
        <w:numId w:val="2"/>
      </w:numPr>
    </w:pPr>
  </w:style>
  <w:style w:type="paragraph" w:styleId="ListBullet5">
    <w:name w:val="List Bullet 5"/>
    <w:basedOn w:val="List5"/>
    <w:rsid w:val="00FC0A7D"/>
    <w:pPr>
      <w:numPr>
        <w:numId w:val="3"/>
      </w:numPr>
    </w:pPr>
  </w:style>
  <w:style w:type="paragraph" w:styleId="ListContinue2">
    <w:name w:val="List Continue 2"/>
    <w:basedOn w:val="List2"/>
    <w:rsid w:val="00FC0A7D"/>
    <w:pPr>
      <w:ind w:firstLine="0"/>
    </w:pPr>
  </w:style>
  <w:style w:type="paragraph" w:styleId="ListContinue3">
    <w:name w:val="List Continue 3"/>
    <w:basedOn w:val="List3"/>
    <w:rsid w:val="00FC0A7D"/>
    <w:pPr>
      <w:ind w:left="1021" w:firstLine="0"/>
    </w:pPr>
  </w:style>
  <w:style w:type="paragraph" w:styleId="ListContinue4">
    <w:name w:val="List Continue 4"/>
    <w:basedOn w:val="List4"/>
    <w:rsid w:val="00FC0A7D"/>
    <w:pPr>
      <w:ind w:firstLine="0"/>
    </w:pPr>
  </w:style>
  <w:style w:type="paragraph" w:styleId="ListContinue5">
    <w:name w:val="List Continue 5"/>
    <w:basedOn w:val="List5"/>
    <w:rsid w:val="00FC0A7D"/>
    <w:pPr>
      <w:ind w:firstLine="0"/>
    </w:pPr>
  </w:style>
  <w:style w:type="paragraph" w:styleId="ListNumber3">
    <w:name w:val="List Number 3"/>
    <w:basedOn w:val="List3"/>
    <w:rsid w:val="00FC0A7D"/>
    <w:pPr>
      <w:numPr>
        <w:numId w:val="4"/>
      </w:numPr>
    </w:pPr>
  </w:style>
  <w:style w:type="paragraph" w:styleId="ListNumber4">
    <w:name w:val="List Number 4"/>
    <w:basedOn w:val="List4"/>
    <w:rsid w:val="00FC0A7D"/>
    <w:pPr>
      <w:numPr>
        <w:numId w:val="5"/>
      </w:numPr>
    </w:pPr>
  </w:style>
  <w:style w:type="paragraph" w:styleId="ListNumber5">
    <w:name w:val="List Number 5"/>
    <w:basedOn w:val="List5"/>
    <w:rsid w:val="00FC0A7D"/>
    <w:pPr>
      <w:numPr>
        <w:numId w:val="6"/>
      </w:numPr>
    </w:pPr>
  </w:style>
  <w:style w:type="paragraph" w:styleId="BlockText">
    <w:name w:val="Block Text"/>
    <w:basedOn w:val="Normal"/>
    <w:rsid w:val="00FC0A7D"/>
    <w:pPr>
      <w:spacing w:after="120"/>
      <w:ind w:left="1440" w:right="1440"/>
    </w:pPr>
  </w:style>
  <w:style w:type="character" w:customStyle="1" w:styleId="Subscript">
    <w:name w:val="Subscript"/>
    <w:basedOn w:val="DefaultParagraphFont"/>
    <w:rsid w:val="00FC0A7D"/>
    <w:rPr>
      <w:sz w:val="16"/>
      <w:vertAlign w:val="subscript"/>
    </w:rPr>
  </w:style>
  <w:style w:type="character" w:customStyle="1" w:styleId="Superscript">
    <w:name w:val="Superscript"/>
    <w:basedOn w:val="DefaultParagraphFont"/>
    <w:rsid w:val="00FC0A7D"/>
    <w:rPr>
      <w:sz w:val="16"/>
      <w:vertAlign w:val="superscript"/>
    </w:rPr>
  </w:style>
  <w:style w:type="character" w:customStyle="1" w:styleId="Symbols">
    <w:name w:val="Symbols"/>
    <w:basedOn w:val="DefaultParagraphFont"/>
    <w:rsid w:val="00FC0A7D"/>
    <w:rPr>
      <w:rFonts w:ascii="Symbol" w:hAnsi="Symbol"/>
    </w:rPr>
  </w:style>
  <w:style w:type="character" w:customStyle="1" w:styleId="MenuOptions">
    <w:name w:val="Menu Options"/>
    <w:basedOn w:val="DefaultParagraphFont"/>
    <w:rsid w:val="00FC0A7D"/>
    <w:rPr>
      <w:rFonts w:ascii="Arial Narrow" w:hAnsi="Arial Narrow"/>
      <w:smallCaps/>
    </w:rPr>
  </w:style>
  <w:style w:type="character" w:customStyle="1" w:styleId="Buttons">
    <w:name w:val="Buttons"/>
    <w:basedOn w:val="DefaultParagraphFont"/>
    <w:rsid w:val="00FC0A7D"/>
    <w:rPr>
      <w:b/>
    </w:rPr>
  </w:style>
  <w:style w:type="character" w:customStyle="1" w:styleId="Underlined">
    <w:name w:val="Underlined"/>
    <w:basedOn w:val="DefaultParagraphFont"/>
    <w:rsid w:val="00FC0A7D"/>
    <w:rPr>
      <w:u w:val="single"/>
    </w:rPr>
  </w:style>
  <w:style w:type="paragraph" w:customStyle="1" w:styleId="TableBodyTextRight">
    <w:name w:val="Table Body Text Right"/>
    <w:basedOn w:val="TableBodyText"/>
    <w:rsid w:val="00FC0A7D"/>
    <w:pPr>
      <w:widowControl w:val="0"/>
      <w:autoSpaceDE w:val="0"/>
      <w:autoSpaceDN w:val="0"/>
      <w:adjustRightInd w:val="0"/>
      <w:jc w:val="right"/>
    </w:pPr>
    <w:rPr>
      <w:rFonts w:cs="Arial"/>
      <w:szCs w:val="18"/>
    </w:rPr>
  </w:style>
  <w:style w:type="paragraph" w:customStyle="1" w:styleId="CopyrightText">
    <w:name w:val="Copyright Text"/>
    <w:basedOn w:val="BodyText"/>
    <w:rsid w:val="00FC0A7D"/>
    <w:rPr>
      <w:sz w:val="18"/>
    </w:rPr>
  </w:style>
  <w:style w:type="paragraph" w:customStyle="1" w:styleId="BodySmallRight">
    <w:name w:val="Body Small Right"/>
    <w:basedOn w:val="BodyTextRight"/>
    <w:rsid w:val="00FC0A7D"/>
    <w:rPr>
      <w:sz w:val="18"/>
      <w:szCs w:val="18"/>
    </w:rPr>
  </w:style>
  <w:style w:type="paragraph" w:customStyle="1" w:styleId="MarginEdition">
    <w:name w:val="Margin Edition"/>
    <w:basedOn w:val="MarginNote"/>
    <w:rsid w:val="00FC0A7D"/>
    <w:pPr>
      <w:spacing w:before="0" w:after="0"/>
    </w:pPr>
    <w:rPr>
      <w:rFonts w:ascii="Times New Roman" w:hAnsi="Times New Roman"/>
      <w:color w:val="999999"/>
    </w:rPr>
  </w:style>
  <w:style w:type="paragraph" w:customStyle="1" w:styleId="Spacer">
    <w:name w:val="Spacer"/>
    <w:basedOn w:val="Normal"/>
    <w:rsid w:val="00FC0A7D"/>
    <w:rPr>
      <w:sz w:val="2"/>
      <w:szCs w:val="2"/>
    </w:rPr>
  </w:style>
  <w:style w:type="character" w:customStyle="1" w:styleId="Small">
    <w:name w:val="Small"/>
    <w:basedOn w:val="DefaultParagraphFont"/>
    <w:rsid w:val="00FC0A7D"/>
    <w:rPr>
      <w:sz w:val="16"/>
    </w:rPr>
  </w:style>
  <w:style w:type="paragraph" w:customStyle="1" w:styleId="WideTable">
    <w:name w:val="Wide Table"/>
    <w:basedOn w:val="Normal"/>
    <w:rsid w:val="00FC0A7D"/>
    <w:pPr>
      <w:ind w:left="-1418"/>
    </w:pPr>
    <w:rPr>
      <w:sz w:val="2"/>
      <w:szCs w:val="2"/>
    </w:rPr>
  </w:style>
  <w:style w:type="character" w:styleId="PageNumber">
    <w:name w:val="page number"/>
    <w:basedOn w:val="DefaultParagraphFont"/>
    <w:rsid w:val="00FC0A7D"/>
  </w:style>
  <w:style w:type="paragraph" w:styleId="Quote">
    <w:name w:val="Quote"/>
    <w:basedOn w:val="Heading1"/>
    <w:link w:val="QuoteChar"/>
    <w:qFormat/>
    <w:rsid w:val="00FC0A7D"/>
    <w:rPr>
      <w:b w:val="0"/>
      <w:sz w:val="72"/>
      <w:szCs w:val="72"/>
      <w:lang w:val="en-NZ"/>
    </w:rPr>
  </w:style>
  <w:style w:type="character" w:customStyle="1" w:styleId="QuoteChar">
    <w:name w:val="Quote Char"/>
    <w:basedOn w:val="DefaultParagraphFont"/>
    <w:link w:val="Quote"/>
    <w:rsid w:val="00FC0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A7D"/>
    <w:pPr>
      <w:pageBreakBefore/>
    </w:pPr>
  </w:style>
  <w:style w:type="paragraph" w:customStyle="1" w:styleId="Border">
    <w:name w:val="Border"/>
    <w:basedOn w:val="Normal"/>
    <w:qFormat/>
    <w:rsid w:val="00FC0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A7D"/>
    <w:rPr>
      <w:b/>
      <w:bCs/>
      <w:i/>
      <w:iCs/>
      <w:color w:val="auto"/>
    </w:rPr>
  </w:style>
  <w:style w:type="paragraph" w:styleId="IntenseQuote">
    <w:name w:val="Intense Quote"/>
    <w:basedOn w:val="Normal"/>
    <w:next w:val="Normal"/>
    <w:link w:val="IntenseQuoteChar"/>
    <w:uiPriority w:val="30"/>
    <w:qFormat/>
    <w:rsid w:val="00FC0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A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A7D"/>
    <w:rPr>
      <w:smallCaps/>
      <w:color w:val="auto"/>
      <w:u w:val="single"/>
    </w:rPr>
  </w:style>
  <w:style w:type="character" w:styleId="IntenseReference">
    <w:name w:val="Intense Reference"/>
    <w:basedOn w:val="DefaultParagraphFont"/>
    <w:uiPriority w:val="32"/>
    <w:qFormat/>
    <w:rsid w:val="00FC0A7D"/>
    <w:rPr>
      <w:b/>
      <w:bCs/>
      <w:smallCaps/>
      <w:color w:val="auto"/>
      <w:spacing w:val="5"/>
      <w:u w:val="single"/>
    </w:rPr>
  </w:style>
  <w:style w:type="paragraph" w:customStyle="1" w:styleId="2ColumnHeading">
    <w:name w:val="2Column Heading"/>
    <w:basedOn w:val="BodyText"/>
    <w:qFormat/>
    <w:rsid w:val="00FC0A7D"/>
    <w:pPr>
      <w:spacing w:after="60"/>
      <w:ind w:left="-2268"/>
    </w:pPr>
    <w:rPr>
      <w:b/>
    </w:rPr>
  </w:style>
  <w:style w:type="paragraph" w:customStyle="1" w:styleId="Heading1TOC">
    <w:name w:val="Heading1 TOC"/>
    <w:basedOn w:val="Normal"/>
    <w:qFormat/>
    <w:rsid w:val="00FC0A7D"/>
    <w:pPr>
      <w:spacing w:before="240" w:after="120"/>
    </w:pPr>
    <w:rPr>
      <w:rFonts w:ascii="Times New Roman" w:hAnsi="Times New Roman"/>
      <w:b/>
      <w:sz w:val="32"/>
    </w:rPr>
  </w:style>
  <w:style w:type="paragraph" w:customStyle="1" w:styleId="Heading2TOC">
    <w:name w:val="Heading2 TOC"/>
    <w:basedOn w:val="Normal"/>
    <w:qFormat/>
    <w:rsid w:val="00FC0A7D"/>
    <w:pPr>
      <w:spacing w:before="240" w:after="60"/>
    </w:pPr>
    <w:rPr>
      <w:rFonts w:ascii="Times New Roman" w:hAnsi="Times New Roman"/>
      <w:b/>
      <w:sz w:val="28"/>
    </w:rPr>
  </w:style>
  <w:style w:type="character" w:customStyle="1" w:styleId="Underline">
    <w:name w:val="Underline"/>
    <w:basedOn w:val="DefaultParagraphFont"/>
    <w:qFormat/>
    <w:rsid w:val="00FC0A7D"/>
    <w:rPr>
      <w:u w:val="single"/>
    </w:rPr>
  </w:style>
  <w:style w:type="character" w:customStyle="1" w:styleId="BoldandItalics">
    <w:name w:val="Bold and Italics"/>
    <w:qFormat/>
    <w:rsid w:val="00FC0A7D"/>
    <w:rPr>
      <w:b/>
      <w:i/>
      <w:u w:val="none"/>
    </w:rPr>
  </w:style>
  <w:style w:type="paragraph" w:styleId="BalloonText">
    <w:name w:val="Balloon Text"/>
    <w:basedOn w:val="Normal"/>
    <w:link w:val="BalloonTextChar"/>
    <w:rsid w:val="00FC0A7D"/>
    <w:rPr>
      <w:rFonts w:ascii="Tahoma" w:hAnsi="Tahoma" w:cs="Tahoma"/>
      <w:sz w:val="16"/>
      <w:szCs w:val="16"/>
    </w:rPr>
  </w:style>
  <w:style w:type="character" w:customStyle="1" w:styleId="BalloonTextChar">
    <w:name w:val="Balloon Text Char"/>
    <w:basedOn w:val="DefaultParagraphFont"/>
    <w:link w:val="BalloonText"/>
    <w:rsid w:val="00FC0A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A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A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901</Words>
  <Characters>5652</Characters>
  <Application>Microsoft Office Word</Application>
  <DocSecurity>0</DocSecurity>
  <Lines>213</Lines>
  <Paragraphs>94</Paragraphs>
  <ScaleCrop>false</ScaleCrop>
  <Company>Author-it Software Corporation Ltd.</Company>
  <LinksUpToDate>false</LinksUpToDate>
  <CharactersWithSpaces>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MEM11008B Package materials (stores and warehouse)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2012-05-27T01:42:00Z</dcterms:created>
  <dcterms:modified xsi:type="dcterms:W3CDTF">2012-05-27T01:42:00Z</dcterms:modified>
</cp:coreProperties>
</file>