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11C" w:rsidP="00DF611C">
      <w:pPr>
        <w:pStyle w:val="Title"/>
      </w:pPr>
      <w:r>
        <w:fldChar w:fldCharType="begin"/>
      </w:r>
      <w:r>
        <w:instrText xml:space="preserve"> TITLE   \* MERGEFORMAT </w:instrText>
      </w:r>
      <w:r>
        <w:fldChar w:fldCharType="separate"/>
      </w:r>
      <w:r>
        <w:t>MEM11005B Pick and process order</w:t>
      </w:r>
      <w:r>
        <w:fldChar w:fldCharType="end"/>
      </w:r>
    </w:p>
    <w:p w:rsidR="00DF611C" w:rsidP="00DF611C">
      <w:pPr>
        <w:pStyle w:val="Version"/>
        <w:sectPr w:rsidSect="00AA1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478" w:rsidP="00AA1478">
      <w:pPr>
        <w:pStyle w:val="SuperHeading"/>
      </w:pPr>
      <w:r w:rsidRPr="00AA1478">
        <w:t>MEM11005B Pick and process order</w:t>
      </w:r>
    </w:p>
    <w:p w:rsidR="00000000" w:rsidRPr="00AA1478" w:rsidP="00AA1478">
      <w:pPr>
        <w:pStyle w:val="Heading1"/>
      </w:pPr>
      <w:bookmarkStart w:id="1" w:name="O_272135"/>
      <w:bookmarkEnd w:id="1"/>
      <w:r w:rsidRPr="00AA1478">
        <w:t>Modification History</w:t>
      </w:r>
    </w:p>
    <w:p w:rsidR="00000000" w:rsidRPr="00AA1478" w:rsidP="00AA1478">
      <w:pPr>
        <w:pStyle w:val="BodyText"/>
      </w:pPr>
      <w:r w:rsidRPr="00AA1478">
        <w:t>Not Applicable</w:t>
      </w:r>
    </w:p>
    <w:p w:rsidR="00000000" w:rsidRPr="00AA1478" w:rsidP="00AA1478">
      <w:pPr>
        <w:pStyle w:val="AllowPageBreak"/>
      </w:pPr>
    </w:p>
    <w:p w:rsidR="00000000" w:rsidRPr="00AA1478" w:rsidP="00AA1478">
      <w:pPr>
        <w:pStyle w:val="Heading1"/>
      </w:pPr>
      <w:bookmarkStart w:id="2" w:name="O_211383"/>
      <w:bookmarkEnd w:id="2"/>
      <w:r w:rsidRPr="00AA1478">
        <w:t>Unit Descriptor</w:t>
      </w:r>
    </w:p>
    <w:tbl>
      <w:tblPr>
        <w:tblW w:w="0" w:type="auto"/>
        <w:tblLayout w:type="fixed"/>
        <w:tblCellMar>
          <w:left w:w="62" w:type="dxa"/>
          <w:right w:w="62" w:type="dxa"/>
        </w:tblCellMar>
        <w:tblLook w:val="0000"/>
      </w:tblPr>
      <w:tblGrid>
        <w:gridCol w:w="2664"/>
        <w:gridCol w:w="5858"/>
      </w:tblGrid>
      <w:tr w:rsidTr="00DF611C">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This unit covers receiving an order, picking an order, checking against documentation, placing in the correct area and</w:t>
            </w:r>
            <w:r w:rsidRPr="00AA1478">
              <w:t xml:space="preserve"> completing enterprise documentation.</w:t>
            </w:r>
          </w:p>
        </w:tc>
      </w:tr>
    </w:tbl>
    <w:p w:rsidR="00DF611C" w:rsidP="00AA1478">
      <w:pPr>
        <w:pStyle w:val="BodyText"/>
      </w:pPr>
    </w:p>
    <w:p w:rsidR="00DF611C" w:rsidP="00AA1478">
      <w:pPr>
        <w:pStyle w:val="BodyText"/>
      </w:pPr>
    </w:p>
    <w:p w:rsidR="00000000" w:rsidRPr="00AA1478" w:rsidP="00AA1478">
      <w:pPr>
        <w:pStyle w:val="Heading1"/>
      </w:pPr>
      <w:bookmarkStart w:id="3" w:name="O_211387"/>
      <w:bookmarkEnd w:id="3"/>
      <w:r w:rsidRPr="00AA1478">
        <w:t>Application of the Unit</w:t>
      </w:r>
    </w:p>
    <w:tbl>
      <w:tblPr>
        <w:tblW w:w="0" w:type="auto"/>
        <w:tblLayout w:type="fixed"/>
        <w:tblCellMar>
          <w:left w:w="62" w:type="dxa"/>
          <w:right w:w="62" w:type="dxa"/>
        </w:tblCellMar>
        <w:tblLook w:val="0000"/>
      </w:tblPr>
      <w:tblGrid>
        <w:gridCol w:w="2745"/>
        <w:gridCol w:w="5777"/>
      </w:tblGrid>
      <w:tr w:rsidTr="00DF611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 xml:space="preserve">This unit applies where the employee needs to exercise knowledge of the enterprise product range and the procedures, practices and standards </w:t>
            </w:r>
            <w:r w:rsidRPr="00AA1478">
              <w:t>for the storage and handling of a product.</w:t>
            </w:r>
          </w:p>
          <w:p w:rsidR="00000000" w:rsidRPr="00AA1478" w:rsidP="00AA1478">
            <w:pPr>
              <w:pStyle w:val="BodyText"/>
            </w:pPr>
            <w:r w:rsidRPr="00AA1478">
              <w:t>If materials handling equipment skills are needed, Unit MEM11010B (Operate mobile load shifting equipment) should be accessed.</w:t>
            </w:r>
          </w:p>
          <w:p w:rsidR="00000000" w:rsidRPr="00AA1478" w:rsidP="00AA1478">
            <w:pPr>
              <w:pStyle w:val="BodyText"/>
            </w:pPr>
            <w:r w:rsidRPr="00AA1478">
              <w:t>Simple handling of goods not requiring the ability to identify different products or t</w:t>
            </w:r>
            <w:r w:rsidRPr="00AA1478">
              <w:t>o interact with inventory records and stock location systems is covered by Unit MEM11010B (Operate mobile load shifting equipment) or Unit MEM11011B (Undertake manual handling).</w:t>
            </w:r>
          </w:p>
          <w:p w:rsidR="00000000" w:rsidRPr="00AA1478" w:rsidP="00AA1478">
            <w:pPr>
              <w:pStyle w:val="BodyText"/>
            </w:pPr>
          </w:p>
          <w:p w:rsidR="00000000" w:rsidRPr="00AA1478" w:rsidP="00AA1478">
            <w:pPr>
              <w:pStyle w:val="BodyText"/>
            </w:pPr>
            <w:r w:rsidRPr="00AA1478">
              <w:rPr>
                <w:rStyle w:val="SpecialBold"/>
              </w:rPr>
              <w:t>Band</w:t>
            </w:r>
            <w:r w:rsidRPr="00AA1478">
              <w:t>:</w:t>
            </w:r>
            <w:r w:rsidRPr="00AA1478">
              <w:tab/>
            </w:r>
            <w:r w:rsidRPr="00AA1478">
              <w:rPr>
                <w:rStyle w:val="SpecialBold"/>
              </w:rPr>
              <w:t>A</w:t>
            </w:r>
          </w:p>
          <w:p w:rsidR="00000000" w:rsidRPr="00AA1478" w:rsidP="00AA1478">
            <w:pPr>
              <w:pStyle w:val="BodyText"/>
            </w:pPr>
            <w:r w:rsidRPr="00AA1478">
              <w:rPr>
                <w:rStyle w:val="SpecialBold"/>
              </w:rPr>
              <w:t>Unit Weight</w:t>
            </w:r>
            <w:r w:rsidRPr="00AA1478">
              <w:t>:</w:t>
            </w:r>
            <w:r w:rsidRPr="00AA1478">
              <w:tab/>
            </w:r>
            <w:r w:rsidRPr="00AA1478">
              <w:rPr>
                <w:rStyle w:val="SpecialBold"/>
              </w:rPr>
              <w:t>4</w:t>
            </w:r>
          </w:p>
        </w:tc>
      </w:tr>
    </w:tbl>
    <w:p w:rsidR="00DF611C" w:rsidP="00AA1478">
      <w:pPr>
        <w:pStyle w:val="BodyText"/>
      </w:pPr>
    </w:p>
    <w:p w:rsidR="00DF611C" w:rsidP="00AA1478">
      <w:pPr>
        <w:pStyle w:val="BodyText"/>
      </w:pPr>
    </w:p>
    <w:p w:rsidR="00000000" w:rsidRPr="00AA1478" w:rsidP="00AA1478">
      <w:pPr>
        <w:pStyle w:val="Heading1"/>
      </w:pPr>
      <w:bookmarkStart w:id="4" w:name="O_280395"/>
      <w:bookmarkEnd w:id="4"/>
      <w:r w:rsidRPr="00AA1478">
        <w:t>Licensing/Regulatory Information</w:t>
      </w:r>
    </w:p>
    <w:p w:rsidR="00000000" w:rsidRPr="00AA1478" w:rsidP="00AA1478">
      <w:pPr>
        <w:pStyle w:val="BodyText"/>
      </w:pPr>
      <w:r w:rsidRPr="00AA1478">
        <w:t>Not Applicable</w:t>
      </w:r>
    </w:p>
    <w:p w:rsidR="00000000" w:rsidRPr="00AA1478" w:rsidP="00AA1478">
      <w:pPr>
        <w:pStyle w:val="AllowPageBreak"/>
      </w:pPr>
    </w:p>
    <w:p w:rsidR="00000000" w:rsidRPr="00AA1478" w:rsidP="00AA1478">
      <w:pPr>
        <w:pStyle w:val="Heading1"/>
      </w:pPr>
      <w:bookmarkStart w:id="5" w:name="O_211385"/>
      <w:bookmarkEnd w:id="5"/>
      <w:r w:rsidRPr="00AA1478">
        <w:t>Pre-Requisites</w:t>
      </w:r>
    </w:p>
    <w:tbl>
      <w:tblPr>
        <w:tblW w:w="0" w:type="auto"/>
        <w:tblLayout w:type="fixed"/>
        <w:tblCellMar>
          <w:left w:w="62" w:type="dxa"/>
          <w:right w:w="62" w:type="dxa"/>
        </w:tblCellMar>
        <w:tblLook w:val="0000"/>
      </w:tblPr>
      <w:tblGrid>
        <w:gridCol w:w="2775"/>
        <w:gridCol w:w="1295"/>
        <w:gridCol w:w="4452"/>
      </w:tblGrid>
      <w:tr w:rsidTr="00DF61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p>
        </w:tc>
      </w:tr>
      <w:tr w:rsidTr="00DF6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p>
        </w:tc>
      </w:tr>
      <w:tr w:rsidTr="00DF6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p>
        </w:tc>
      </w:tr>
    </w:tbl>
    <w:p w:rsidR="00DF611C" w:rsidP="00AA1478">
      <w:pPr>
        <w:pStyle w:val="BodyText"/>
      </w:pPr>
    </w:p>
    <w:p w:rsidR="00DF611C" w:rsidP="00AA1478">
      <w:pPr>
        <w:pStyle w:val="BodyText"/>
      </w:pPr>
    </w:p>
    <w:p w:rsidR="00000000" w:rsidRPr="00AA1478" w:rsidP="00AA1478">
      <w:pPr>
        <w:pStyle w:val="Heading1"/>
      </w:pPr>
      <w:bookmarkStart w:id="6" w:name="O_211384"/>
      <w:bookmarkEnd w:id="6"/>
      <w:r w:rsidRPr="00AA1478">
        <w:t>Employability Skills Information</w:t>
      </w:r>
    </w:p>
    <w:tbl>
      <w:tblPr>
        <w:tblW w:w="0" w:type="auto"/>
        <w:tblLayout w:type="fixed"/>
        <w:tblCellMar>
          <w:left w:w="62" w:type="dxa"/>
          <w:right w:w="62" w:type="dxa"/>
        </w:tblCellMar>
        <w:tblLook w:val="0000"/>
      </w:tblPr>
      <w:tblGrid>
        <w:gridCol w:w="2802"/>
        <w:gridCol w:w="5720"/>
      </w:tblGrid>
      <w:tr w:rsidTr="00DF61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This unit contains employability skills.</w:t>
            </w:r>
          </w:p>
        </w:tc>
      </w:tr>
    </w:tbl>
    <w:p w:rsidR="00DF611C" w:rsidP="00AA1478">
      <w:pPr>
        <w:pStyle w:val="BodyText"/>
      </w:pPr>
    </w:p>
    <w:p w:rsidR="00DF611C" w:rsidP="00AA1478">
      <w:pPr>
        <w:pStyle w:val="BodyText"/>
      </w:pPr>
    </w:p>
    <w:p w:rsidR="00000000" w:rsidRPr="00AA1478" w:rsidP="00AA1478">
      <w:pPr>
        <w:pStyle w:val="Heading1"/>
      </w:pPr>
      <w:bookmarkStart w:id="7" w:name="O_290181"/>
      <w:bookmarkEnd w:id="7"/>
      <w:r w:rsidRPr="00AA1478">
        <w:t>Elements and Performance Criteria Pre-Content</w:t>
      </w:r>
    </w:p>
    <w:tbl>
      <w:tblPr>
        <w:tblW w:w="0" w:type="auto"/>
        <w:tblLayout w:type="fixed"/>
        <w:tblCellMar>
          <w:left w:w="62" w:type="dxa"/>
          <w:right w:w="62" w:type="dxa"/>
        </w:tblCellMar>
        <w:tblLook w:val="0000"/>
      </w:tblPr>
      <w:tblGrid>
        <w:gridCol w:w="2525"/>
        <w:gridCol w:w="5997"/>
      </w:tblGrid>
      <w:tr w:rsidTr="00DF611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Performance criteria describe the performance needed to demonstrate achievement of the element. Where bold italicised text is used, further information is detailed in the required skills an</w:t>
            </w:r>
            <w:r w:rsidRPr="00AA1478">
              <w:t>d knowledge section and the range statement. Assessment of performance is to be consistent with the evidence guide.</w:t>
            </w:r>
          </w:p>
        </w:tc>
      </w:tr>
    </w:tbl>
    <w:p w:rsidR="00000000" w:rsidRPr="00AA1478" w:rsidP="00AA1478">
      <w:pPr>
        <w:pStyle w:val="BodyText"/>
      </w:pPr>
    </w:p>
    <w:p w:rsidR="00000000" w:rsidRPr="00AA1478" w:rsidP="00AA1478">
      <w:pPr>
        <w:pStyle w:val="AllowPageBreak"/>
      </w:pPr>
    </w:p>
    <w:p w:rsidR="00000000" w:rsidRPr="00AA1478" w:rsidP="00AA1478">
      <w:pPr>
        <w:pStyle w:val="Heading1"/>
      </w:pPr>
      <w:bookmarkStart w:id="8" w:name="O_236848"/>
      <w:bookmarkEnd w:id="8"/>
      <w:r w:rsidRPr="00AA1478">
        <w:t>Elements and Performance Criteria</w:t>
      </w:r>
    </w:p>
    <w:tbl>
      <w:tblPr>
        <w:tblW w:w="0" w:type="auto"/>
        <w:tblLayout w:type="fixed"/>
        <w:tblCellMar>
          <w:left w:w="62" w:type="dxa"/>
          <w:right w:w="62" w:type="dxa"/>
        </w:tblCellMar>
        <w:tblLook w:val="0000"/>
      </w:tblPr>
      <w:tblGrid>
        <w:gridCol w:w="2525"/>
        <w:gridCol w:w="5997"/>
      </w:tblGrid>
      <w:tr w:rsidTr="00DF611C">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PERFORMANCE CRITERIA</w:t>
            </w:r>
          </w:p>
        </w:tc>
      </w:tr>
      <w:tr w:rsidTr="00DF611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List"/>
              <w:rPr>
                <w:lang w:val="en-NZ"/>
              </w:rPr>
            </w:pPr>
            <w:r w:rsidRPr="00AA1478">
              <w:t>1.</w:t>
            </w:r>
            <w:r w:rsidRPr="00AA1478">
              <w:tab/>
              <w:t>Receive order</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List2"/>
            </w:pPr>
            <w:r w:rsidRPr="00AA1478">
              <w:t>1.1.</w:t>
            </w:r>
            <w:r w:rsidRPr="00AA1478">
              <w:tab/>
            </w:r>
            <w:r w:rsidRPr="00AA1478">
              <w:t>Orders are received and checked for errors.</w:t>
            </w:r>
          </w:p>
          <w:p w:rsidR="00000000" w:rsidP="00AA1478">
            <w:pPr>
              <w:pStyle w:val="List2"/>
              <w:rPr>
                <w:lang w:val="en-NZ"/>
              </w:rPr>
            </w:pPr>
            <w:r w:rsidRPr="00AA1478">
              <w:t>1.2.</w:t>
            </w:r>
            <w:r w:rsidRPr="00AA1478">
              <w:tab/>
              <w:t>Product to be picked is identified.</w:t>
            </w:r>
          </w:p>
        </w:tc>
      </w:tr>
      <w:tr w:rsidTr="00DF611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List"/>
              <w:rPr>
                <w:lang w:val="en-NZ"/>
              </w:rPr>
            </w:pPr>
            <w:r w:rsidRPr="00AA1478">
              <w:t>2.</w:t>
            </w:r>
            <w:r w:rsidRPr="00AA1478">
              <w:tab/>
              <w:t>Pick order</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List2"/>
            </w:pPr>
            <w:r w:rsidRPr="00AA1478">
              <w:t>2.1.</w:t>
            </w:r>
            <w:r w:rsidRPr="00AA1478">
              <w:tab/>
              <w:t>Materials handling equipment appropriate to products is selected and used, if required.</w:t>
            </w:r>
          </w:p>
          <w:p w:rsidR="00000000" w:rsidRPr="00AA1478" w:rsidP="00AA1478">
            <w:pPr>
              <w:pStyle w:val="List2"/>
            </w:pPr>
            <w:r w:rsidRPr="00AA1478">
              <w:t>2.2.</w:t>
            </w:r>
            <w:r w:rsidRPr="00AA1478">
              <w:tab/>
            </w:r>
            <w:r w:rsidRPr="00AA1478">
              <w:t>Products to be picked are located using standard operating procedures.</w:t>
            </w:r>
          </w:p>
          <w:p w:rsidR="00000000" w:rsidRPr="00AA1478" w:rsidP="00AA1478">
            <w:pPr>
              <w:pStyle w:val="List2"/>
            </w:pPr>
            <w:r w:rsidRPr="00AA1478">
              <w:t>2.3.</w:t>
            </w:r>
            <w:r w:rsidRPr="00AA1478">
              <w:tab/>
              <w:t>Order is picked accurately, either by manual handling or using materials handling equipment.</w:t>
            </w:r>
          </w:p>
          <w:p w:rsidR="00000000" w:rsidP="00AA1478">
            <w:pPr>
              <w:pStyle w:val="List2"/>
              <w:rPr>
                <w:lang w:val="en-NZ"/>
              </w:rPr>
            </w:pPr>
            <w:r w:rsidRPr="00AA1478">
              <w:t>2.4.</w:t>
            </w:r>
            <w:r w:rsidRPr="00AA1478">
              <w:tab/>
              <w:t>Product is handled according to storage and handling requirements identified in st</w:t>
            </w:r>
            <w:r w:rsidRPr="00AA1478">
              <w:t>andard operating procedures/regulations.</w:t>
            </w:r>
          </w:p>
        </w:tc>
      </w:tr>
      <w:tr w:rsidTr="00DF611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List"/>
              <w:rPr>
                <w:lang w:val="en-NZ"/>
              </w:rPr>
            </w:pPr>
            <w:r w:rsidRPr="00AA1478">
              <w:t>3.</w:t>
            </w:r>
            <w:r w:rsidRPr="00AA1478">
              <w:tab/>
              <w:t>Finalise order picking</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List2"/>
            </w:pPr>
            <w:r w:rsidRPr="00AA1478">
              <w:t>3.1.</w:t>
            </w:r>
            <w:r w:rsidRPr="00AA1478">
              <w:tab/>
              <w:t>Picked order is checked against documentation.</w:t>
            </w:r>
          </w:p>
          <w:p w:rsidR="00000000" w:rsidRPr="00AA1478" w:rsidP="00AA1478">
            <w:pPr>
              <w:pStyle w:val="List2"/>
            </w:pPr>
            <w:r w:rsidRPr="00AA1478">
              <w:t>3.2.</w:t>
            </w:r>
            <w:r w:rsidRPr="00AA1478">
              <w:tab/>
              <w:t>Picked order is placed in correct area for consolidation.</w:t>
            </w:r>
          </w:p>
          <w:p w:rsidR="00000000" w:rsidRPr="00AA1478" w:rsidP="00AA1478">
            <w:pPr>
              <w:pStyle w:val="List2"/>
            </w:pPr>
            <w:r w:rsidRPr="00AA1478">
              <w:t>3.3.</w:t>
            </w:r>
            <w:r w:rsidRPr="00AA1478">
              <w:tab/>
              <w:t>Enterprise documentation is completed.</w:t>
            </w:r>
          </w:p>
        </w:tc>
      </w:tr>
    </w:tbl>
    <w:p w:rsidR="00DF611C" w:rsidP="00AA1478">
      <w:pPr>
        <w:pStyle w:val="BodyText"/>
      </w:pPr>
    </w:p>
    <w:p w:rsidR="00DF611C" w:rsidP="00AA1478">
      <w:pPr>
        <w:pStyle w:val="BodyText"/>
      </w:pPr>
    </w:p>
    <w:p w:rsidR="00000000" w:rsidRPr="00AA1478" w:rsidP="00AA1478">
      <w:pPr>
        <w:pStyle w:val="Heading1"/>
      </w:pPr>
      <w:bookmarkStart w:id="9" w:name="O_260798"/>
      <w:bookmarkEnd w:id="9"/>
      <w:r w:rsidRPr="00AA1478">
        <w:t>Required Skills and Knowledge</w:t>
      </w:r>
    </w:p>
    <w:tbl>
      <w:tblPr>
        <w:tblW w:w="0" w:type="auto"/>
        <w:tblLayout w:type="fixed"/>
        <w:tblCellMar>
          <w:left w:w="62" w:type="dxa"/>
          <w:right w:w="62" w:type="dxa"/>
        </w:tblCellMar>
        <w:tblLook w:val="0000"/>
      </w:tblPr>
      <w:tblGrid>
        <w:gridCol w:w="8522"/>
      </w:tblGrid>
      <w:tr w:rsidTr="00DF61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REQUIRED SKILLS AND KNOWLEDGE</w:t>
            </w:r>
          </w:p>
        </w:tc>
      </w:tr>
      <w:tr w:rsidTr="00DF61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This section describes the skills and knowledge required for this unit.</w:t>
            </w:r>
          </w:p>
        </w:tc>
      </w:tr>
      <w:tr w:rsidTr="00DF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Required skills</w:t>
            </w:r>
          </w:p>
        </w:tc>
      </w:tr>
      <w:tr w:rsidTr="00DF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Look for evidence that confirms skills in:</w:t>
            </w:r>
          </w:p>
          <w:p w:rsidR="00000000" w:rsidRPr="00AA1478" w:rsidP="00AA1478">
            <w:pPr>
              <w:pStyle w:val="ListBullet"/>
            </w:pPr>
            <w:r w:rsidRPr="00AA1478">
              <w:t>reading and interpreting routine information on written orders and standard operating procedures. May include simple drawings</w:t>
            </w:r>
          </w:p>
          <w:p w:rsidR="00000000" w:rsidRPr="00AA1478" w:rsidP="00AA1478">
            <w:pPr>
              <w:pStyle w:val="ListBullet"/>
            </w:pPr>
            <w:r w:rsidRPr="00AA1478">
              <w:t>using materials handling equipment in a warehouse</w:t>
            </w:r>
          </w:p>
          <w:p w:rsidR="00000000" w:rsidRPr="00AA1478" w:rsidP="00AA1478">
            <w:pPr>
              <w:pStyle w:val="ListBullet"/>
            </w:pPr>
            <w:r w:rsidRPr="00AA1478">
              <w:t>identifying dangerous goods</w:t>
            </w:r>
          </w:p>
          <w:p w:rsidR="00000000" w:rsidRPr="00AA1478" w:rsidP="00AA1478">
            <w:pPr>
              <w:pStyle w:val="ListBullet"/>
            </w:pPr>
            <w:r w:rsidRPr="00AA1478">
              <w:t>following oral instruction</w:t>
            </w:r>
          </w:p>
          <w:p w:rsidR="00000000" w:rsidP="00AA1478">
            <w:pPr>
              <w:pStyle w:val="ListBullet"/>
              <w:rPr>
                <w:lang w:val="en-NZ"/>
              </w:rPr>
            </w:pPr>
            <w:r w:rsidRPr="00AA1478">
              <w:t>entering routine and fami</w:t>
            </w:r>
            <w:r w:rsidRPr="00AA1478">
              <w:t>liar information onto proformas and standard workplace forms</w:t>
            </w:r>
          </w:p>
        </w:tc>
      </w:tr>
      <w:tr w:rsidTr="00DF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Required knowledge</w:t>
            </w:r>
          </w:p>
        </w:tc>
      </w:tr>
      <w:tr w:rsidTr="00DF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Look for evidence that confirms knowledge of:</w:t>
            </w:r>
          </w:p>
          <w:p w:rsidR="00000000" w:rsidRPr="00AA1478" w:rsidP="00AA1478">
            <w:pPr>
              <w:pStyle w:val="ListBullet"/>
            </w:pPr>
            <w:r w:rsidRPr="00AA1478">
              <w:t>safe manual handling procedures</w:t>
            </w:r>
          </w:p>
          <w:p w:rsidR="00000000" w:rsidRPr="00AA1478" w:rsidP="00AA1478">
            <w:pPr>
              <w:pStyle w:val="ListBullet"/>
            </w:pPr>
            <w:r w:rsidRPr="00AA1478">
              <w:t>reasons for selecting materials handling equipment</w:t>
            </w:r>
          </w:p>
          <w:p w:rsidR="00000000" w:rsidRPr="00AA1478" w:rsidP="00AA1478">
            <w:pPr>
              <w:pStyle w:val="ListBullet"/>
            </w:pPr>
            <w:r w:rsidRPr="00AA1478">
              <w:t>safe storage and handling procedures for a range of products including dangerous goods</w:t>
            </w:r>
          </w:p>
          <w:p w:rsidR="00000000" w:rsidRPr="00AA1478" w:rsidP="00AA1478">
            <w:pPr>
              <w:pStyle w:val="ListBullet"/>
            </w:pPr>
            <w:r w:rsidRPr="00AA1478">
              <w:t>applicable Material Safety Data Sheets</w:t>
            </w:r>
          </w:p>
          <w:p w:rsidR="00000000" w:rsidRPr="00AA1478" w:rsidP="00AA1478">
            <w:pPr>
              <w:pStyle w:val="ListBullet"/>
            </w:pPr>
            <w:r w:rsidRPr="00AA1478">
              <w:t>applicable industry standards, national/Australian standards, NOHSC guidelines, State/Territory regulatory codes of practice/stand</w:t>
            </w:r>
            <w:r w:rsidRPr="00AA1478">
              <w:t>ards</w:t>
            </w:r>
          </w:p>
          <w:p w:rsidR="00000000" w:rsidRPr="00AA1478" w:rsidP="00AA1478">
            <w:pPr>
              <w:pStyle w:val="ListBullet"/>
            </w:pPr>
            <w:r w:rsidRPr="00AA1478">
              <w:t>use and application of personal protective equipment</w:t>
            </w:r>
          </w:p>
          <w:p w:rsidR="00000000" w:rsidRPr="00AA1478" w:rsidP="00AA1478">
            <w:pPr>
              <w:pStyle w:val="ListBullet"/>
            </w:pPr>
            <w:r w:rsidRPr="00AA1478">
              <w:t>safe work practices and procedures</w:t>
            </w:r>
          </w:p>
          <w:p w:rsidR="00000000" w:rsidRPr="00AA1478" w:rsidP="00AA1478">
            <w:pPr>
              <w:pStyle w:val="ListBullet"/>
            </w:pPr>
            <w:r w:rsidRPr="00AA1478">
              <w:t>hazards and control measures associated with picking and processing orders</w:t>
            </w:r>
          </w:p>
        </w:tc>
      </w:tr>
    </w:tbl>
    <w:p w:rsidR="00DF611C" w:rsidP="00AA1478">
      <w:pPr>
        <w:pStyle w:val="BodyText"/>
      </w:pPr>
    </w:p>
    <w:p w:rsidR="00DF611C" w:rsidP="00AA1478">
      <w:pPr>
        <w:pStyle w:val="BodyText"/>
      </w:pPr>
    </w:p>
    <w:p w:rsidR="00000000" w:rsidRPr="00AA1478" w:rsidP="00AA1478">
      <w:pPr>
        <w:pStyle w:val="AllowPageBreak"/>
      </w:pPr>
    </w:p>
    <w:p w:rsidR="00000000" w:rsidRPr="00AA1478" w:rsidP="00AA1478">
      <w:pPr>
        <w:pStyle w:val="Heading1"/>
      </w:pPr>
      <w:bookmarkStart w:id="10" w:name="O_244832"/>
      <w:bookmarkEnd w:id="10"/>
      <w:r w:rsidRPr="00AA1478">
        <w:t>Evidence Guide</w:t>
      </w:r>
    </w:p>
    <w:tbl>
      <w:tblPr>
        <w:tblW w:w="9570" w:type="dxa"/>
        <w:tblLayout w:type="fixed"/>
        <w:tblCellMar>
          <w:left w:w="62" w:type="dxa"/>
          <w:right w:w="62" w:type="dxa"/>
        </w:tblCellMar>
        <w:tblLook w:val="0000"/>
      </w:tblPr>
      <w:tblGrid>
        <w:gridCol w:w="3908"/>
        <w:gridCol w:w="5662"/>
      </w:tblGrid>
      <w:tr w:rsidTr="00DF61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EVIDENCE GUIDE</w:t>
            </w:r>
          </w:p>
        </w:tc>
      </w:tr>
      <w:tr w:rsidTr="00DF61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The evidence guide provides advice on assessment and must be read in conjunction with the performance criteria, required skills and knowledge, range statement and the Assessment Guidelines for the Training Package.</w:t>
            </w:r>
          </w:p>
        </w:tc>
      </w:tr>
      <w:tr w:rsidTr="00DF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A person who dem</w:t>
            </w:r>
            <w:r w:rsidRPr="00AA1478">
              <w:t xml:space="preserve">onstrates competency in this unit must be able to pick and process orders and store products according to enterprise procedures. </w:t>
            </w:r>
          </w:p>
        </w:tc>
      </w:tr>
      <w:tr w:rsidTr="00DF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Assessors must be satisfied that</w:t>
            </w:r>
            <w:r w:rsidRPr="00AA1478">
              <w:t xml:space="preserve"> the candidate can competently and consistently perform all elements of the unit as specified by the criteria, including required knowledge, and be capable of applying the competency in new and different situations and contexts.</w:t>
            </w:r>
          </w:p>
        </w:tc>
      </w:tr>
      <w:tr w:rsidTr="00DF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Context of and specific re</w:t>
            </w:r>
            <w:r w:rsidRPr="00AA1478">
              <w:rPr>
                <w:rStyle w:val="SpecialBold"/>
              </w:rPr>
              <w:t>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This unit may be assessed on the job, off the job or a combination of both on and off the job. Where assessment occurs off the job, that is the candidate is not in productive work, then an appropriate simulation must be used where th</w:t>
            </w:r>
            <w:r w:rsidRPr="00AA1478">
              <w:t xml:space="preserve">e range of conditions reflects realistic workplace situations. The competencies covered by this unit would be demonstrated by an individual working alone or as part of a team. The assessment environment should not disadvantage the candidate. </w:t>
            </w:r>
          </w:p>
          <w:p w:rsidR="00000000" w:rsidP="00AA1478">
            <w:pPr>
              <w:pStyle w:val="BodyText"/>
              <w:rPr>
                <w:lang w:val="en-NZ"/>
              </w:rPr>
            </w:pPr>
            <w:r w:rsidRPr="00AA1478">
              <w:t>This unit could be assessed in conjunction with any other units addressing the safety, quality, communication, materials handling, recording and reporting associated with picking and processing orders or other units requiring the exercise of the skills and</w:t>
            </w:r>
            <w:r w:rsidRPr="00AA1478">
              <w:t xml:space="preserve"> knowledge covered by this unit.</w:t>
            </w:r>
          </w:p>
        </w:tc>
      </w:tr>
      <w:tr w:rsidTr="00DF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Assessors should gather a range of evidence that is valid, sufficient, current and authentic. Evidence can be gathered through a variety of ways including direct observation, supervisor's reports, proj</w:t>
            </w:r>
            <w:r w:rsidRPr="00AA1478">
              <w:t>ect work, samples and questioning. Questioning techniques should not require language, literacy and numeracy skills beyond those required in this unit of competency. The candidate must have access to all tools, equipment, materials and documentation requir</w:t>
            </w:r>
            <w:r w:rsidRPr="00AA1478">
              <w:t>ed. The candidate must be permitted to refer to any relevant workplace procedures, product and manufacturing specifications, codes, standards, manuals and reference materials.</w:t>
            </w:r>
          </w:p>
        </w:tc>
      </w:tr>
      <w:tr w:rsidTr="00DF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p>
        </w:tc>
      </w:tr>
    </w:tbl>
    <w:p w:rsidR="00DF611C" w:rsidP="00AA1478">
      <w:pPr>
        <w:pStyle w:val="BodyText"/>
      </w:pPr>
    </w:p>
    <w:p w:rsidR="00DF611C" w:rsidP="00AA1478">
      <w:pPr>
        <w:pStyle w:val="BodyText"/>
      </w:pPr>
    </w:p>
    <w:p w:rsidR="00000000" w:rsidRPr="00AA1478" w:rsidP="00AA1478">
      <w:pPr>
        <w:pStyle w:val="Heading1"/>
      </w:pPr>
      <w:bookmarkStart w:id="11" w:name="O_252815"/>
      <w:bookmarkEnd w:id="11"/>
      <w:r w:rsidRPr="00AA1478">
        <w:t>Range Statement</w:t>
      </w:r>
    </w:p>
    <w:tbl>
      <w:tblPr>
        <w:tblW w:w="0" w:type="auto"/>
        <w:tblLayout w:type="fixed"/>
        <w:tblCellMar>
          <w:left w:w="62" w:type="dxa"/>
          <w:right w:w="62" w:type="dxa"/>
        </w:tblCellMar>
        <w:tblLook w:val="0000"/>
      </w:tblPr>
      <w:tblGrid>
        <w:gridCol w:w="3542"/>
        <w:gridCol w:w="4980"/>
      </w:tblGrid>
      <w:tr w:rsidTr="00DF61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RANG</w:t>
            </w:r>
            <w:r w:rsidRPr="00AA1478">
              <w:rPr>
                <w:rStyle w:val="SpecialBold"/>
              </w:rPr>
              <w:t>E STATEMENT</w:t>
            </w:r>
          </w:p>
        </w:tc>
      </w:tr>
      <w:tr w:rsidTr="00DF61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 xml:space="preserve">The range statement relates to the unit of competency as a whole. It allows for different work environments and situations that may affect </w:t>
            </w:r>
            <w:r w:rsidRPr="00AA1478">
              <w:t>performance. Bold italicised wording, if used in the performance criteria, is detailed below. Essential operating conditions that may be present with training and assessment (depending on the work situation, needs of the candidate, accessibility of the ite</w:t>
            </w:r>
            <w:r w:rsidRPr="00AA1478">
              <w:t>m, and local industry and regional contexts) may also be included.</w:t>
            </w:r>
          </w:p>
        </w:tc>
      </w:tr>
      <w:tr w:rsidTr="00DF611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Materials handling equipment</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Forklift, order picker, WAVE truck, pallet trucks, wheelbarrow, trolleys, sack truck</w:t>
            </w:r>
          </w:p>
        </w:tc>
      </w:tr>
      <w:tr w:rsidTr="00DF611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Storage and handling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t>As per legislative requirements e.g. d</w:t>
            </w:r>
            <w:r w:rsidRPr="00AA1478">
              <w:t>angerous goods and storage of poisons acts and regulations</w:t>
            </w:r>
          </w:p>
        </w:tc>
      </w:tr>
      <w:tr w:rsidTr="00DF611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Enterprise documentation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Invoices, orders, returns, recording cards, inventory documentation, maintenance inventories, etc. and may include documents (hardcopy or electronic) required by legislati</w:t>
            </w:r>
            <w:r w:rsidRPr="00AA1478">
              <w:t>on</w:t>
            </w:r>
          </w:p>
        </w:tc>
      </w:tr>
    </w:tbl>
    <w:p w:rsidR="00DF611C" w:rsidP="00AA1478">
      <w:pPr>
        <w:pStyle w:val="BodyText"/>
      </w:pPr>
    </w:p>
    <w:p w:rsidR="00DF611C" w:rsidP="00AA1478">
      <w:pPr>
        <w:pStyle w:val="BodyText"/>
      </w:pPr>
    </w:p>
    <w:p w:rsidR="00000000" w:rsidRPr="00AA1478" w:rsidP="00AA1478">
      <w:pPr>
        <w:pStyle w:val="Heading1"/>
      </w:pPr>
      <w:bookmarkStart w:id="12" w:name="O_211389"/>
      <w:bookmarkEnd w:id="12"/>
      <w:r w:rsidRPr="00AA1478">
        <w:t>Unit Sector(s)</w:t>
      </w:r>
    </w:p>
    <w:tbl>
      <w:tblPr>
        <w:tblW w:w="0" w:type="auto"/>
        <w:tblLayout w:type="fixed"/>
        <w:tblCellMar>
          <w:left w:w="62" w:type="dxa"/>
          <w:right w:w="62" w:type="dxa"/>
        </w:tblCellMar>
        <w:tblLook w:val="0000"/>
      </w:tblPr>
      <w:tblGrid>
        <w:gridCol w:w="2654"/>
        <w:gridCol w:w="5868"/>
      </w:tblGrid>
      <w:tr w:rsidTr="00DF61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p>
        </w:tc>
      </w:tr>
    </w:tbl>
    <w:p w:rsidR="00DF611C" w:rsidP="00AA1478">
      <w:pPr>
        <w:pStyle w:val="BodyText"/>
      </w:pPr>
    </w:p>
    <w:p w:rsidR="00DF611C" w:rsidP="00AA1478">
      <w:pPr>
        <w:pStyle w:val="BodyText"/>
      </w:pPr>
    </w:p>
    <w:p w:rsidR="00000000" w:rsidRPr="00AA1478" w:rsidP="00AA1478">
      <w:pPr>
        <w:pStyle w:val="Heading1"/>
      </w:pPr>
      <w:bookmarkStart w:id="13" w:name="O_211386"/>
      <w:bookmarkEnd w:id="13"/>
      <w:r w:rsidRPr="00AA1478">
        <w:t>Co-requisite units</w:t>
      </w:r>
    </w:p>
    <w:tbl>
      <w:tblPr>
        <w:tblW w:w="0" w:type="auto"/>
        <w:tblLayout w:type="fixed"/>
        <w:tblCellMar>
          <w:left w:w="62" w:type="dxa"/>
          <w:right w:w="62" w:type="dxa"/>
        </w:tblCellMar>
        <w:tblLook w:val="0000"/>
      </w:tblPr>
      <w:tblGrid>
        <w:gridCol w:w="2641"/>
        <w:gridCol w:w="1322"/>
        <w:gridCol w:w="4559"/>
      </w:tblGrid>
      <w:tr w:rsidTr="00DF61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p>
        </w:tc>
      </w:tr>
      <w:tr w:rsidTr="00DF6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p>
        </w:tc>
      </w:tr>
      <w:tr w:rsidTr="00DF6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p>
        </w:tc>
      </w:tr>
    </w:tbl>
    <w:p w:rsidR="00DF611C" w:rsidP="00AA1478">
      <w:pPr>
        <w:pStyle w:val="BodyText"/>
      </w:pPr>
    </w:p>
    <w:p w:rsidR="00DF611C" w:rsidP="00AA1478">
      <w:pPr>
        <w:pStyle w:val="BodyText"/>
      </w:pPr>
    </w:p>
    <w:p w:rsidR="00000000" w:rsidRPr="00AA1478" w:rsidP="00AA1478">
      <w:pPr>
        <w:pStyle w:val="Heading1"/>
      </w:pPr>
      <w:bookmarkStart w:id="14" w:name="O_211388"/>
      <w:bookmarkEnd w:id="14"/>
      <w:r w:rsidRPr="00AA1478">
        <w:t>Competency field</w:t>
      </w:r>
    </w:p>
    <w:tbl>
      <w:tblPr>
        <w:tblW w:w="0" w:type="auto"/>
        <w:tblLayout w:type="fixed"/>
        <w:tblCellMar>
          <w:left w:w="62" w:type="dxa"/>
          <w:right w:w="62" w:type="dxa"/>
        </w:tblCellMar>
        <w:tblLook w:val="0000"/>
      </w:tblPr>
      <w:tblGrid>
        <w:gridCol w:w="2777"/>
        <w:gridCol w:w="5745"/>
      </w:tblGrid>
      <w:tr w:rsidTr="00DF611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478">
            <w:pPr>
              <w:pStyle w:val="BodyText"/>
              <w:rPr>
                <w:lang w:val="en-NZ"/>
              </w:rPr>
            </w:pPr>
            <w:r w:rsidRPr="00AA147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478" w:rsidP="00AA1478">
            <w:pPr>
              <w:pStyle w:val="BodyText"/>
            </w:pPr>
            <w:r w:rsidRPr="00AA1478">
              <w:t>Materials handling</w:t>
            </w:r>
          </w:p>
        </w:tc>
      </w:tr>
    </w:tbl>
    <w:p w:rsidR="00DF611C" w:rsidP="00AA1478">
      <w:pPr>
        <w:pStyle w:val="BodyText"/>
      </w:pPr>
    </w:p>
    <w:p w:rsidR="00DF611C" w:rsidP="00AA1478">
      <w:pPr>
        <w:pStyle w:val="BodyText"/>
      </w:pPr>
    </w:p>
    <w:p w:rsidR="00000000" w:rsidRPr="00AA1478" w:rsidP="00AA1478"/>
    <w:sectPr w:rsidSect="00AA1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11C" w:rsidP="00DF6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1C" w:rsidP="00AA1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611C" w:rsidP="00AA14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611C" w:rsidP="00AA14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11C" w:rsidP="00DF61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1C" w:rsidP="00AA1478">
    <w:pPr>
      <w:pStyle w:val="Header"/>
      <w:framePr w:wrap="around"/>
    </w:pPr>
    <w:r>
      <w:fldChar w:fldCharType="begin"/>
    </w:r>
    <w:r>
      <w:instrText xml:space="preserve"> TITLE   \* MERGEFORMAT </w:instrText>
    </w:r>
    <w:r>
      <w:fldChar w:fldCharType="separate"/>
    </w:r>
    <w:r>
      <w:t>MEM11005B Pick and process 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611C" w:rsidP="00AA14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08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3269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4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478"/>
    <w:pPr>
      <w:spacing w:before="360" w:after="60"/>
      <w:outlineLvl w:val="0"/>
    </w:pPr>
    <w:rPr>
      <w:sz w:val="32"/>
    </w:rPr>
  </w:style>
  <w:style w:type="paragraph" w:styleId="Heading2">
    <w:name w:val="heading 2"/>
    <w:basedOn w:val="HeadingBase"/>
    <w:next w:val="BodyText"/>
    <w:link w:val="Heading2Char"/>
    <w:qFormat/>
    <w:rsid w:val="00AA1478"/>
    <w:pPr>
      <w:keepLines/>
      <w:spacing w:before="240" w:after="120"/>
      <w:outlineLvl w:val="1"/>
    </w:pPr>
    <w:rPr>
      <w:sz w:val="28"/>
      <w:szCs w:val="40"/>
    </w:rPr>
  </w:style>
  <w:style w:type="paragraph" w:styleId="Heading3">
    <w:name w:val="heading 3"/>
    <w:basedOn w:val="HeadingBase"/>
    <w:next w:val="BodyText"/>
    <w:link w:val="Heading3Char"/>
    <w:qFormat/>
    <w:rsid w:val="00AA1478"/>
    <w:pPr>
      <w:spacing w:before="180" w:after="120"/>
      <w:outlineLvl w:val="2"/>
    </w:pPr>
    <w:rPr>
      <w:spacing w:val="-10"/>
      <w:kern w:val="32"/>
    </w:rPr>
  </w:style>
  <w:style w:type="paragraph" w:styleId="Heading4">
    <w:name w:val="heading 4"/>
    <w:basedOn w:val="HeadingBase"/>
    <w:next w:val="BodyText"/>
    <w:link w:val="Heading4Char"/>
    <w:qFormat/>
    <w:rsid w:val="00AA1478"/>
    <w:pPr>
      <w:spacing w:before="160" w:after="120"/>
      <w:outlineLvl w:val="3"/>
    </w:pPr>
    <w:rPr>
      <w:sz w:val="22"/>
    </w:rPr>
  </w:style>
  <w:style w:type="paragraph" w:styleId="Heading5">
    <w:name w:val="heading 5"/>
    <w:basedOn w:val="HeadingBase"/>
    <w:next w:val="Normal"/>
    <w:link w:val="Heading5Char"/>
    <w:qFormat/>
    <w:rsid w:val="00AA1478"/>
    <w:pPr>
      <w:spacing w:before="80"/>
      <w:outlineLvl w:val="4"/>
    </w:pPr>
    <w:rPr>
      <w:color w:val="918585"/>
      <w:sz w:val="20"/>
    </w:rPr>
  </w:style>
  <w:style w:type="paragraph" w:styleId="Heading6">
    <w:name w:val="heading 6"/>
    <w:basedOn w:val="HeadingBase"/>
    <w:next w:val="Normal"/>
    <w:link w:val="Heading6Char"/>
    <w:qFormat/>
    <w:rsid w:val="00AA1478"/>
    <w:pPr>
      <w:spacing w:before="60"/>
      <w:outlineLvl w:val="5"/>
    </w:pPr>
    <w:rPr>
      <w:color w:val="918585"/>
      <w:sz w:val="20"/>
    </w:rPr>
  </w:style>
  <w:style w:type="paragraph" w:styleId="Heading7">
    <w:name w:val="heading 7"/>
    <w:basedOn w:val="Normal"/>
    <w:next w:val="Normal"/>
    <w:link w:val="Heading7Char"/>
    <w:qFormat/>
    <w:rsid w:val="00AA1478"/>
    <w:pPr>
      <w:ind w:left="720"/>
      <w:outlineLvl w:val="6"/>
    </w:pPr>
    <w:rPr>
      <w:i/>
    </w:rPr>
  </w:style>
  <w:style w:type="paragraph" w:styleId="Heading8">
    <w:name w:val="heading 8"/>
    <w:basedOn w:val="Normal"/>
    <w:next w:val="Normal"/>
    <w:link w:val="Heading8Char"/>
    <w:qFormat/>
    <w:rsid w:val="00AA1478"/>
    <w:pPr>
      <w:ind w:left="720"/>
      <w:outlineLvl w:val="7"/>
    </w:pPr>
    <w:rPr>
      <w:i/>
    </w:rPr>
  </w:style>
  <w:style w:type="paragraph" w:styleId="Heading9">
    <w:name w:val="heading 9"/>
    <w:basedOn w:val="Normal"/>
    <w:next w:val="Normal"/>
    <w:link w:val="Heading9Char"/>
    <w:qFormat/>
    <w:rsid w:val="00AA1478"/>
    <w:pPr>
      <w:ind w:left="720"/>
      <w:outlineLvl w:val="8"/>
    </w:pPr>
    <w:rPr>
      <w:i/>
    </w:rPr>
  </w:style>
  <w:style w:type="character" w:default="1" w:styleId="DefaultParagraphFont">
    <w:name w:val="Default Paragraph Font"/>
    <w:uiPriority w:val="1"/>
    <w:unhideWhenUsed/>
    <w:rsid w:val="00AA1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478"/>
  </w:style>
  <w:style w:type="character" w:customStyle="1" w:styleId="Heading1Char">
    <w:name w:val="Heading 1 Char"/>
    <w:link w:val="Heading1"/>
    <w:rsid w:val="00AA1478"/>
    <w:rPr>
      <w:rFonts w:ascii="Times New Roman" w:eastAsia="Times New Roman" w:hAnsi="Times New Roman" w:cs="Times New Roman"/>
      <w:b/>
      <w:sz w:val="32"/>
      <w:szCs w:val="20"/>
      <w:lang w:eastAsia="en-US"/>
    </w:rPr>
  </w:style>
  <w:style w:type="paragraph" w:styleId="BodyText">
    <w:name w:val="Body Text"/>
    <w:basedOn w:val="Normal"/>
    <w:link w:val="BodyTextChar"/>
    <w:rsid w:val="00AA1478"/>
    <w:pPr>
      <w:spacing w:before="120" w:after="120"/>
      <w:contextualSpacing/>
    </w:pPr>
    <w:rPr>
      <w:rFonts w:ascii="Times New Roman" w:hAnsi="Times New Roman"/>
      <w:sz w:val="24"/>
      <w:szCs w:val="22"/>
    </w:rPr>
  </w:style>
  <w:style w:type="character" w:customStyle="1" w:styleId="BodyTextChar">
    <w:name w:val="Body Text Char"/>
    <w:link w:val="BodyText"/>
    <w:rsid w:val="00AA1478"/>
    <w:rPr>
      <w:rFonts w:ascii="Times New Roman" w:eastAsia="Times New Roman" w:hAnsi="Times New Roman" w:cs="Times New Roman"/>
      <w:sz w:val="24"/>
      <w:lang w:val="en-US" w:eastAsia="en-US"/>
    </w:rPr>
  </w:style>
  <w:style w:type="paragraph" w:styleId="Footer">
    <w:name w:val="footer"/>
    <w:basedOn w:val="Normal"/>
    <w:link w:val="FooterChar"/>
    <w:rsid w:val="00AA1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1478"/>
    <w:rPr>
      <w:rFonts w:ascii="Times New Roman" w:eastAsia="Times New Roman" w:hAnsi="Times New Roman" w:cs="Times New Roman"/>
      <w:sz w:val="16"/>
      <w:lang w:val="en-US" w:eastAsia="en-US"/>
    </w:rPr>
  </w:style>
  <w:style w:type="paragraph" w:styleId="List">
    <w:name w:val="List"/>
    <w:basedOn w:val="BodyText"/>
    <w:next w:val="BodyText"/>
    <w:rsid w:val="00AA1478"/>
    <w:pPr>
      <w:tabs>
        <w:tab w:val="left" w:pos="340"/>
      </w:tabs>
      <w:spacing w:before="60" w:after="60"/>
      <w:ind w:left="340" w:hanging="340"/>
    </w:pPr>
  </w:style>
  <w:style w:type="paragraph" w:styleId="ListBullet">
    <w:name w:val="List Bullet"/>
    <w:basedOn w:val="List"/>
    <w:rsid w:val="00AA1478"/>
    <w:pPr>
      <w:numPr>
        <w:numId w:val="12"/>
      </w:numPr>
      <w:tabs>
        <w:tab w:val="clear" w:pos="340"/>
      </w:tabs>
      <w:spacing w:before="40" w:after="40"/>
    </w:pPr>
  </w:style>
  <w:style w:type="character" w:customStyle="1" w:styleId="SpecialBold">
    <w:name w:val="Special Bold"/>
    <w:rsid w:val="00AA1478"/>
    <w:rPr>
      <w:b/>
      <w:spacing w:val="0"/>
    </w:rPr>
  </w:style>
  <w:style w:type="paragraph" w:styleId="Header">
    <w:name w:val="header"/>
    <w:basedOn w:val="Normal"/>
    <w:link w:val="HeaderChar"/>
    <w:rsid w:val="00AA1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14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1478"/>
    <w:pPr>
      <w:spacing w:before="240" w:after="120"/>
      <w:outlineLvl w:val="0"/>
    </w:pPr>
    <w:rPr>
      <w:rFonts w:ascii="Times New Roman" w:hAnsi="Times New Roman"/>
      <w:b/>
      <w:sz w:val="28"/>
    </w:rPr>
  </w:style>
  <w:style w:type="paragraph" w:customStyle="1" w:styleId="AllowPageBreak">
    <w:name w:val="AllowPageBreak"/>
    <w:rsid w:val="00AA14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1478"/>
    <w:pPr>
      <w:tabs>
        <w:tab w:val="left" w:pos="680"/>
      </w:tabs>
      <w:spacing w:before="60" w:after="60"/>
      <w:ind w:left="680" w:hanging="340"/>
    </w:pPr>
  </w:style>
  <w:style w:type="character" w:customStyle="1" w:styleId="Heading2Char">
    <w:name w:val="Heading 2 Char"/>
    <w:link w:val="Heading2"/>
    <w:rsid w:val="00AA1478"/>
    <w:rPr>
      <w:rFonts w:ascii="Times New Roman" w:eastAsia="Times New Roman" w:hAnsi="Times New Roman" w:cs="Times New Roman"/>
      <w:b/>
      <w:sz w:val="28"/>
      <w:szCs w:val="40"/>
      <w:lang w:eastAsia="en-US"/>
    </w:rPr>
  </w:style>
  <w:style w:type="character" w:customStyle="1" w:styleId="Heading3Char">
    <w:name w:val="Heading 3 Char"/>
    <w:link w:val="Heading3"/>
    <w:rsid w:val="00AA14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1478"/>
    <w:rPr>
      <w:rFonts w:ascii="Times New Roman" w:eastAsia="Times New Roman" w:hAnsi="Times New Roman" w:cs="Times New Roman"/>
      <w:b/>
      <w:szCs w:val="20"/>
      <w:lang w:eastAsia="en-US"/>
    </w:rPr>
  </w:style>
  <w:style w:type="character" w:customStyle="1" w:styleId="Heading5Char">
    <w:name w:val="Heading 5 Char"/>
    <w:link w:val="Heading5"/>
    <w:rsid w:val="00AA14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1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4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4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478"/>
    <w:rPr>
      <w:rFonts w:ascii="Courier New" w:eastAsia="Times New Roman" w:hAnsi="Courier New" w:cs="Times New Roman"/>
      <w:i/>
      <w:szCs w:val="20"/>
      <w:lang w:val="en-US" w:eastAsia="en-US"/>
    </w:rPr>
  </w:style>
  <w:style w:type="paragraph" w:customStyle="1" w:styleId="HeadingBase">
    <w:name w:val="Heading Base"/>
    <w:rsid w:val="00AA1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478"/>
    <w:pPr>
      <w:tabs>
        <w:tab w:val="right" w:leader="dot" w:pos="9072"/>
      </w:tabs>
      <w:ind w:left="567"/>
    </w:pPr>
    <w:rPr>
      <w:szCs w:val="22"/>
    </w:rPr>
  </w:style>
  <w:style w:type="paragraph" w:customStyle="1" w:styleId="TOCBase">
    <w:name w:val="TOC Base"/>
    <w:rsid w:val="00AA1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478"/>
    <w:pPr>
      <w:tabs>
        <w:tab w:val="right" w:leader="dot" w:pos="9072"/>
      </w:tabs>
      <w:spacing w:before="40" w:after="40"/>
      <w:ind w:left="284"/>
    </w:pPr>
    <w:rPr>
      <w:rFonts w:ascii="Times New Roman" w:hAnsi="Times New Roman"/>
    </w:rPr>
  </w:style>
  <w:style w:type="paragraph" w:styleId="TOC1">
    <w:name w:val="toc 1"/>
    <w:basedOn w:val="TOCBase"/>
    <w:next w:val="Normal"/>
    <w:rsid w:val="00AA14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478"/>
    <w:pPr>
      <w:spacing w:before="5040"/>
      <w:jc w:val="center"/>
    </w:pPr>
    <w:rPr>
      <w:sz w:val="48"/>
      <w:szCs w:val="72"/>
      <w:lang w:val="en-US"/>
    </w:rPr>
  </w:style>
  <w:style w:type="character" w:customStyle="1" w:styleId="TitleChar">
    <w:name w:val="Title Char"/>
    <w:link w:val="Title"/>
    <w:rsid w:val="00AA1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478"/>
    <w:pPr>
      <w:tabs>
        <w:tab w:val="left" w:pos="3600"/>
        <w:tab w:val="left" w:pos="3958"/>
      </w:tabs>
    </w:pPr>
  </w:style>
  <w:style w:type="paragraph" w:customStyle="1" w:styleId="Note">
    <w:name w:val="Note"/>
    <w:basedOn w:val="BodyText"/>
    <w:rsid w:val="00AA1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478"/>
    <w:pPr>
      <w:framePr w:wrap="auto" w:hAnchor="text" w:y="6049"/>
    </w:pPr>
    <w:rPr>
      <w:color w:val="000000"/>
      <w:sz w:val="40"/>
    </w:rPr>
  </w:style>
  <w:style w:type="paragraph" w:customStyle="1" w:styleId="TOCTitle">
    <w:name w:val="TOCTitle"/>
    <w:basedOn w:val="Heading1"/>
    <w:rsid w:val="00AA1478"/>
    <w:pPr>
      <w:spacing w:after="240"/>
      <w:jc w:val="center"/>
      <w:outlineLvl w:val="9"/>
    </w:pPr>
    <w:rPr>
      <w:caps/>
    </w:rPr>
  </w:style>
  <w:style w:type="paragraph" w:customStyle="1" w:styleId="Version">
    <w:name w:val="Version"/>
    <w:rsid w:val="00AA1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478"/>
    <w:pPr>
      <w:numPr>
        <w:numId w:val="13"/>
      </w:numPr>
      <w:tabs>
        <w:tab w:val="clear" w:pos="680"/>
      </w:tabs>
    </w:pPr>
  </w:style>
  <w:style w:type="paragraph" w:styleId="Index1">
    <w:name w:val="index 1"/>
    <w:basedOn w:val="Normal"/>
    <w:next w:val="Normal"/>
    <w:semiHidden/>
    <w:rsid w:val="00AA1478"/>
    <w:pPr>
      <w:keepNext w:val="0"/>
      <w:tabs>
        <w:tab w:val="right" w:pos="4176"/>
      </w:tabs>
      <w:ind w:left="198" w:hanging="198"/>
    </w:pPr>
    <w:rPr>
      <w:rFonts w:ascii="Garamond" w:hAnsi="Garamond"/>
    </w:rPr>
  </w:style>
  <w:style w:type="paragraph" w:styleId="IndexHeading">
    <w:name w:val="index heading"/>
    <w:basedOn w:val="Normal"/>
    <w:next w:val="Index1"/>
    <w:semiHidden/>
    <w:rsid w:val="00AA1478"/>
    <w:pPr>
      <w:spacing w:before="120" w:after="120"/>
    </w:pPr>
    <w:rPr>
      <w:rFonts w:ascii="Arial" w:hAnsi="Arial"/>
      <w:b/>
      <w:color w:val="918585"/>
      <w:sz w:val="24"/>
    </w:rPr>
  </w:style>
  <w:style w:type="paragraph" w:customStyle="1" w:styleId="Chapter">
    <w:name w:val="Chapter"/>
    <w:basedOn w:val="Normal"/>
    <w:rsid w:val="00AA1478"/>
    <w:pPr>
      <w:spacing w:before="240"/>
    </w:pPr>
    <w:rPr>
      <w:rFonts w:ascii="Times New Roman" w:hAnsi="Times New Roman"/>
      <w:smallCaps/>
      <w:spacing w:val="80"/>
      <w:sz w:val="28"/>
    </w:rPr>
  </w:style>
  <w:style w:type="paragraph" w:customStyle="1" w:styleId="InChapter">
    <w:name w:val="InChapter"/>
    <w:basedOn w:val="Heading3"/>
    <w:rsid w:val="00AA1478"/>
    <w:pPr>
      <w:spacing w:after="240"/>
      <w:outlineLvl w:val="9"/>
    </w:pPr>
    <w:rPr>
      <w:noProof/>
    </w:rPr>
  </w:style>
  <w:style w:type="paragraph" w:styleId="Index2">
    <w:name w:val="index 2"/>
    <w:basedOn w:val="Normal"/>
    <w:next w:val="Normal"/>
    <w:semiHidden/>
    <w:rsid w:val="00AA1478"/>
    <w:pPr>
      <w:tabs>
        <w:tab w:val="right" w:pos="4176"/>
      </w:tabs>
      <w:ind w:left="568" w:hanging="284"/>
    </w:pPr>
    <w:rPr>
      <w:rFonts w:ascii="Garamond" w:hAnsi="Garamond"/>
    </w:rPr>
  </w:style>
  <w:style w:type="paragraph" w:customStyle="1" w:styleId="Byline">
    <w:name w:val="Byline"/>
    <w:rsid w:val="00AA1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478"/>
    <w:pPr>
      <w:tabs>
        <w:tab w:val="clear" w:pos="3600"/>
        <w:tab w:val="clear" w:pos="3958"/>
      </w:tabs>
      <w:jc w:val="right"/>
    </w:pPr>
  </w:style>
  <w:style w:type="character" w:styleId="Emphasis">
    <w:name w:val="Emphasis"/>
    <w:qFormat/>
    <w:rsid w:val="00AA1478"/>
    <w:rPr>
      <w:i/>
    </w:rPr>
  </w:style>
  <w:style w:type="paragraph" w:styleId="Caption">
    <w:name w:val="caption"/>
    <w:basedOn w:val="BodyText"/>
    <w:next w:val="Normal"/>
    <w:qFormat/>
    <w:rsid w:val="00AA1478"/>
    <w:pPr>
      <w:framePr w:w="2268" w:hSpace="181" w:vSpace="181" w:wrap="around" w:vAnchor="text" w:hAnchor="page" w:x="1135" w:y="285" w:anchorLock="1"/>
    </w:pPr>
    <w:rPr>
      <w:i/>
    </w:rPr>
  </w:style>
  <w:style w:type="paragraph" w:customStyle="1" w:styleId="MiniTOCTitle">
    <w:name w:val="MiniTOCTitle"/>
    <w:basedOn w:val="Heading4"/>
    <w:rsid w:val="00AA1478"/>
    <w:pPr>
      <w:spacing w:before="240"/>
      <w:outlineLvl w:val="9"/>
    </w:pPr>
    <w:rPr>
      <w:noProof/>
      <w:sz w:val="24"/>
    </w:rPr>
  </w:style>
  <w:style w:type="paragraph" w:customStyle="1" w:styleId="MiniTOCItem">
    <w:name w:val="MiniTOCItem"/>
    <w:basedOn w:val="ListBullet"/>
    <w:rsid w:val="00AA1478"/>
    <w:pPr>
      <w:numPr>
        <w:numId w:val="0"/>
      </w:numPr>
      <w:tabs>
        <w:tab w:val="right" w:leader="dot" w:pos="6521"/>
      </w:tabs>
      <w:spacing w:before="0" w:after="0"/>
    </w:pPr>
  </w:style>
  <w:style w:type="paragraph" w:customStyle="1" w:styleId="TOFTitle">
    <w:name w:val="TOFTitle"/>
    <w:basedOn w:val="TOCTitle"/>
    <w:rsid w:val="00AA1478"/>
  </w:style>
  <w:style w:type="paragraph" w:styleId="TableofFigures">
    <w:name w:val="table of figures"/>
    <w:basedOn w:val="Normal"/>
    <w:next w:val="Normal"/>
    <w:semiHidden/>
    <w:rsid w:val="00AA1478"/>
    <w:pPr>
      <w:tabs>
        <w:tab w:val="right" w:leader="dot" w:pos="9072"/>
      </w:tabs>
      <w:ind w:left="970" w:hanging="403"/>
    </w:pPr>
    <w:rPr>
      <w:rFonts w:ascii="Times New Roman" w:hAnsi="Times New Roman"/>
      <w:b/>
    </w:rPr>
  </w:style>
  <w:style w:type="paragraph" w:styleId="ListNumber">
    <w:name w:val="List Number"/>
    <w:basedOn w:val="List"/>
    <w:rsid w:val="00AA1478"/>
    <w:pPr>
      <w:numPr>
        <w:numId w:val="10"/>
      </w:numPr>
    </w:pPr>
  </w:style>
  <w:style w:type="character" w:customStyle="1" w:styleId="WingdingSymbols">
    <w:name w:val="Wingding Symbols"/>
    <w:rsid w:val="00AA1478"/>
    <w:rPr>
      <w:rFonts w:ascii="Wingdings" w:hAnsi="Wingdings"/>
    </w:rPr>
  </w:style>
  <w:style w:type="paragraph" w:customStyle="1" w:styleId="TableHeading">
    <w:name w:val="Table Heading"/>
    <w:basedOn w:val="HeadingBase"/>
    <w:rsid w:val="00AA1478"/>
    <w:pPr>
      <w:keepLines/>
      <w:pBdr>
        <w:bottom w:val="single" w:sz="6" w:space="1" w:color="918585"/>
      </w:pBdr>
      <w:spacing w:before="240"/>
    </w:pPr>
  </w:style>
  <w:style w:type="character" w:customStyle="1" w:styleId="HotSpot">
    <w:name w:val="HotSpot"/>
    <w:rsid w:val="00AA1478"/>
    <w:rPr>
      <w:color w:val="0033CC"/>
      <w:u w:val="none"/>
    </w:rPr>
  </w:style>
  <w:style w:type="paragraph" w:customStyle="1" w:styleId="BodyTextRight">
    <w:name w:val="Body Text Right"/>
    <w:basedOn w:val="BodyText"/>
    <w:rsid w:val="00AA1478"/>
    <w:pPr>
      <w:spacing w:before="0" w:after="0"/>
      <w:jc w:val="right"/>
    </w:pPr>
  </w:style>
  <w:style w:type="paragraph" w:styleId="Index3">
    <w:name w:val="index 3"/>
    <w:basedOn w:val="ListNumber2"/>
    <w:next w:val="Normal"/>
    <w:semiHidden/>
    <w:rsid w:val="00AA1478"/>
    <w:pPr>
      <w:numPr>
        <w:numId w:val="0"/>
      </w:numPr>
      <w:tabs>
        <w:tab w:val="right" w:leader="dot" w:pos="4176"/>
      </w:tabs>
    </w:pPr>
  </w:style>
  <w:style w:type="paragraph" w:styleId="ListNumber2">
    <w:name w:val="List Number 2"/>
    <w:basedOn w:val="List2"/>
    <w:rsid w:val="00AA1478"/>
    <w:pPr>
      <w:numPr>
        <w:numId w:val="9"/>
      </w:numPr>
      <w:tabs>
        <w:tab w:val="clear" w:pos="1060"/>
      </w:tabs>
    </w:pPr>
  </w:style>
  <w:style w:type="paragraph" w:customStyle="1" w:styleId="MarginNote">
    <w:name w:val="Margin Note"/>
    <w:basedOn w:val="BodyText"/>
    <w:rsid w:val="00AA1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14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478"/>
    <w:rPr>
      <w:sz w:val="32"/>
    </w:rPr>
  </w:style>
  <w:style w:type="paragraph" w:customStyle="1" w:styleId="HeadingProcedure">
    <w:name w:val="Heading Procedure"/>
    <w:basedOn w:val="HeadingBase"/>
    <w:next w:val="Normal"/>
    <w:rsid w:val="00AA1478"/>
    <w:pPr>
      <w:tabs>
        <w:tab w:val="left" w:pos="0"/>
      </w:tabs>
      <w:spacing w:before="120" w:after="60"/>
    </w:pPr>
    <w:rPr>
      <w:i/>
      <w:color w:val="918585"/>
      <w:sz w:val="22"/>
    </w:rPr>
  </w:style>
  <w:style w:type="paragraph" w:customStyle="1" w:styleId="TableBodyText">
    <w:name w:val="Table Body Text"/>
    <w:basedOn w:val="BodyText"/>
    <w:rsid w:val="00AA1478"/>
    <w:pPr>
      <w:spacing w:before="60" w:after="60"/>
    </w:pPr>
  </w:style>
  <w:style w:type="paragraph" w:styleId="ListContinue">
    <w:name w:val="List Continue"/>
    <w:basedOn w:val="List"/>
    <w:rsid w:val="00AA1478"/>
    <w:pPr>
      <w:ind w:firstLine="0"/>
    </w:pPr>
  </w:style>
  <w:style w:type="paragraph" w:customStyle="1" w:styleId="ListNote">
    <w:name w:val="List Note"/>
    <w:basedOn w:val="List"/>
    <w:rsid w:val="00AA1478"/>
    <w:pPr>
      <w:pBdr>
        <w:top w:val="single" w:sz="6" w:space="2" w:color="918585"/>
        <w:bottom w:val="single" w:sz="6" w:space="2" w:color="918585"/>
      </w:pBdr>
      <w:tabs>
        <w:tab w:val="left" w:pos="1021"/>
      </w:tabs>
      <w:ind w:firstLine="0"/>
    </w:pPr>
  </w:style>
  <w:style w:type="paragraph" w:customStyle="1" w:styleId="Warning">
    <w:name w:val="Warning"/>
    <w:basedOn w:val="BodyText"/>
    <w:rsid w:val="00AA1478"/>
    <w:pPr>
      <w:shd w:val="clear" w:color="auto" w:fill="D9D9D9"/>
      <w:tabs>
        <w:tab w:val="left" w:pos="992"/>
      </w:tabs>
      <w:ind w:left="119" w:right="119"/>
    </w:pPr>
    <w:rPr>
      <w:sz w:val="20"/>
    </w:rPr>
  </w:style>
  <w:style w:type="paragraph" w:customStyle="1" w:styleId="MarginIcons">
    <w:name w:val="Margin Icons"/>
    <w:basedOn w:val="BodyText"/>
    <w:rsid w:val="00AA14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1478"/>
    <w:rPr>
      <w:rFonts w:ascii="Courier New" w:hAnsi="Courier New"/>
    </w:rPr>
  </w:style>
  <w:style w:type="paragraph" w:customStyle="1" w:styleId="NoteBullet">
    <w:name w:val="Note Bullet"/>
    <w:basedOn w:val="Note"/>
    <w:rsid w:val="00AA1478"/>
    <w:pPr>
      <w:tabs>
        <w:tab w:val="clear" w:pos="680"/>
      </w:tabs>
      <w:spacing w:before="60" w:after="60"/>
    </w:pPr>
  </w:style>
  <w:style w:type="paragraph" w:customStyle="1" w:styleId="SubHeading2">
    <w:name w:val="SubHeading2"/>
    <w:basedOn w:val="HeadingBase"/>
    <w:rsid w:val="00AA1478"/>
    <w:pPr>
      <w:spacing w:before="240" w:after="60"/>
    </w:pPr>
    <w:rPr>
      <w:sz w:val="20"/>
    </w:rPr>
  </w:style>
  <w:style w:type="paragraph" w:customStyle="1" w:styleId="SubHeading1">
    <w:name w:val="SubHeading1"/>
    <w:basedOn w:val="HeadingBase"/>
    <w:rsid w:val="00AA1478"/>
    <w:pPr>
      <w:spacing w:before="240" w:after="60"/>
    </w:pPr>
    <w:rPr>
      <w:color w:val="918585"/>
      <w:sz w:val="22"/>
    </w:rPr>
  </w:style>
  <w:style w:type="paragraph" w:customStyle="1" w:styleId="SideHeading">
    <w:name w:val="Side Heading"/>
    <w:basedOn w:val="HeadingBase"/>
    <w:rsid w:val="00AA1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478"/>
    <w:pPr>
      <w:tabs>
        <w:tab w:val="num" w:pos="360"/>
      </w:tabs>
    </w:pPr>
  </w:style>
  <w:style w:type="paragraph" w:styleId="PlainText">
    <w:name w:val="Plain Text"/>
    <w:basedOn w:val="Normal"/>
    <w:link w:val="PlainTextChar"/>
    <w:rsid w:val="00AA1478"/>
    <w:rPr>
      <w:sz w:val="20"/>
    </w:rPr>
  </w:style>
  <w:style w:type="character" w:customStyle="1" w:styleId="PlainTextChar">
    <w:name w:val="Plain Text Char"/>
    <w:basedOn w:val="DefaultParagraphFont"/>
    <w:link w:val="PlainText"/>
    <w:rsid w:val="00AA1478"/>
    <w:rPr>
      <w:rFonts w:ascii="Courier New" w:eastAsia="Times New Roman" w:hAnsi="Courier New" w:cs="Times New Roman"/>
      <w:sz w:val="20"/>
      <w:szCs w:val="20"/>
      <w:lang w:val="en-US" w:eastAsia="en-US"/>
    </w:rPr>
  </w:style>
  <w:style w:type="character" w:customStyle="1" w:styleId="MenuOption">
    <w:name w:val="Menu Option"/>
    <w:rsid w:val="00AA1478"/>
    <w:rPr>
      <w:b/>
      <w:smallCaps/>
    </w:rPr>
  </w:style>
  <w:style w:type="paragraph" w:customStyle="1" w:styleId="TableListNumber">
    <w:name w:val="Table List Number"/>
    <w:basedOn w:val="ListNumber"/>
    <w:rsid w:val="00AA1478"/>
    <w:pPr>
      <w:numPr>
        <w:numId w:val="0"/>
      </w:numPr>
    </w:pPr>
  </w:style>
  <w:style w:type="paragraph" w:styleId="TOC4">
    <w:name w:val="toc 4"/>
    <w:basedOn w:val="TOCBase"/>
    <w:next w:val="Normal"/>
    <w:semiHidden/>
    <w:rsid w:val="00AA1478"/>
    <w:pPr>
      <w:tabs>
        <w:tab w:val="right" w:leader="dot" w:pos="9071"/>
      </w:tabs>
      <w:ind w:left="1701"/>
    </w:pPr>
  </w:style>
  <w:style w:type="paragraph" w:customStyle="1" w:styleId="ListAlpha">
    <w:name w:val="List Alpha"/>
    <w:basedOn w:val="List"/>
    <w:rsid w:val="00AA1478"/>
    <w:pPr>
      <w:numPr>
        <w:numId w:val="8"/>
      </w:numPr>
    </w:pPr>
  </w:style>
  <w:style w:type="paragraph" w:customStyle="1" w:styleId="ListAlpha2">
    <w:name w:val="List Alpha 2"/>
    <w:basedOn w:val="List2"/>
    <w:rsid w:val="00AA1478"/>
    <w:pPr>
      <w:numPr>
        <w:numId w:val="7"/>
      </w:numPr>
    </w:pPr>
  </w:style>
  <w:style w:type="paragraph" w:styleId="List3">
    <w:name w:val="List 3"/>
    <w:basedOn w:val="BodyText"/>
    <w:rsid w:val="00AA1478"/>
    <w:pPr>
      <w:tabs>
        <w:tab w:val="left" w:pos="1021"/>
      </w:tabs>
      <w:spacing w:before="60" w:after="60"/>
      <w:ind w:left="1020" w:hanging="340"/>
    </w:pPr>
  </w:style>
  <w:style w:type="paragraph" w:styleId="List4">
    <w:name w:val="List 4"/>
    <w:basedOn w:val="BodyText"/>
    <w:rsid w:val="00AA1478"/>
    <w:pPr>
      <w:tabs>
        <w:tab w:val="left" w:pos="1361"/>
      </w:tabs>
      <w:spacing w:before="60" w:after="60"/>
      <w:ind w:left="1361" w:hanging="340"/>
    </w:pPr>
  </w:style>
  <w:style w:type="paragraph" w:styleId="List5">
    <w:name w:val="List 5"/>
    <w:basedOn w:val="BodyText"/>
    <w:rsid w:val="00AA1478"/>
    <w:pPr>
      <w:tabs>
        <w:tab w:val="left" w:pos="1701"/>
      </w:tabs>
      <w:spacing w:before="60" w:after="60"/>
      <w:ind w:left="1701" w:hanging="340"/>
    </w:pPr>
  </w:style>
  <w:style w:type="paragraph" w:styleId="ListBullet3">
    <w:name w:val="List Bullet 3"/>
    <w:basedOn w:val="List3"/>
    <w:rsid w:val="00AA1478"/>
    <w:pPr>
      <w:numPr>
        <w:numId w:val="14"/>
      </w:numPr>
      <w:tabs>
        <w:tab w:val="clear" w:pos="1021"/>
      </w:tabs>
      <w:ind w:left="1037" w:hanging="357"/>
    </w:pPr>
  </w:style>
  <w:style w:type="paragraph" w:styleId="ListBullet4">
    <w:name w:val="List Bullet 4"/>
    <w:basedOn w:val="List4"/>
    <w:rsid w:val="00AA1478"/>
    <w:pPr>
      <w:numPr>
        <w:numId w:val="2"/>
      </w:numPr>
    </w:pPr>
  </w:style>
  <w:style w:type="paragraph" w:styleId="ListBullet5">
    <w:name w:val="List Bullet 5"/>
    <w:basedOn w:val="List5"/>
    <w:rsid w:val="00AA1478"/>
    <w:pPr>
      <w:numPr>
        <w:numId w:val="3"/>
      </w:numPr>
    </w:pPr>
  </w:style>
  <w:style w:type="paragraph" w:styleId="ListContinue2">
    <w:name w:val="List Continue 2"/>
    <w:basedOn w:val="List2"/>
    <w:rsid w:val="00AA1478"/>
    <w:pPr>
      <w:ind w:firstLine="0"/>
    </w:pPr>
  </w:style>
  <w:style w:type="paragraph" w:styleId="ListContinue3">
    <w:name w:val="List Continue 3"/>
    <w:basedOn w:val="List3"/>
    <w:rsid w:val="00AA1478"/>
    <w:pPr>
      <w:ind w:left="1021" w:firstLine="0"/>
    </w:pPr>
  </w:style>
  <w:style w:type="paragraph" w:styleId="ListContinue4">
    <w:name w:val="List Continue 4"/>
    <w:basedOn w:val="List4"/>
    <w:rsid w:val="00AA1478"/>
    <w:pPr>
      <w:ind w:firstLine="0"/>
    </w:pPr>
  </w:style>
  <w:style w:type="paragraph" w:styleId="ListContinue5">
    <w:name w:val="List Continue 5"/>
    <w:basedOn w:val="List5"/>
    <w:rsid w:val="00AA1478"/>
    <w:pPr>
      <w:ind w:firstLine="0"/>
    </w:pPr>
  </w:style>
  <w:style w:type="paragraph" w:styleId="ListNumber3">
    <w:name w:val="List Number 3"/>
    <w:basedOn w:val="List3"/>
    <w:rsid w:val="00AA1478"/>
    <w:pPr>
      <w:numPr>
        <w:numId w:val="4"/>
      </w:numPr>
    </w:pPr>
  </w:style>
  <w:style w:type="paragraph" w:styleId="ListNumber4">
    <w:name w:val="List Number 4"/>
    <w:basedOn w:val="List4"/>
    <w:rsid w:val="00AA1478"/>
    <w:pPr>
      <w:numPr>
        <w:numId w:val="5"/>
      </w:numPr>
    </w:pPr>
  </w:style>
  <w:style w:type="paragraph" w:styleId="ListNumber5">
    <w:name w:val="List Number 5"/>
    <w:basedOn w:val="List5"/>
    <w:rsid w:val="00AA1478"/>
    <w:pPr>
      <w:numPr>
        <w:numId w:val="6"/>
      </w:numPr>
    </w:pPr>
  </w:style>
  <w:style w:type="paragraph" w:styleId="BlockText">
    <w:name w:val="Block Text"/>
    <w:basedOn w:val="Normal"/>
    <w:rsid w:val="00AA1478"/>
    <w:pPr>
      <w:spacing w:after="120"/>
      <w:ind w:left="1440" w:right="1440"/>
    </w:pPr>
  </w:style>
  <w:style w:type="character" w:customStyle="1" w:styleId="Subscript">
    <w:name w:val="Subscript"/>
    <w:rsid w:val="00AA1478"/>
    <w:rPr>
      <w:sz w:val="16"/>
      <w:vertAlign w:val="subscript"/>
    </w:rPr>
  </w:style>
  <w:style w:type="character" w:customStyle="1" w:styleId="Superscript">
    <w:name w:val="Superscript"/>
    <w:rsid w:val="00AA1478"/>
    <w:rPr>
      <w:sz w:val="16"/>
      <w:vertAlign w:val="superscript"/>
    </w:rPr>
  </w:style>
  <w:style w:type="character" w:customStyle="1" w:styleId="Symbols">
    <w:name w:val="Symbols"/>
    <w:rsid w:val="00AA1478"/>
    <w:rPr>
      <w:rFonts w:ascii="Symbol" w:hAnsi="Symbol"/>
    </w:rPr>
  </w:style>
  <w:style w:type="character" w:customStyle="1" w:styleId="MenuOptions">
    <w:name w:val="Menu Options"/>
    <w:rsid w:val="00AA1478"/>
    <w:rPr>
      <w:rFonts w:ascii="Arial Narrow" w:hAnsi="Arial Narrow"/>
      <w:smallCaps/>
    </w:rPr>
  </w:style>
  <w:style w:type="character" w:customStyle="1" w:styleId="Buttons">
    <w:name w:val="Buttons"/>
    <w:rsid w:val="00AA1478"/>
    <w:rPr>
      <w:b/>
    </w:rPr>
  </w:style>
  <w:style w:type="character" w:customStyle="1" w:styleId="Underlined">
    <w:name w:val="Underlined"/>
    <w:rsid w:val="00AA1478"/>
    <w:rPr>
      <w:u w:val="single"/>
    </w:rPr>
  </w:style>
  <w:style w:type="paragraph" w:customStyle="1" w:styleId="TableBodyTextRight">
    <w:name w:val="Table Body Text Right"/>
    <w:basedOn w:val="TableBodyText"/>
    <w:rsid w:val="00AA1478"/>
    <w:pPr>
      <w:widowControl w:val="0"/>
      <w:autoSpaceDE w:val="0"/>
      <w:autoSpaceDN w:val="0"/>
      <w:adjustRightInd w:val="0"/>
      <w:jc w:val="right"/>
    </w:pPr>
    <w:rPr>
      <w:rFonts w:cs="Arial"/>
      <w:szCs w:val="18"/>
    </w:rPr>
  </w:style>
  <w:style w:type="paragraph" w:customStyle="1" w:styleId="CopyrightText">
    <w:name w:val="Copyright Text"/>
    <w:basedOn w:val="BodyText"/>
    <w:rsid w:val="00AA1478"/>
    <w:rPr>
      <w:sz w:val="18"/>
    </w:rPr>
  </w:style>
  <w:style w:type="paragraph" w:customStyle="1" w:styleId="BodySmallRight">
    <w:name w:val="Body Small Right"/>
    <w:basedOn w:val="BodyTextRight"/>
    <w:rsid w:val="00AA1478"/>
    <w:rPr>
      <w:sz w:val="18"/>
      <w:szCs w:val="18"/>
    </w:rPr>
  </w:style>
  <w:style w:type="paragraph" w:customStyle="1" w:styleId="MarginEdition">
    <w:name w:val="Margin Edition"/>
    <w:basedOn w:val="MarginNote"/>
    <w:rsid w:val="00AA1478"/>
    <w:pPr>
      <w:spacing w:before="0" w:after="0"/>
    </w:pPr>
    <w:rPr>
      <w:rFonts w:ascii="Times New Roman" w:hAnsi="Times New Roman"/>
      <w:color w:val="999999"/>
    </w:rPr>
  </w:style>
  <w:style w:type="paragraph" w:customStyle="1" w:styleId="Spacer">
    <w:name w:val="Spacer"/>
    <w:basedOn w:val="Normal"/>
    <w:rsid w:val="00AA1478"/>
    <w:rPr>
      <w:sz w:val="2"/>
      <w:szCs w:val="2"/>
    </w:rPr>
  </w:style>
  <w:style w:type="character" w:customStyle="1" w:styleId="Small">
    <w:name w:val="Small"/>
    <w:rsid w:val="00AA1478"/>
    <w:rPr>
      <w:sz w:val="16"/>
    </w:rPr>
  </w:style>
  <w:style w:type="paragraph" w:customStyle="1" w:styleId="WideTable">
    <w:name w:val="Wide Table"/>
    <w:basedOn w:val="Normal"/>
    <w:rsid w:val="00AA1478"/>
    <w:pPr>
      <w:ind w:left="-1418"/>
    </w:pPr>
    <w:rPr>
      <w:sz w:val="2"/>
      <w:szCs w:val="2"/>
    </w:rPr>
  </w:style>
  <w:style w:type="character" w:styleId="PageNumber">
    <w:name w:val="page number"/>
    <w:rsid w:val="00AA1478"/>
  </w:style>
  <w:style w:type="paragraph" w:styleId="Quote">
    <w:name w:val="Quote"/>
    <w:basedOn w:val="Heading1"/>
    <w:link w:val="QuoteChar"/>
    <w:qFormat/>
    <w:rsid w:val="00AA1478"/>
    <w:rPr>
      <w:b w:val="0"/>
      <w:sz w:val="72"/>
      <w:szCs w:val="72"/>
      <w:lang w:val="en-NZ"/>
    </w:rPr>
  </w:style>
  <w:style w:type="character" w:customStyle="1" w:styleId="QuoteChar">
    <w:name w:val="Quote Char"/>
    <w:link w:val="Quote"/>
    <w:rsid w:val="00AA1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478"/>
    <w:pPr>
      <w:pageBreakBefore/>
    </w:pPr>
  </w:style>
  <w:style w:type="paragraph" w:customStyle="1" w:styleId="Border">
    <w:name w:val="Border"/>
    <w:basedOn w:val="Normal"/>
    <w:qFormat/>
    <w:rsid w:val="00AA1478"/>
    <w:pPr>
      <w:pBdr>
        <w:top w:val="single" w:sz="18" w:space="1" w:color="auto"/>
      </w:pBdr>
    </w:pPr>
    <w:rPr>
      <w:rFonts w:ascii="Times New Roman" w:hAnsi="Times New Roman"/>
      <w:color w:val="FFFFFF"/>
      <w:sz w:val="2"/>
    </w:rPr>
  </w:style>
  <w:style w:type="character" w:styleId="IntenseEmphasis">
    <w:name w:val="Intense Emphasis"/>
    <w:uiPriority w:val="21"/>
    <w:qFormat/>
    <w:rsid w:val="00AA1478"/>
    <w:rPr>
      <w:b/>
      <w:bCs/>
      <w:i/>
      <w:iCs/>
      <w:color w:val="auto"/>
    </w:rPr>
  </w:style>
  <w:style w:type="paragraph" w:styleId="IntenseQuote">
    <w:name w:val="Intense Quote"/>
    <w:basedOn w:val="Normal"/>
    <w:next w:val="Normal"/>
    <w:link w:val="IntenseQuoteChar"/>
    <w:uiPriority w:val="30"/>
    <w:qFormat/>
    <w:rsid w:val="00AA14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1478"/>
    <w:rPr>
      <w:rFonts w:ascii="Courier New" w:eastAsia="Times New Roman" w:hAnsi="Courier New" w:cs="Times New Roman"/>
      <w:b/>
      <w:bCs/>
      <w:i/>
      <w:iCs/>
      <w:szCs w:val="20"/>
      <w:lang w:val="en-US" w:eastAsia="en-US"/>
    </w:rPr>
  </w:style>
  <w:style w:type="character" w:styleId="SubtleReference">
    <w:name w:val="Subtle Reference"/>
    <w:uiPriority w:val="31"/>
    <w:qFormat/>
    <w:rsid w:val="00AA1478"/>
    <w:rPr>
      <w:smallCaps/>
      <w:color w:val="auto"/>
      <w:u w:val="single"/>
    </w:rPr>
  </w:style>
  <w:style w:type="character" w:styleId="IntenseReference">
    <w:name w:val="Intense Reference"/>
    <w:uiPriority w:val="32"/>
    <w:qFormat/>
    <w:rsid w:val="00AA1478"/>
    <w:rPr>
      <w:b/>
      <w:bCs/>
      <w:smallCaps/>
      <w:color w:val="auto"/>
      <w:spacing w:val="5"/>
      <w:u w:val="single"/>
    </w:rPr>
  </w:style>
  <w:style w:type="paragraph" w:customStyle="1" w:styleId="2ColumnHeading">
    <w:name w:val="2Column Heading"/>
    <w:basedOn w:val="BodyText"/>
    <w:qFormat/>
    <w:rsid w:val="00AA1478"/>
    <w:pPr>
      <w:spacing w:after="60"/>
      <w:ind w:left="-2268"/>
    </w:pPr>
    <w:rPr>
      <w:b/>
    </w:rPr>
  </w:style>
  <w:style w:type="paragraph" w:customStyle="1" w:styleId="Heading1TOC">
    <w:name w:val="Heading1 TOC"/>
    <w:basedOn w:val="Normal"/>
    <w:qFormat/>
    <w:rsid w:val="00AA1478"/>
    <w:pPr>
      <w:spacing w:before="240" w:after="120"/>
    </w:pPr>
    <w:rPr>
      <w:rFonts w:ascii="Times New Roman" w:hAnsi="Times New Roman"/>
      <w:b/>
      <w:sz w:val="32"/>
    </w:rPr>
  </w:style>
  <w:style w:type="paragraph" w:customStyle="1" w:styleId="Heading2TOC">
    <w:name w:val="Heading2 TOC"/>
    <w:basedOn w:val="Normal"/>
    <w:qFormat/>
    <w:rsid w:val="00AA1478"/>
    <w:pPr>
      <w:spacing w:before="240" w:after="60"/>
    </w:pPr>
    <w:rPr>
      <w:rFonts w:ascii="Times New Roman" w:hAnsi="Times New Roman"/>
      <w:b/>
      <w:sz w:val="28"/>
    </w:rPr>
  </w:style>
  <w:style w:type="character" w:customStyle="1" w:styleId="Underline">
    <w:name w:val="Underline"/>
    <w:qFormat/>
    <w:rsid w:val="00AA1478"/>
    <w:rPr>
      <w:u w:val="single"/>
    </w:rPr>
  </w:style>
  <w:style w:type="character" w:customStyle="1" w:styleId="BoldandItalics">
    <w:name w:val="Bold and Italics"/>
    <w:qFormat/>
    <w:rsid w:val="00AA1478"/>
    <w:rPr>
      <w:b/>
      <w:i/>
      <w:u w:val="none"/>
    </w:rPr>
  </w:style>
  <w:style w:type="paragraph" w:styleId="BalloonText">
    <w:name w:val="Balloon Text"/>
    <w:basedOn w:val="Normal"/>
    <w:link w:val="BalloonTextChar"/>
    <w:rsid w:val="00AA1478"/>
    <w:rPr>
      <w:rFonts w:ascii="Tahoma" w:hAnsi="Tahoma" w:cs="Tahoma"/>
      <w:sz w:val="16"/>
      <w:szCs w:val="16"/>
    </w:rPr>
  </w:style>
  <w:style w:type="character" w:customStyle="1" w:styleId="BalloonTextChar">
    <w:name w:val="Balloon Text Char"/>
    <w:link w:val="BalloonText"/>
    <w:rsid w:val="00AA14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4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14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5787</Characters>
  <Application>Microsoft Office Word</Application>
  <DocSecurity>0</DocSecurity>
  <Lines>210</Lines>
  <Paragraphs>89</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MEM11005B Pick and process order</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2012-05-27T01:41:00Z</dcterms:created>
  <dcterms:modified xsi:type="dcterms:W3CDTF">2012-05-27T01:41:00Z</dcterms:modified>
</cp:coreProperties>
</file>