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B98" w:rsidP="00A26B98">
      <w:pPr>
        <w:pStyle w:val="Title"/>
      </w:pPr>
      <w:r>
        <w:fldChar w:fldCharType="begin"/>
      </w:r>
      <w:r>
        <w:instrText xml:space="preserve"> TITLE   \* MERGEFORMAT </w:instrText>
      </w:r>
      <w:r>
        <w:fldChar w:fldCharType="separate"/>
      </w:r>
      <w:r>
        <w:t>MEM11004B Undertake dogging</w:t>
      </w:r>
      <w:r>
        <w:fldChar w:fldCharType="end"/>
      </w:r>
    </w:p>
    <w:p w:rsidR="00A26B98" w:rsidP="00A26B98">
      <w:pPr>
        <w:pStyle w:val="Version"/>
        <w:sectPr w:rsidSect="00FC6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1E5" w:rsidP="00FC61E5">
      <w:pPr>
        <w:pStyle w:val="SuperHeading"/>
      </w:pPr>
      <w:r w:rsidRPr="00FC61E5">
        <w:t>MEM11004B Undertake dogging</w:t>
      </w:r>
    </w:p>
    <w:p w:rsidR="00000000" w:rsidRPr="00FC61E5" w:rsidP="00FC61E5">
      <w:pPr>
        <w:pStyle w:val="Heading1"/>
      </w:pPr>
      <w:bookmarkStart w:id="1" w:name="O_272134"/>
      <w:bookmarkEnd w:id="1"/>
      <w:r w:rsidRPr="00FC61E5">
        <w:t>Modification History</w:t>
      </w:r>
    </w:p>
    <w:p w:rsidR="00000000" w:rsidRPr="00FC61E5" w:rsidP="00FC61E5">
      <w:pPr>
        <w:pStyle w:val="BodyText"/>
      </w:pPr>
      <w:r w:rsidRPr="00FC61E5">
        <w:t>Not Applicable</w:t>
      </w:r>
    </w:p>
    <w:p w:rsidR="00000000" w:rsidRPr="00FC61E5" w:rsidP="00FC61E5">
      <w:pPr>
        <w:pStyle w:val="AllowPageBreak"/>
      </w:pPr>
    </w:p>
    <w:p w:rsidR="00000000" w:rsidRPr="00FC61E5" w:rsidP="00FC61E5">
      <w:pPr>
        <w:pStyle w:val="Heading1"/>
      </w:pPr>
      <w:bookmarkStart w:id="2" w:name="O_211376"/>
      <w:bookmarkEnd w:id="2"/>
      <w:r w:rsidRPr="00FC61E5">
        <w:t>Unit Descriptor</w:t>
      </w:r>
    </w:p>
    <w:tbl>
      <w:tblPr>
        <w:tblW w:w="0" w:type="auto"/>
        <w:tblLayout w:type="fixed"/>
        <w:tblCellMar>
          <w:left w:w="62" w:type="dxa"/>
          <w:right w:w="62" w:type="dxa"/>
        </w:tblCellMar>
        <w:tblLook w:val="0000"/>
      </w:tblPr>
      <w:tblGrid>
        <w:gridCol w:w="2664"/>
        <w:gridCol w:w="5858"/>
      </w:tblGrid>
      <w:tr w:rsidTr="00A26B98">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This unit covers attaching slings to loads and moving loads using appropriate communication and signalling meth</w:t>
            </w:r>
            <w:r w:rsidRPr="00FC61E5">
              <w:t>ods.</w:t>
            </w:r>
          </w:p>
        </w:tc>
      </w:tr>
    </w:tbl>
    <w:p w:rsidR="00A26B98" w:rsidP="00FC61E5">
      <w:pPr>
        <w:pStyle w:val="BodyText"/>
      </w:pPr>
    </w:p>
    <w:p w:rsidR="00A26B98" w:rsidP="00FC61E5">
      <w:pPr>
        <w:pStyle w:val="BodyText"/>
      </w:pPr>
    </w:p>
    <w:p w:rsidR="00000000" w:rsidRPr="00FC61E5" w:rsidP="00FC61E5">
      <w:pPr>
        <w:pStyle w:val="Heading1"/>
      </w:pPr>
      <w:bookmarkStart w:id="3" w:name="O_211380"/>
      <w:bookmarkEnd w:id="3"/>
      <w:r w:rsidRPr="00FC61E5">
        <w:t>Application of the Unit</w:t>
      </w:r>
    </w:p>
    <w:tbl>
      <w:tblPr>
        <w:tblW w:w="0" w:type="auto"/>
        <w:tblLayout w:type="fixed"/>
        <w:tblCellMar>
          <w:left w:w="62" w:type="dxa"/>
          <w:right w:w="62" w:type="dxa"/>
        </w:tblCellMar>
        <w:tblLook w:val="0000"/>
      </w:tblPr>
      <w:tblGrid>
        <w:gridCol w:w="2745"/>
        <w:gridCol w:w="5777"/>
      </w:tblGrid>
      <w:tr w:rsidTr="00A26B9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This unit applies to the skills used when working with loads, selecting equipment and communicating with a crane driver in a workshop or on site.</w:t>
            </w:r>
          </w:p>
          <w:p w:rsidR="00000000" w:rsidRPr="00FC61E5" w:rsidP="00FC61E5">
            <w:pPr>
              <w:pStyle w:val="BodyText"/>
            </w:pPr>
            <w:r w:rsidRPr="00FC61E5">
              <w:t>The scope of work is to demonstrate competence in the application of slinging techniques, selection and inspection of lifting gear, and direction of the crane/hoist operator in the movement of the load including when the load is out of view of the operator</w:t>
            </w:r>
            <w:r w:rsidRPr="00FC61E5">
              <w:t>.</w:t>
            </w:r>
          </w:p>
          <w:p w:rsidR="00000000" w:rsidRPr="00FC61E5" w:rsidP="00FC61E5">
            <w:pPr>
              <w:pStyle w:val="BodyText"/>
            </w:pPr>
            <w:r w:rsidRPr="00FC61E5">
              <w:t>This unit is not intended to apply to machine loading and simple straight lifts where knowledge of codes and signals is not required.</w:t>
            </w:r>
          </w:p>
          <w:p w:rsidR="00000000" w:rsidRPr="00FC61E5" w:rsidP="00FC61E5">
            <w:pPr>
              <w:pStyle w:val="BodyText"/>
            </w:pPr>
          </w:p>
          <w:p w:rsidR="00000000" w:rsidRPr="00FC61E5" w:rsidP="00FC61E5">
            <w:pPr>
              <w:pStyle w:val="BodyText"/>
            </w:pPr>
            <w:r w:rsidRPr="00FC61E5">
              <w:rPr>
                <w:rStyle w:val="SpecialBold"/>
              </w:rPr>
              <w:t>Band</w:t>
            </w:r>
            <w:r w:rsidRPr="00FC61E5">
              <w:t>:</w:t>
            </w:r>
            <w:r w:rsidRPr="00FC61E5">
              <w:tab/>
            </w:r>
            <w:r w:rsidRPr="00FC61E5">
              <w:rPr>
                <w:rStyle w:val="SpecialBold"/>
              </w:rPr>
              <w:t>A</w:t>
            </w:r>
          </w:p>
          <w:p w:rsidR="00000000" w:rsidRPr="00FC61E5" w:rsidP="00FC61E5">
            <w:pPr>
              <w:pStyle w:val="BodyText"/>
            </w:pPr>
            <w:r w:rsidRPr="00FC61E5">
              <w:rPr>
                <w:rStyle w:val="SpecialBold"/>
              </w:rPr>
              <w:t>Unit Weight</w:t>
            </w:r>
            <w:r w:rsidRPr="00FC61E5">
              <w:t>:</w:t>
            </w:r>
            <w:r w:rsidRPr="00FC61E5">
              <w:tab/>
            </w:r>
            <w:r w:rsidRPr="00FC61E5">
              <w:rPr>
                <w:rStyle w:val="SpecialBold"/>
              </w:rPr>
              <w:t>4</w:t>
            </w:r>
          </w:p>
        </w:tc>
      </w:tr>
    </w:tbl>
    <w:p w:rsidR="00A26B98" w:rsidP="00FC61E5">
      <w:pPr>
        <w:pStyle w:val="BodyText"/>
      </w:pPr>
    </w:p>
    <w:p w:rsidR="00A26B98" w:rsidP="00FC61E5">
      <w:pPr>
        <w:pStyle w:val="BodyText"/>
      </w:pPr>
    </w:p>
    <w:p w:rsidR="00000000" w:rsidRPr="00FC61E5" w:rsidP="00FC61E5">
      <w:pPr>
        <w:pStyle w:val="Heading1"/>
      </w:pPr>
      <w:bookmarkStart w:id="4" w:name="O_280394"/>
      <w:bookmarkEnd w:id="4"/>
      <w:r w:rsidRPr="00FC61E5">
        <w:t>Licensing/Regulatory Information</w:t>
      </w:r>
    </w:p>
    <w:p w:rsidR="00000000" w:rsidRPr="00FC61E5" w:rsidP="00FC61E5">
      <w:pPr>
        <w:pStyle w:val="BodyText"/>
      </w:pPr>
      <w:r w:rsidRPr="00FC61E5">
        <w:t>Not Applicable</w:t>
      </w:r>
    </w:p>
    <w:p w:rsidR="00000000" w:rsidRPr="00FC61E5" w:rsidP="00FC61E5">
      <w:pPr>
        <w:pStyle w:val="AllowPageBreak"/>
      </w:pPr>
    </w:p>
    <w:p w:rsidR="00000000" w:rsidRPr="00FC61E5" w:rsidP="00FC61E5">
      <w:pPr>
        <w:pStyle w:val="Heading1"/>
      </w:pPr>
      <w:bookmarkStart w:id="5" w:name="O_211378"/>
      <w:bookmarkEnd w:id="5"/>
      <w:r w:rsidRPr="00FC61E5">
        <w:t>Pre-Requisites</w:t>
      </w:r>
    </w:p>
    <w:tbl>
      <w:tblPr>
        <w:tblW w:w="0" w:type="auto"/>
        <w:tblLayout w:type="fixed"/>
        <w:tblCellMar>
          <w:left w:w="62" w:type="dxa"/>
          <w:right w:w="62" w:type="dxa"/>
        </w:tblCellMar>
        <w:tblLook w:val="0000"/>
      </w:tblPr>
      <w:tblGrid>
        <w:gridCol w:w="2722"/>
        <w:gridCol w:w="2207"/>
        <w:gridCol w:w="3593"/>
      </w:tblGrid>
      <w:tr w:rsidTr="00A26B98">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p>
        </w:tc>
      </w:tr>
      <w:tr w:rsidTr="00A26B98">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Use hand tools</w:t>
            </w:r>
          </w:p>
        </w:tc>
      </w:tr>
      <w:tr w:rsidTr="00A26B98">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p>
        </w:tc>
      </w:tr>
    </w:tbl>
    <w:p w:rsidR="00A26B98" w:rsidP="00FC61E5">
      <w:pPr>
        <w:pStyle w:val="BodyText"/>
      </w:pPr>
    </w:p>
    <w:p w:rsidR="00A26B98" w:rsidP="00FC61E5">
      <w:pPr>
        <w:pStyle w:val="BodyText"/>
      </w:pPr>
    </w:p>
    <w:p w:rsidR="00000000" w:rsidRPr="00FC61E5" w:rsidP="00FC61E5">
      <w:pPr>
        <w:pStyle w:val="Heading1"/>
      </w:pPr>
      <w:bookmarkStart w:id="6" w:name="O_211377"/>
      <w:bookmarkEnd w:id="6"/>
      <w:r w:rsidRPr="00FC61E5">
        <w:t>Employability Skills Information</w:t>
      </w:r>
    </w:p>
    <w:tbl>
      <w:tblPr>
        <w:tblW w:w="0" w:type="auto"/>
        <w:tblLayout w:type="fixed"/>
        <w:tblCellMar>
          <w:left w:w="62" w:type="dxa"/>
          <w:right w:w="62" w:type="dxa"/>
        </w:tblCellMar>
        <w:tblLook w:val="0000"/>
      </w:tblPr>
      <w:tblGrid>
        <w:gridCol w:w="2802"/>
        <w:gridCol w:w="5720"/>
      </w:tblGrid>
      <w:tr w:rsidTr="00A26B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This unit contains employability skills.</w:t>
            </w:r>
          </w:p>
        </w:tc>
      </w:tr>
    </w:tbl>
    <w:p w:rsidR="00A26B98" w:rsidP="00FC61E5">
      <w:pPr>
        <w:pStyle w:val="BodyText"/>
      </w:pPr>
    </w:p>
    <w:p w:rsidR="00A26B98" w:rsidP="00FC61E5">
      <w:pPr>
        <w:pStyle w:val="BodyText"/>
      </w:pPr>
    </w:p>
    <w:p w:rsidR="00000000" w:rsidRPr="00FC61E5" w:rsidP="00FC61E5">
      <w:pPr>
        <w:pStyle w:val="Heading1"/>
      </w:pPr>
      <w:bookmarkStart w:id="7" w:name="O_290180"/>
      <w:bookmarkEnd w:id="7"/>
      <w:r w:rsidRPr="00FC61E5">
        <w:t>Elements and Performance Criteria Pre-Content</w:t>
      </w:r>
    </w:p>
    <w:tbl>
      <w:tblPr>
        <w:tblW w:w="0" w:type="auto"/>
        <w:tblLayout w:type="fixed"/>
        <w:tblCellMar>
          <w:left w:w="62" w:type="dxa"/>
          <w:right w:w="62" w:type="dxa"/>
        </w:tblCellMar>
        <w:tblLook w:val="0000"/>
      </w:tblPr>
      <w:tblGrid>
        <w:gridCol w:w="2523"/>
        <w:gridCol w:w="5999"/>
      </w:tblGrid>
      <w:tr w:rsidTr="00A26B9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Performance criteria describe the performance needed to demonstrate achievement of the element. Where bold italicised text is used, further information is detailed in the required skills and</w:t>
            </w:r>
            <w:r w:rsidRPr="00FC61E5">
              <w:t xml:space="preserve"> knowledge section and the range statement. Assessment of performance is to be consistent with the evidence guide.</w:t>
            </w:r>
          </w:p>
        </w:tc>
      </w:tr>
    </w:tbl>
    <w:p w:rsidR="00000000" w:rsidRPr="00FC61E5" w:rsidP="00FC61E5">
      <w:pPr>
        <w:pStyle w:val="BodyText"/>
      </w:pPr>
    </w:p>
    <w:p w:rsidR="00000000" w:rsidRPr="00FC61E5" w:rsidP="00FC61E5">
      <w:pPr>
        <w:pStyle w:val="AllowPageBreak"/>
      </w:pPr>
    </w:p>
    <w:p w:rsidR="00000000" w:rsidRPr="00FC61E5" w:rsidP="00FC61E5">
      <w:pPr>
        <w:pStyle w:val="Heading1"/>
      </w:pPr>
      <w:bookmarkStart w:id="8" w:name="O_236847"/>
      <w:bookmarkEnd w:id="8"/>
      <w:r w:rsidRPr="00FC61E5">
        <w:t>Elements and Performance Criteria</w:t>
      </w:r>
    </w:p>
    <w:tbl>
      <w:tblPr>
        <w:tblW w:w="0" w:type="auto"/>
        <w:tblLayout w:type="fixed"/>
        <w:tblCellMar>
          <w:left w:w="62" w:type="dxa"/>
          <w:right w:w="62" w:type="dxa"/>
        </w:tblCellMar>
        <w:tblLook w:val="0000"/>
      </w:tblPr>
      <w:tblGrid>
        <w:gridCol w:w="2523"/>
        <w:gridCol w:w="5999"/>
      </w:tblGrid>
      <w:tr w:rsidTr="00A26B98">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PERFORMANCE CRITERIA</w:t>
            </w:r>
          </w:p>
        </w:tc>
      </w:tr>
      <w:tr w:rsidTr="00A26B9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List"/>
              <w:rPr>
                <w:lang w:val="en-NZ"/>
              </w:rPr>
            </w:pPr>
            <w:r w:rsidRPr="00FC61E5">
              <w:t>1.</w:t>
            </w:r>
            <w:r w:rsidRPr="00FC61E5">
              <w:tab/>
              <w:t>Attach lifting gear to loads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List2"/>
            </w:pPr>
            <w:r w:rsidRPr="00FC61E5">
              <w:t>1.1.</w:t>
            </w:r>
            <w:r w:rsidRPr="00FC61E5">
              <w:tab/>
            </w:r>
            <w:r w:rsidRPr="00FC61E5">
              <w:t>Potential hazards associated with the use of cranes and other load shifting equipment are identified and measures to eliminate or control these hazards are planned.</w:t>
            </w:r>
          </w:p>
          <w:p w:rsidR="00000000" w:rsidRPr="00FC61E5" w:rsidP="00FC61E5">
            <w:pPr>
              <w:pStyle w:val="List2"/>
            </w:pPr>
            <w:r w:rsidRPr="00FC61E5">
              <w:t>1.2.</w:t>
            </w:r>
            <w:r w:rsidRPr="00FC61E5">
              <w:tab/>
              <w:t>Site information is obtained as necessary.</w:t>
            </w:r>
          </w:p>
          <w:p w:rsidR="00000000" w:rsidRPr="00FC61E5" w:rsidP="00FC61E5">
            <w:pPr>
              <w:pStyle w:val="List2"/>
            </w:pPr>
            <w:r w:rsidRPr="00FC61E5">
              <w:t>1.3.</w:t>
            </w:r>
            <w:r w:rsidRPr="00FC61E5">
              <w:tab/>
              <w:t>All work is undertaken safely and to p</w:t>
            </w:r>
            <w:r w:rsidRPr="00FC61E5">
              <w:t>rescribed procedures.</w:t>
            </w:r>
          </w:p>
          <w:p w:rsidR="00000000" w:rsidRPr="00FC61E5" w:rsidP="00FC61E5">
            <w:pPr>
              <w:pStyle w:val="List2"/>
            </w:pPr>
            <w:r w:rsidRPr="00FC61E5">
              <w:t>1.4.</w:t>
            </w:r>
            <w:r w:rsidRPr="00FC61E5">
              <w:tab/>
              <w:t>Load is inspected and best lifting method determined.</w:t>
            </w:r>
          </w:p>
          <w:p w:rsidR="00000000" w:rsidRPr="00FC61E5" w:rsidP="00FC61E5">
            <w:pPr>
              <w:pStyle w:val="List2"/>
            </w:pPr>
            <w:r w:rsidRPr="00FC61E5">
              <w:t>1.5.</w:t>
            </w:r>
            <w:r w:rsidRPr="00FC61E5">
              <w:tab/>
              <w:t>Load shifting equipment is selected appropriate to load.</w:t>
            </w:r>
          </w:p>
          <w:p w:rsidR="00000000" w:rsidRPr="00FC61E5" w:rsidP="00FC61E5">
            <w:pPr>
              <w:pStyle w:val="List2"/>
            </w:pPr>
            <w:r w:rsidRPr="00FC61E5">
              <w:t>1.6.</w:t>
            </w:r>
            <w:r w:rsidRPr="00FC61E5">
              <w:tab/>
              <w:t>Lifting gear is inspected and damaged or worn items are labelled and rejected.</w:t>
            </w:r>
          </w:p>
          <w:p w:rsidR="00000000" w:rsidRPr="00FC61E5" w:rsidP="00FC61E5">
            <w:pPr>
              <w:pStyle w:val="List2"/>
            </w:pPr>
            <w:r w:rsidRPr="00FC61E5">
              <w:t>1.7.</w:t>
            </w:r>
            <w:r w:rsidRPr="00FC61E5">
              <w:tab/>
            </w:r>
            <w:r w:rsidRPr="00FC61E5">
              <w:t>Where appropriate, safe working loads are calculated to Australian standards.</w:t>
            </w:r>
          </w:p>
          <w:p w:rsidR="00000000" w:rsidP="00FC61E5">
            <w:pPr>
              <w:pStyle w:val="List2"/>
              <w:rPr>
                <w:lang w:val="en-NZ"/>
              </w:rPr>
            </w:pPr>
            <w:r w:rsidRPr="00FC61E5">
              <w:t>1.8.</w:t>
            </w:r>
            <w:r w:rsidRPr="00FC61E5">
              <w:tab/>
              <w:t>Lifting gear is attached to load in most appropriate and safe manner and to specifications where required.</w:t>
            </w:r>
          </w:p>
        </w:tc>
      </w:tr>
      <w:tr w:rsidTr="00A26B9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List"/>
              <w:rPr>
                <w:lang w:val="en-NZ"/>
              </w:rPr>
            </w:pPr>
            <w:r w:rsidRPr="00FC61E5">
              <w:t>2.</w:t>
            </w:r>
            <w:r w:rsidRPr="00FC61E5">
              <w:tab/>
              <w:t>Move loads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List2"/>
            </w:pPr>
            <w:r w:rsidRPr="00FC61E5">
              <w:t>2.1.</w:t>
            </w:r>
            <w:r w:rsidRPr="00FC61E5">
              <w:tab/>
              <w:t>Load moving is performed to acceptable safe wo</w:t>
            </w:r>
            <w:r w:rsidRPr="00FC61E5">
              <w:t>rking practices, Australian standards, codes of practice and specifications.</w:t>
            </w:r>
          </w:p>
          <w:p w:rsidR="00000000" w:rsidRPr="00FC61E5" w:rsidP="00FC61E5">
            <w:pPr>
              <w:pStyle w:val="List2"/>
            </w:pPr>
            <w:r w:rsidRPr="00FC61E5">
              <w:t>2.2.</w:t>
            </w:r>
            <w:r w:rsidRPr="00FC61E5">
              <w:tab/>
              <w:t>Lifting gear is connected to load shifting equipment using safe and appropriate techniques.</w:t>
            </w:r>
          </w:p>
          <w:p w:rsidR="00000000" w:rsidRPr="00FC61E5" w:rsidP="00FC61E5">
            <w:pPr>
              <w:pStyle w:val="List2"/>
            </w:pPr>
            <w:r w:rsidRPr="00FC61E5">
              <w:t>2.3.</w:t>
            </w:r>
            <w:r w:rsidRPr="00FC61E5">
              <w:tab/>
              <w:t>Communication and signalling methods are used as appropriate to coordinate th</w:t>
            </w:r>
            <w:r w:rsidRPr="00FC61E5">
              <w:t>e load movement in a safe manner.</w:t>
            </w:r>
          </w:p>
          <w:p w:rsidR="00000000" w:rsidRPr="00FC61E5" w:rsidP="00FC61E5">
            <w:pPr>
              <w:pStyle w:val="List2"/>
            </w:pPr>
            <w:r w:rsidRPr="00FC61E5">
              <w:t>2.4.</w:t>
            </w:r>
            <w:r w:rsidRPr="00FC61E5">
              <w:tab/>
              <w:t>Load is grounded or put down in accordance with prescribed procedure, in a safe and stable manner.</w:t>
            </w:r>
          </w:p>
          <w:p w:rsidR="00000000" w:rsidRPr="00FC61E5" w:rsidP="00FC61E5">
            <w:pPr>
              <w:pStyle w:val="List2"/>
            </w:pPr>
            <w:r w:rsidRPr="00FC61E5">
              <w:t>2.5.</w:t>
            </w:r>
            <w:r w:rsidRPr="00FC61E5">
              <w:tab/>
              <w:t>All lifting gear is detached from load mover and load.</w:t>
            </w:r>
          </w:p>
        </w:tc>
      </w:tr>
    </w:tbl>
    <w:p w:rsidR="00A26B98" w:rsidP="00FC61E5">
      <w:pPr>
        <w:pStyle w:val="BodyText"/>
      </w:pPr>
    </w:p>
    <w:p w:rsidR="00A26B98" w:rsidP="00FC61E5">
      <w:pPr>
        <w:pStyle w:val="BodyText"/>
      </w:pPr>
    </w:p>
    <w:p w:rsidR="00000000" w:rsidRPr="00FC61E5" w:rsidP="00FC61E5">
      <w:pPr>
        <w:pStyle w:val="Heading1"/>
      </w:pPr>
      <w:bookmarkStart w:id="9" w:name="O_260797"/>
      <w:bookmarkEnd w:id="9"/>
      <w:r w:rsidRPr="00FC61E5">
        <w:t>Required Skills and Knowledge</w:t>
      </w:r>
    </w:p>
    <w:tbl>
      <w:tblPr>
        <w:tblW w:w="0" w:type="auto"/>
        <w:tblLayout w:type="fixed"/>
        <w:tblCellMar>
          <w:left w:w="62" w:type="dxa"/>
          <w:right w:w="62" w:type="dxa"/>
        </w:tblCellMar>
        <w:tblLook w:val="0000"/>
      </w:tblPr>
      <w:tblGrid>
        <w:gridCol w:w="8522"/>
      </w:tblGrid>
      <w:tr w:rsidTr="00A26B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REQUIRED SKILLS AND KNOWLEDGE</w:t>
            </w:r>
          </w:p>
        </w:tc>
      </w:tr>
      <w:tr w:rsidTr="00A26B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This section describes the skills and knowledge required for this unit.</w:t>
            </w:r>
          </w:p>
        </w:tc>
      </w:tr>
      <w:tr w:rsidTr="00A26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Required skills</w:t>
            </w:r>
          </w:p>
        </w:tc>
      </w:tr>
      <w:tr w:rsidTr="00A26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Look for evidence that confirms skills in:</w:t>
            </w:r>
          </w:p>
          <w:p w:rsidR="00000000" w:rsidRPr="00FC61E5" w:rsidP="00FC61E5">
            <w:pPr>
              <w:pStyle w:val="ListBullet"/>
            </w:pPr>
            <w:r w:rsidRPr="00FC61E5">
              <w:t>selecting lifting methods and load shifting equipment appropriate to the task</w:t>
            </w:r>
          </w:p>
          <w:p w:rsidR="00000000" w:rsidRPr="00FC61E5" w:rsidP="00FC61E5">
            <w:pPr>
              <w:pStyle w:val="ListBullet"/>
            </w:pPr>
            <w:r w:rsidRPr="00FC61E5">
              <w:t>attaching loads</w:t>
            </w:r>
          </w:p>
          <w:p w:rsidR="00000000" w:rsidRPr="00FC61E5" w:rsidP="00FC61E5">
            <w:pPr>
              <w:pStyle w:val="ListBullet"/>
            </w:pPr>
            <w:r w:rsidRPr="00FC61E5">
              <w:t>calculating safe working loads</w:t>
            </w:r>
          </w:p>
          <w:p w:rsidR="00000000" w:rsidRPr="00FC61E5" w:rsidP="00FC61E5">
            <w:pPr>
              <w:pStyle w:val="ListBullet"/>
            </w:pPr>
            <w:r w:rsidRPr="00FC61E5">
              <w:t>communicating with related personnel about the lift</w:t>
            </w:r>
          </w:p>
          <w:p w:rsidR="00000000" w:rsidRPr="00FC61E5" w:rsidP="00FC61E5">
            <w:pPr>
              <w:pStyle w:val="ListBullet"/>
            </w:pPr>
            <w:r w:rsidRPr="00FC61E5">
              <w:t>using of basic hand tools relating to lifts</w:t>
            </w:r>
          </w:p>
          <w:p w:rsidR="00000000" w:rsidRPr="00FC61E5" w:rsidP="00FC61E5">
            <w:pPr>
              <w:pStyle w:val="ListBullet"/>
            </w:pPr>
            <w:r w:rsidRPr="00FC61E5">
              <w:t>identifying hazards and assessing r</w:t>
            </w:r>
            <w:r w:rsidRPr="00FC61E5">
              <w:t>isk</w:t>
            </w:r>
          </w:p>
          <w:p w:rsidR="00000000" w:rsidRPr="00FC61E5" w:rsidP="00FC61E5">
            <w:pPr>
              <w:pStyle w:val="ListBullet"/>
            </w:pPr>
            <w:r w:rsidRPr="00FC61E5">
              <w:t>identifying damaged/worn lifting gear</w:t>
            </w:r>
          </w:p>
          <w:p w:rsidR="00000000" w:rsidRPr="00FC61E5" w:rsidP="00FC61E5">
            <w:pPr>
              <w:pStyle w:val="ListBullet"/>
            </w:pPr>
            <w:r w:rsidRPr="00FC61E5">
              <w:t>self management</w:t>
            </w:r>
          </w:p>
          <w:p w:rsidR="00000000" w:rsidRPr="00FC61E5" w:rsidP="00FC61E5">
            <w:pPr>
              <w:pStyle w:val="ListBullet"/>
            </w:pPr>
            <w:r w:rsidRPr="00FC61E5">
              <w:t>team work</w:t>
            </w:r>
          </w:p>
          <w:p w:rsidR="00000000" w:rsidP="00FC61E5">
            <w:pPr>
              <w:pStyle w:val="ListBullet"/>
              <w:rPr>
                <w:lang w:val="en-NZ"/>
              </w:rPr>
            </w:pPr>
            <w:r w:rsidRPr="00FC61E5">
              <w:t>problem solving</w:t>
            </w:r>
          </w:p>
        </w:tc>
      </w:tr>
      <w:tr w:rsidTr="00A26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Required knowledge</w:t>
            </w:r>
          </w:p>
        </w:tc>
      </w:tr>
      <w:tr w:rsidTr="00A26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Look for evidence that confirms knowledge of:</w:t>
            </w:r>
          </w:p>
          <w:p w:rsidR="00000000" w:rsidRPr="00FC61E5" w:rsidP="00FC61E5">
            <w:pPr>
              <w:pStyle w:val="ListBullet"/>
            </w:pPr>
            <w:r w:rsidRPr="00FC61E5">
              <w:t>Australian standards, codes of practice and specifications</w:t>
            </w:r>
          </w:p>
          <w:p w:rsidR="00000000" w:rsidRPr="00FC61E5" w:rsidP="00FC61E5">
            <w:pPr>
              <w:pStyle w:val="ListBullet"/>
            </w:pPr>
            <w:r w:rsidRPr="00FC61E5">
              <w:t xml:space="preserve">lifting methods and lifting gear to suit various loads </w:t>
            </w:r>
          </w:p>
          <w:p w:rsidR="00000000" w:rsidRPr="00FC61E5" w:rsidP="00FC61E5">
            <w:pPr>
              <w:pStyle w:val="ListBullet"/>
            </w:pPr>
            <w:r w:rsidRPr="00FC61E5">
              <w:t>dogging signals and communication methods</w:t>
            </w:r>
          </w:p>
          <w:p w:rsidR="00000000" w:rsidRPr="00FC61E5" w:rsidP="00FC61E5">
            <w:pPr>
              <w:pStyle w:val="ListBullet"/>
            </w:pPr>
            <w:r w:rsidRPr="00FC61E5">
              <w:t>calculations relevant to lifting procedures</w:t>
            </w:r>
          </w:p>
          <w:p w:rsidR="00000000" w:rsidRPr="00FC61E5" w:rsidP="00FC61E5">
            <w:pPr>
              <w:pStyle w:val="ListBullet"/>
            </w:pPr>
            <w:r w:rsidRPr="00FC61E5">
              <w:t>lifting methods</w:t>
            </w:r>
          </w:p>
          <w:p w:rsidR="00000000" w:rsidRPr="00FC61E5" w:rsidP="00FC61E5">
            <w:pPr>
              <w:pStyle w:val="ListBullet"/>
            </w:pPr>
            <w:r w:rsidRPr="00FC61E5">
              <w:t>types and applications of load shifting equipment</w:t>
            </w:r>
          </w:p>
          <w:p w:rsidR="00000000" w:rsidRPr="00FC61E5" w:rsidP="00FC61E5">
            <w:pPr>
              <w:pStyle w:val="ListBullet"/>
            </w:pPr>
            <w:r w:rsidRPr="00FC61E5">
              <w:t>hazards and control measures associated with dog</w:t>
            </w:r>
            <w:r w:rsidRPr="00FC61E5">
              <w:t>ging</w:t>
            </w:r>
          </w:p>
          <w:p w:rsidR="00000000" w:rsidRPr="00FC61E5" w:rsidP="00FC61E5">
            <w:pPr>
              <w:pStyle w:val="ListBullet"/>
            </w:pPr>
            <w:r w:rsidRPr="00FC61E5">
              <w:t>use and application of personal protective equipment</w:t>
            </w:r>
          </w:p>
          <w:p w:rsidR="00000000" w:rsidRPr="00FC61E5" w:rsidP="00FC61E5">
            <w:pPr>
              <w:pStyle w:val="ListBullet"/>
            </w:pPr>
            <w:r w:rsidRPr="00FC61E5">
              <w:t>safe work practices and procedures</w:t>
            </w:r>
          </w:p>
          <w:p w:rsidR="00000000" w:rsidRPr="00FC61E5" w:rsidP="00FC61E5">
            <w:pPr>
              <w:pStyle w:val="ListBullet"/>
            </w:pPr>
            <w:r w:rsidRPr="00FC61E5">
              <w:t>licensing requirements</w:t>
            </w:r>
          </w:p>
          <w:p w:rsidR="00000000" w:rsidRPr="00FC61E5" w:rsidP="00FC61E5">
            <w:pPr>
              <w:pStyle w:val="ListBullet"/>
            </w:pPr>
            <w:r w:rsidRPr="00FC61E5">
              <w:t>permit requirements</w:t>
            </w:r>
          </w:p>
          <w:p w:rsidR="00000000" w:rsidRPr="00FC61E5" w:rsidP="00FC61E5">
            <w:pPr>
              <w:pStyle w:val="ListBullet"/>
            </w:pPr>
            <w:r w:rsidRPr="00FC61E5">
              <w:t>site/non-site personnel</w:t>
            </w:r>
          </w:p>
          <w:p w:rsidR="00000000" w:rsidRPr="00FC61E5" w:rsidP="00FC61E5">
            <w:pPr>
              <w:pStyle w:val="ListBullet"/>
            </w:pPr>
            <w:r w:rsidRPr="00FC61E5">
              <w:t>manufacturers' specifications</w:t>
            </w:r>
          </w:p>
          <w:p w:rsidR="00000000" w:rsidRPr="00FC61E5" w:rsidP="00FC61E5">
            <w:pPr>
              <w:pStyle w:val="ListBullet"/>
            </w:pPr>
            <w:r w:rsidRPr="00FC61E5">
              <w:t>enterprise procedures</w:t>
            </w:r>
          </w:p>
          <w:p w:rsidR="00000000" w:rsidRPr="00FC61E5" w:rsidP="00FC61E5">
            <w:pPr>
              <w:pStyle w:val="ListBullet"/>
            </w:pPr>
            <w:r w:rsidRPr="00FC61E5">
              <w:t>workplace communication procedures</w:t>
            </w:r>
          </w:p>
        </w:tc>
      </w:tr>
    </w:tbl>
    <w:p w:rsidR="00A26B98" w:rsidP="00FC61E5">
      <w:pPr>
        <w:pStyle w:val="BodyText"/>
      </w:pPr>
    </w:p>
    <w:p w:rsidR="00A26B98" w:rsidP="00FC61E5">
      <w:pPr>
        <w:pStyle w:val="BodyText"/>
      </w:pPr>
    </w:p>
    <w:p w:rsidR="00000000" w:rsidRPr="00FC61E5" w:rsidP="00FC61E5">
      <w:pPr>
        <w:pStyle w:val="AllowPageBreak"/>
      </w:pPr>
    </w:p>
    <w:p w:rsidR="00000000" w:rsidRPr="00FC61E5" w:rsidP="00FC61E5">
      <w:pPr>
        <w:pStyle w:val="Heading1"/>
      </w:pPr>
      <w:bookmarkStart w:id="10" w:name="O_244831"/>
      <w:bookmarkEnd w:id="10"/>
      <w:r w:rsidRPr="00FC61E5">
        <w:t>Evidence Guide</w:t>
      </w:r>
    </w:p>
    <w:tbl>
      <w:tblPr>
        <w:tblW w:w="9570" w:type="dxa"/>
        <w:tblLayout w:type="fixed"/>
        <w:tblCellMar>
          <w:left w:w="62" w:type="dxa"/>
          <w:right w:w="62" w:type="dxa"/>
        </w:tblCellMar>
        <w:tblLook w:val="0000"/>
      </w:tblPr>
      <w:tblGrid>
        <w:gridCol w:w="3908"/>
        <w:gridCol w:w="5662"/>
      </w:tblGrid>
      <w:tr w:rsidTr="00A26B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EVIDENCE GUIDE</w:t>
            </w:r>
          </w:p>
        </w:tc>
      </w:tr>
      <w:tr w:rsidTr="00A26B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The evidence guide provides advice on assessment and must be read in conjunction with the performance criteria, required skills and knowledge, range statement and the Assessment Guidelines for the</w:t>
            </w:r>
            <w:r w:rsidRPr="00FC61E5">
              <w:t xml:space="preserve"> Training Package.</w:t>
            </w:r>
          </w:p>
        </w:tc>
      </w:tr>
      <w:tr w:rsidTr="00A26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A person who demonstrates competency in this unit must be able to calculate, sling, and arrange safe movement of a load. Competency in this unit cannot be claimed until all prerequisites have been satisfied.</w:t>
            </w:r>
          </w:p>
        </w:tc>
      </w:tr>
      <w:tr w:rsidTr="00A26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Assessors must be satisfied that the candidate can competently and consistently perform all elements of the unit as specified by the criteria, including required k</w:t>
            </w:r>
            <w:r w:rsidRPr="00FC61E5">
              <w:t>nowledge, and be capable of applying the competency in new and different situations and contexts.</w:t>
            </w:r>
          </w:p>
        </w:tc>
      </w:tr>
      <w:tr w:rsidTr="00A26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This unit may be assessed on the job, off the job or a combination of both on and off the job. Where assessm</w:t>
            </w:r>
            <w:r w:rsidRPr="00FC61E5">
              <w:t>ent occurs off the job, that is the candidate is not in productive work, then an appropriate simulation must be used where the range of conditions reflects realistic workplace situations. The competencies covered by this unit would be demonstrated by an in</w:t>
            </w:r>
            <w:r w:rsidRPr="00FC61E5">
              <w:t xml:space="preserve">dividual working alone or as part of a team. The assessment environment should not disadvantage the candidate. </w:t>
            </w:r>
          </w:p>
          <w:p w:rsidR="00000000" w:rsidP="00FC61E5">
            <w:pPr>
              <w:pStyle w:val="BodyText"/>
              <w:rPr>
                <w:lang w:val="en-NZ"/>
              </w:rPr>
            </w:pPr>
            <w:r w:rsidRPr="00FC61E5">
              <w:t>This unit could be assessed in conjunction with any other units addressing the safety, quality, communication, materials handling, recording and</w:t>
            </w:r>
            <w:r w:rsidRPr="00FC61E5">
              <w:t xml:space="preserve"> reporting associated with the calculation and safe movement of loads or other units requiring the exercise of the skills and knowledge covered by this unit.</w:t>
            </w:r>
          </w:p>
        </w:tc>
      </w:tr>
      <w:tr w:rsidTr="00A26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Assessors should gather a range of evidence that is valid, sufficient, curre</w:t>
            </w:r>
            <w:r w:rsidRPr="00FC61E5">
              <w:t>nt and authentic. Evidence can be gathered through a variety of ways including direct observation, supervisor's reports, project work, samples and questioning. Questioning should not require language, literacy and numeracy skills beyond those required in t</w:t>
            </w:r>
            <w:r w:rsidRPr="00FC61E5">
              <w:t>his unit. The candidate must have access to all tools, equipment, materials and documentation required. The candidate must be permitted to refer to any relevant workplace procedures, product and manufacturing specifications, codes, standards, manuals and r</w:t>
            </w:r>
            <w:r w:rsidRPr="00FC61E5">
              <w:t>eference materials.</w:t>
            </w:r>
          </w:p>
        </w:tc>
      </w:tr>
      <w:tr w:rsidTr="00A26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p>
        </w:tc>
      </w:tr>
    </w:tbl>
    <w:p w:rsidR="00A26B98" w:rsidP="00FC61E5">
      <w:pPr>
        <w:pStyle w:val="BodyText"/>
      </w:pPr>
    </w:p>
    <w:p w:rsidR="00A26B98" w:rsidP="00FC61E5">
      <w:pPr>
        <w:pStyle w:val="BodyText"/>
      </w:pPr>
    </w:p>
    <w:p w:rsidR="00000000" w:rsidRPr="00FC61E5" w:rsidP="00FC61E5">
      <w:pPr>
        <w:pStyle w:val="Heading1"/>
      </w:pPr>
      <w:bookmarkStart w:id="11" w:name="O_252814"/>
      <w:bookmarkEnd w:id="11"/>
      <w:r w:rsidRPr="00FC61E5">
        <w:t>Range Statement</w:t>
      </w:r>
    </w:p>
    <w:tbl>
      <w:tblPr>
        <w:tblW w:w="0" w:type="auto"/>
        <w:tblLayout w:type="fixed"/>
        <w:tblCellMar>
          <w:left w:w="62" w:type="dxa"/>
          <w:right w:w="62" w:type="dxa"/>
        </w:tblCellMar>
        <w:tblLook w:val="0000"/>
      </w:tblPr>
      <w:tblGrid>
        <w:gridCol w:w="3464"/>
        <w:gridCol w:w="5058"/>
      </w:tblGrid>
      <w:tr w:rsidTr="00A26B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RANGE STATEMENT</w:t>
            </w:r>
          </w:p>
        </w:tc>
      </w:tr>
      <w:tr w:rsidTr="00A26B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 xml:space="preserve">The range statement relates to the unit of competency as a whole. It allows for different work environments and situations that may affect </w:t>
            </w:r>
            <w:r w:rsidRPr="00FC61E5">
              <w:t>performance. Bold italicised wording, if used in the performance criteria, is detailed below. Essential operating conditions that may be present with training and assessment (depending on the work situation, needs of the candidate, accessibility of the ite</w:t>
            </w:r>
            <w:r w:rsidRPr="00FC61E5">
              <w:t>m, and local industry and regional contexts) may also be included.</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Hazards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May include overhead power lines, trees, overhead service lines (such as steam, gas, water, telephone), underground services, uneven and/or unstable ground, allowable floor loadin</w:t>
            </w:r>
            <w:r w:rsidRPr="00FC61E5">
              <w:t>g as appropriate, other workers and persons, surrounding buildings/vessels/structures equipment, hazardous materials, corrosive substances, barricades, inadequate lighting and radio interference</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Load shifting equipment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May include overhead cranes, overhead gantry, forklift with approved lifting boom/jib, mobile cranes</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Lifting method</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Slings in an appropriate configuration</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Lifting gear</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Tags, slings, ropes, shackles, lifting clutches, snatch blocks, I bolts, spreader beams, chain blocks, chain shorteners and may include equalising sheaves, collared I bolts, turn buckles, rigging screws and lifting lugs</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Calculations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t>Load and gear calculat</w:t>
            </w:r>
            <w:r w:rsidRPr="00FC61E5">
              <w:t>ions</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Safe working practices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ListBullet"/>
            </w:pPr>
            <w:r w:rsidRPr="00FC61E5">
              <w:t>Inspection of the environment</w:t>
            </w:r>
          </w:p>
          <w:p w:rsidR="00000000" w:rsidRPr="00FC61E5" w:rsidP="00FC61E5">
            <w:pPr>
              <w:pStyle w:val="ListBullet"/>
            </w:pPr>
            <w:r w:rsidRPr="00FC61E5">
              <w:t>Assessment of hazards</w:t>
            </w:r>
          </w:p>
          <w:p w:rsidR="00000000" w:rsidP="00FC61E5">
            <w:pPr>
              <w:pStyle w:val="ListBullet"/>
              <w:rPr>
                <w:lang w:val="en-NZ"/>
              </w:rPr>
            </w:pPr>
            <w:r w:rsidRPr="00FC61E5">
              <w:t>Personnel safety</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Communication and signalling methods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ListBullet"/>
            </w:pPr>
            <w:r w:rsidRPr="00FC61E5">
              <w:t xml:space="preserve">Signals are given both within sight and out of sight of equipment operators. </w:t>
            </w:r>
          </w:p>
          <w:p w:rsidR="00000000" w:rsidP="00FC61E5">
            <w:pPr>
              <w:pStyle w:val="ListBullet"/>
              <w:rPr>
                <w:lang w:val="en-NZ"/>
              </w:rPr>
            </w:pPr>
            <w:r w:rsidRPr="00FC61E5">
              <w:t>Signals include stop, raise, lower, slew, luff, extend and retract boom, using hands, verbal instructions and whistles</w:t>
            </w:r>
          </w:p>
        </w:tc>
      </w:tr>
      <w:tr w:rsidTr="00A26B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State or Territory legislative requirements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ListBullet"/>
            </w:pPr>
            <w:r w:rsidRPr="00FC61E5">
              <w:t>Appropriate OH&amp;S and acts and regulations</w:t>
            </w:r>
          </w:p>
          <w:p w:rsidR="00000000" w:rsidRPr="00FC61E5" w:rsidP="00FC61E5">
            <w:pPr>
              <w:pStyle w:val="ListBullet"/>
            </w:pPr>
            <w:r w:rsidRPr="00FC61E5">
              <w:t xml:space="preserve">Australian standards and codes of practice and </w:t>
            </w:r>
          </w:p>
          <w:p w:rsidR="00000000" w:rsidRPr="00FC61E5" w:rsidP="00FC61E5">
            <w:pPr>
              <w:pStyle w:val="ListBullet"/>
            </w:pPr>
            <w:r w:rsidRPr="00FC61E5">
              <w:t>N</w:t>
            </w:r>
            <w:r w:rsidRPr="00FC61E5">
              <w:t>OHSC:1006</w:t>
            </w:r>
          </w:p>
          <w:p w:rsidR="00000000" w:rsidRPr="00FC61E5" w:rsidP="00FC61E5">
            <w:pPr>
              <w:pStyle w:val="ListBullet"/>
            </w:pPr>
            <w:r w:rsidRPr="00FC61E5">
              <w:t>AS1418</w:t>
            </w:r>
          </w:p>
        </w:tc>
      </w:tr>
    </w:tbl>
    <w:p w:rsidR="00A26B98" w:rsidP="00FC61E5">
      <w:pPr>
        <w:pStyle w:val="BodyText"/>
      </w:pPr>
    </w:p>
    <w:p w:rsidR="00A26B98" w:rsidP="00FC61E5">
      <w:pPr>
        <w:pStyle w:val="BodyText"/>
      </w:pPr>
    </w:p>
    <w:p w:rsidR="00000000" w:rsidRPr="00FC61E5" w:rsidP="00FC61E5">
      <w:pPr>
        <w:pStyle w:val="Heading1"/>
      </w:pPr>
      <w:bookmarkStart w:id="12" w:name="O_211382"/>
      <w:bookmarkEnd w:id="12"/>
      <w:r w:rsidRPr="00FC61E5">
        <w:t>Unit Sector(s)</w:t>
      </w:r>
    </w:p>
    <w:tbl>
      <w:tblPr>
        <w:tblW w:w="0" w:type="auto"/>
        <w:tblLayout w:type="fixed"/>
        <w:tblCellMar>
          <w:left w:w="62" w:type="dxa"/>
          <w:right w:w="62" w:type="dxa"/>
        </w:tblCellMar>
        <w:tblLook w:val="0000"/>
      </w:tblPr>
      <w:tblGrid>
        <w:gridCol w:w="2654"/>
        <w:gridCol w:w="5868"/>
      </w:tblGrid>
      <w:tr w:rsidTr="00A26B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p>
        </w:tc>
      </w:tr>
    </w:tbl>
    <w:p w:rsidR="00A26B98" w:rsidP="00FC61E5">
      <w:pPr>
        <w:pStyle w:val="BodyText"/>
      </w:pPr>
    </w:p>
    <w:p w:rsidR="00A26B98" w:rsidP="00FC61E5">
      <w:pPr>
        <w:pStyle w:val="BodyText"/>
      </w:pPr>
    </w:p>
    <w:p w:rsidR="00000000" w:rsidRPr="00FC61E5" w:rsidP="00FC61E5">
      <w:pPr>
        <w:pStyle w:val="Heading1"/>
      </w:pPr>
      <w:bookmarkStart w:id="13" w:name="O_211379"/>
      <w:bookmarkEnd w:id="13"/>
      <w:r w:rsidRPr="00FC61E5">
        <w:t>Co-requisite units</w:t>
      </w:r>
    </w:p>
    <w:tbl>
      <w:tblPr>
        <w:tblW w:w="0" w:type="auto"/>
        <w:tblLayout w:type="fixed"/>
        <w:tblCellMar>
          <w:left w:w="62" w:type="dxa"/>
          <w:right w:w="62" w:type="dxa"/>
        </w:tblCellMar>
        <w:tblLook w:val="0000"/>
      </w:tblPr>
      <w:tblGrid>
        <w:gridCol w:w="2641"/>
        <w:gridCol w:w="1322"/>
        <w:gridCol w:w="4559"/>
      </w:tblGrid>
      <w:tr w:rsidTr="00A26B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p>
        </w:tc>
      </w:tr>
      <w:tr w:rsidTr="00A26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p>
        </w:tc>
      </w:tr>
      <w:tr w:rsidTr="00A26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p>
        </w:tc>
      </w:tr>
    </w:tbl>
    <w:p w:rsidR="00A26B98" w:rsidP="00FC61E5">
      <w:pPr>
        <w:pStyle w:val="BodyText"/>
      </w:pPr>
    </w:p>
    <w:p w:rsidR="00A26B98" w:rsidP="00FC61E5">
      <w:pPr>
        <w:pStyle w:val="BodyText"/>
      </w:pPr>
    </w:p>
    <w:p w:rsidR="00000000" w:rsidRPr="00FC61E5" w:rsidP="00FC61E5">
      <w:pPr>
        <w:pStyle w:val="Heading1"/>
      </w:pPr>
      <w:bookmarkStart w:id="14" w:name="O_211381"/>
      <w:bookmarkEnd w:id="14"/>
      <w:r w:rsidRPr="00FC61E5">
        <w:t>Competency field</w:t>
      </w:r>
    </w:p>
    <w:tbl>
      <w:tblPr>
        <w:tblW w:w="0" w:type="auto"/>
        <w:tblLayout w:type="fixed"/>
        <w:tblCellMar>
          <w:left w:w="62" w:type="dxa"/>
          <w:right w:w="62" w:type="dxa"/>
        </w:tblCellMar>
        <w:tblLook w:val="0000"/>
      </w:tblPr>
      <w:tblGrid>
        <w:gridCol w:w="2777"/>
        <w:gridCol w:w="5745"/>
      </w:tblGrid>
      <w:tr w:rsidTr="00A26B9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1E5">
            <w:pPr>
              <w:pStyle w:val="BodyText"/>
              <w:rPr>
                <w:lang w:val="en-NZ"/>
              </w:rPr>
            </w:pPr>
            <w:r w:rsidRPr="00FC61E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1E5" w:rsidP="00FC61E5">
            <w:pPr>
              <w:pStyle w:val="BodyText"/>
            </w:pPr>
            <w:r w:rsidRPr="00FC61E5">
              <w:t>Materials handling</w:t>
            </w:r>
          </w:p>
        </w:tc>
      </w:tr>
    </w:tbl>
    <w:p w:rsidR="00A26B98" w:rsidP="00FC61E5">
      <w:pPr>
        <w:pStyle w:val="BodyText"/>
      </w:pPr>
    </w:p>
    <w:p w:rsidR="00A26B98" w:rsidP="00FC61E5">
      <w:pPr>
        <w:pStyle w:val="BodyText"/>
      </w:pPr>
    </w:p>
    <w:p w:rsidR="00000000" w:rsidRPr="00FC61E5" w:rsidP="00FC61E5"/>
    <w:sectPr w:rsidSect="00FC6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B98" w:rsidP="00A26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98" w:rsidP="00FC6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6B98" w:rsidP="00FC61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6B98" w:rsidP="00FC61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B98" w:rsidP="00A26B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98" w:rsidP="00FC61E5">
    <w:pPr>
      <w:pStyle w:val="Header"/>
      <w:framePr w:wrap="around"/>
    </w:pPr>
    <w:r>
      <w:fldChar w:fldCharType="begin"/>
    </w:r>
    <w:r>
      <w:instrText xml:space="preserve"> TITLE   \* MERGEFORMAT </w:instrText>
    </w:r>
    <w:r>
      <w:fldChar w:fldCharType="separate"/>
    </w:r>
    <w:r>
      <w:t>MEM11004B Undertake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6B98" w:rsidP="00FC61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42CC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CC3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1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1E5"/>
    <w:pPr>
      <w:spacing w:before="360" w:after="60"/>
      <w:outlineLvl w:val="0"/>
    </w:pPr>
    <w:rPr>
      <w:sz w:val="32"/>
    </w:rPr>
  </w:style>
  <w:style w:type="paragraph" w:styleId="Heading2">
    <w:name w:val="heading 2"/>
    <w:basedOn w:val="HeadingBase"/>
    <w:next w:val="BodyText"/>
    <w:link w:val="Heading2Char"/>
    <w:qFormat/>
    <w:rsid w:val="00FC61E5"/>
    <w:pPr>
      <w:keepLines/>
      <w:spacing w:before="240" w:after="120"/>
      <w:outlineLvl w:val="1"/>
    </w:pPr>
    <w:rPr>
      <w:sz w:val="28"/>
      <w:szCs w:val="40"/>
    </w:rPr>
  </w:style>
  <w:style w:type="paragraph" w:styleId="Heading3">
    <w:name w:val="heading 3"/>
    <w:basedOn w:val="HeadingBase"/>
    <w:next w:val="BodyText"/>
    <w:link w:val="Heading3Char"/>
    <w:qFormat/>
    <w:rsid w:val="00FC61E5"/>
    <w:pPr>
      <w:spacing w:before="180" w:after="120"/>
      <w:outlineLvl w:val="2"/>
    </w:pPr>
    <w:rPr>
      <w:spacing w:val="-10"/>
      <w:kern w:val="32"/>
    </w:rPr>
  </w:style>
  <w:style w:type="paragraph" w:styleId="Heading4">
    <w:name w:val="heading 4"/>
    <w:basedOn w:val="HeadingBase"/>
    <w:next w:val="BodyText"/>
    <w:link w:val="Heading4Char"/>
    <w:qFormat/>
    <w:rsid w:val="00FC61E5"/>
    <w:pPr>
      <w:spacing w:before="160" w:after="120"/>
      <w:outlineLvl w:val="3"/>
    </w:pPr>
    <w:rPr>
      <w:sz w:val="22"/>
    </w:rPr>
  </w:style>
  <w:style w:type="paragraph" w:styleId="Heading5">
    <w:name w:val="heading 5"/>
    <w:basedOn w:val="HeadingBase"/>
    <w:next w:val="Normal"/>
    <w:link w:val="Heading5Char"/>
    <w:qFormat/>
    <w:rsid w:val="00FC61E5"/>
    <w:pPr>
      <w:spacing w:before="80"/>
      <w:outlineLvl w:val="4"/>
    </w:pPr>
    <w:rPr>
      <w:color w:val="918585"/>
      <w:sz w:val="20"/>
    </w:rPr>
  </w:style>
  <w:style w:type="paragraph" w:styleId="Heading6">
    <w:name w:val="heading 6"/>
    <w:basedOn w:val="HeadingBase"/>
    <w:next w:val="Normal"/>
    <w:link w:val="Heading6Char"/>
    <w:qFormat/>
    <w:rsid w:val="00FC61E5"/>
    <w:pPr>
      <w:spacing w:before="60"/>
      <w:outlineLvl w:val="5"/>
    </w:pPr>
    <w:rPr>
      <w:color w:val="918585"/>
      <w:sz w:val="20"/>
    </w:rPr>
  </w:style>
  <w:style w:type="paragraph" w:styleId="Heading7">
    <w:name w:val="heading 7"/>
    <w:basedOn w:val="Normal"/>
    <w:next w:val="Normal"/>
    <w:link w:val="Heading7Char"/>
    <w:qFormat/>
    <w:rsid w:val="00FC61E5"/>
    <w:pPr>
      <w:ind w:left="720"/>
      <w:outlineLvl w:val="6"/>
    </w:pPr>
    <w:rPr>
      <w:i/>
    </w:rPr>
  </w:style>
  <w:style w:type="paragraph" w:styleId="Heading8">
    <w:name w:val="heading 8"/>
    <w:basedOn w:val="Normal"/>
    <w:next w:val="Normal"/>
    <w:link w:val="Heading8Char"/>
    <w:qFormat/>
    <w:rsid w:val="00FC61E5"/>
    <w:pPr>
      <w:ind w:left="720"/>
      <w:outlineLvl w:val="7"/>
    </w:pPr>
    <w:rPr>
      <w:i/>
    </w:rPr>
  </w:style>
  <w:style w:type="paragraph" w:styleId="Heading9">
    <w:name w:val="heading 9"/>
    <w:basedOn w:val="Normal"/>
    <w:next w:val="Normal"/>
    <w:link w:val="Heading9Char"/>
    <w:qFormat/>
    <w:rsid w:val="00FC61E5"/>
    <w:pPr>
      <w:ind w:left="720"/>
      <w:outlineLvl w:val="8"/>
    </w:pPr>
    <w:rPr>
      <w:i/>
    </w:rPr>
  </w:style>
  <w:style w:type="character" w:default="1" w:styleId="DefaultParagraphFont">
    <w:name w:val="Default Paragraph Font"/>
    <w:uiPriority w:val="1"/>
    <w:unhideWhenUsed/>
    <w:rsid w:val="00FC6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1E5"/>
  </w:style>
  <w:style w:type="character" w:customStyle="1" w:styleId="Heading1Char">
    <w:name w:val="Heading 1 Char"/>
    <w:link w:val="Heading1"/>
    <w:rsid w:val="00FC61E5"/>
    <w:rPr>
      <w:rFonts w:ascii="Times New Roman" w:eastAsia="Times New Roman" w:hAnsi="Times New Roman" w:cs="Times New Roman"/>
      <w:b/>
      <w:sz w:val="32"/>
      <w:szCs w:val="20"/>
      <w:lang w:eastAsia="en-US"/>
    </w:rPr>
  </w:style>
  <w:style w:type="paragraph" w:styleId="BodyText">
    <w:name w:val="Body Text"/>
    <w:basedOn w:val="Normal"/>
    <w:link w:val="BodyTextChar"/>
    <w:rsid w:val="00FC61E5"/>
    <w:pPr>
      <w:spacing w:before="120" w:after="120"/>
      <w:contextualSpacing/>
    </w:pPr>
    <w:rPr>
      <w:rFonts w:ascii="Times New Roman" w:hAnsi="Times New Roman"/>
      <w:sz w:val="24"/>
      <w:szCs w:val="22"/>
    </w:rPr>
  </w:style>
  <w:style w:type="character" w:customStyle="1" w:styleId="BodyTextChar">
    <w:name w:val="Body Text Char"/>
    <w:link w:val="BodyText"/>
    <w:rsid w:val="00FC61E5"/>
    <w:rPr>
      <w:rFonts w:ascii="Times New Roman" w:eastAsia="Times New Roman" w:hAnsi="Times New Roman" w:cs="Times New Roman"/>
      <w:sz w:val="24"/>
      <w:lang w:val="en-US" w:eastAsia="en-US"/>
    </w:rPr>
  </w:style>
  <w:style w:type="paragraph" w:styleId="Footer">
    <w:name w:val="footer"/>
    <w:basedOn w:val="Normal"/>
    <w:link w:val="FooterChar"/>
    <w:rsid w:val="00FC6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61E5"/>
    <w:rPr>
      <w:rFonts w:ascii="Times New Roman" w:eastAsia="Times New Roman" w:hAnsi="Times New Roman" w:cs="Times New Roman"/>
      <w:sz w:val="16"/>
      <w:lang w:val="en-US" w:eastAsia="en-US"/>
    </w:rPr>
  </w:style>
  <w:style w:type="paragraph" w:styleId="List">
    <w:name w:val="List"/>
    <w:basedOn w:val="BodyText"/>
    <w:next w:val="BodyText"/>
    <w:rsid w:val="00FC61E5"/>
    <w:pPr>
      <w:tabs>
        <w:tab w:val="left" w:pos="340"/>
      </w:tabs>
      <w:spacing w:before="60" w:after="60"/>
      <w:ind w:left="340" w:hanging="340"/>
    </w:pPr>
  </w:style>
  <w:style w:type="paragraph" w:styleId="ListBullet">
    <w:name w:val="List Bullet"/>
    <w:basedOn w:val="List"/>
    <w:rsid w:val="00FC61E5"/>
    <w:pPr>
      <w:numPr>
        <w:numId w:val="12"/>
      </w:numPr>
      <w:tabs>
        <w:tab w:val="clear" w:pos="340"/>
      </w:tabs>
      <w:spacing w:before="40" w:after="40"/>
    </w:pPr>
  </w:style>
  <w:style w:type="character" w:customStyle="1" w:styleId="SpecialBold">
    <w:name w:val="Special Bold"/>
    <w:rsid w:val="00FC61E5"/>
    <w:rPr>
      <w:b/>
      <w:spacing w:val="0"/>
    </w:rPr>
  </w:style>
  <w:style w:type="paragraph" w:styleId="Header">
    <w:name w:val="header"/>
    <w:basedOn w:val="Normal"/>
    <w:link w:val="HeaderChar"/>
    <w:rsid w:val="00FC6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61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61E5"/>
    <w:pPr>
      <w:spacing w:before="240" w:after="120"/>
      <w:outlineLvl w:val="0"/>
    </w:pPr>
    <w:rPr>
      <w:rFonts w:ascii="Times New Roman" w:hAnsi="Times New Roman"/>
      <w:b/>
      <w:sz w:val="28"/>
    </w:rPr>
  </w:style>
  <w:style w:type="paragraph" w:customStyle="1" w:styleId="AllowPageBreak">
    <w:name w:val="AllowPageBreak"/>
    <w:rsid w:val="00FC61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61E5"/>
    <w:pPr>
      <w:tabs>
        <w:tab w:val="left" w:pos="680"/>
      </w:tabs>
      <w:spacing w:before="60" w:after="60"/>
      <w:ind w:left="680" w:hanging="340"/>
    </w:pPr>
  </w:style>
  <w:style w:type="character" w:customStyle="1" w:styleId="Heading2Char">
    <w:name w:val="Heading 2 Char"/>
    <w:link w:val="Heading2"/>
    <w:rsid w:val="00FC61E5"/>
    <w:rPr>
      <w:rFonts w:ascii="Times New Roman" w:eastAsia="Times New Roman" w:hAnsi="Times New Roman" w:cs="Times New Roman"/>
      <w:b/>
      <w:sz w:val="28"/>
      <w:szCs w:val="40"/>
      <w:lang w:eastAsia="en-US"/>
    </w:rPr>
  </w:style>
  <w:style w:type="character" w:customStyle="1" w:styleId="Heading3Char">
    <w:name w:val="Heading 3 Char"/>
    <w:link w:val="Heading3"/>
    <w:rsid w:val="00FC61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61E5"/>
    <w:rPr>
      <w:rFonts w:ascii="Times New Roman" w:eastAsia="Times New Roman" w:hAnsi="Times New Roman" w:cs="Times New Roman"/>
      <w:b/>
      <w:szCs w:val="20"/>
      <w:lang w:eastAsia="en-US"/>
    </w:rPr>
  </w:style>
  <w:style w:type="character" w:customStyle="1" w:styleId="Heading5Char">
    <w:name w:val="Heading 5 Char"/>
    <w:link w:val="Heading5"/>
    <w:rsid w:val="00FC61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6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1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1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1E5"/>
    <w:rPr>
      <w:rFonts w:ascii="Courier New" w:eastAsia="Times New Roman" w:hAnsi="Courier New" w:cs="Times New Roman"/>
      <w:i/>
      <w:szCs w:val="20"/>
      <w:lang w:val="en-US" w:eastAsia="en-US"/>
    </w:rPr>
  </w:style>
  <w:style w:type="paragraph" w:customStyle="1" w:styleId="HeadingBase">
    <w:name w:val="Heading Base"/>
    <w:rsid w:val="00FC6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1E5"/>
    <w:pPr>
      <w:tabs>
        <w:tab w:val="right" w:leader="dot" w:pos="9072"/>
      </w:tabs>
      <w:ind w:left="567"/>
    </w:pPr>
    <w:rPr>
      <w:szCs w:val="22"/>
    </w:rPr>
  </w:style>
  <w:style w:type="paragraph" w:customStyle="1" w:styleId="TOCBase">
    <w:name w:val="TOC Base"/>
    <w:rsid w:val="00FC6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1E5"/>
    <w:pPr>
      <w:tabs>
        <w:tab w:val="right" w:leader="dot" w:pos="9072"/>
      </w:tabs>
      <w:spacing w:before="40" w:after="40"/>
      <w:ind w:left="284"/>
    </w:pPr>
    <w:rPr>
      <w:rFonts w:ascii="Times New Roman" w:hAnsi="Times New Roman"/>
    </w:rPr>
  </w:style>
  <w:style w:type="paragraph" w:styleId="TOC1">
    <w:name w:val="toc 1"/>
    <w:basedOn w:val="TOCBase"/>
    <w:next w:val="Normal"/>
    <w:rsid w:val="00FC61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1E5"/>
    <w:pPr>
      <w:spacing w:before="5040"/>
      <w:jc w:val="center"/>
    </w:pPr>
    <w:rPr>
      <w:sz w:val="48"/>
      <w:szCs w:val="72"/>
      <w:lang w:val="en-US"/>
    </w:rPr>
  </w:style>
  <w:style w:type="character" w:customStyle="1" w:styleId="TitleChar">
    <w:name w:val="Title Char"/>
    <w:link w:val="Title"/>
    <w:rsid w:val="00FC6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1E5"/>
    <w:pPr>
      <w:tabs>
        <w:tab w:val="left" w:pos="3600"/>
        <w:tab w:val="left" w:pos="3958"/>
      </w:tabs>
    </w:pPr>
  </w:style>
  <w:style w:type="paragraph" w:customStyle="1" w:styleId="Note">
    <w:name w:val="Note"/>
    <w:basedOn w:val="BodyText"/>
    <w:rsid w:val="00FC6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1E5"/>
    <w:pPr>
      <w:framePr w:wrap="auto" w:hAnchor="text" w:y="6049"/>
    </w:pPr>
    <w:rPr>
      <w:color w:val="000000"/>
      <w:sz w:val="40"/>
    </w:rPr>
  </w:style>
  <w:style w:type="paragraph" w:customStyle="1" w:styleId="TOCTitle">
    <w:name w:val="TOCTitle"/>
    <w:basedOn w:val="Heading1"/>
    <w:rsid w:val="00FC61E5"/>
    <w:pPr>
      <w:spacing w:after="240"/>
      <w:jc w:val="center"/>
      <w:outlineLvl w:val="9"/>
    </w:pPr>
    <w:rPr>
      <w:caps/>
    </w:rPr>
  </w:style>
  <w:style w:type="paragraph" w:customStyle="1" w:styleId="Version">
    <w:name w:val="Version"/>
    <w:rsid w:val="00FC6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1E5"/>
    <w:pPr>
      <w:numPr>
        <w:numId w:val="13"/>
      </w:numPr>
      <w:tabs>
        <w:tab w:val="clear" w:pos="680"/>
      </w:tabs>
    </w:pPr>
  </w:style>
  <w:style w:type="paragraph" w:styleId="Index1">
    <w:name w:val="index 1"/>
    <w:basedOn w:val="Normal"/>
    <w:next w:val="Normal"/>
    <w:semiHidden/>
    <w:rsid w:val="00FC61E5"/>
    <w:pPr>
      <w:keepNext w:val="0"/>
      <w:tabs>
        <w:tab w:val="right" w:pos="4176"/>
      </w:tabs>
      <w:ind w:left="198" w:hanging="198"/>
    </w:pPr>
    <w:rPr>
      <w:rFonts w:ascii="Garamond" w:hAnsi="Garamond"/>
    </w:rPr>
  </w:style>
  <w:style w:type="paragraph" w:styleId="IndexHeading">
    <w:name w:val="index heading"/>
    <w:basedOn w:val="Normal"/>
    <w:next w:val="Index1"/>
    <w:semiHidden/>
    <w:rsid w:val="00FC61E5"/>
    <w:pPr>
      <w:spacing w:before="120" w:after="120"/>
    </w:pPr>
    <w:rPr>
      <w:rFonts w:ascii="Arial" w:hAnsi="Arial"/>
      <w:b/>
      <w:color w:val="918585"/>
      <w:sz w:val="24"/>
    </w:rPr>
  </w:style>
  <w:style w:type="paragraph" w:customStyle="1" w:styleId="Chapter">
    <w:name w:val="Chapter"/>
    <w:basedOn w:val="Normal"/>
    <w:rsid w:val="00FC61E5"/>
    <w:pPr>
      <w:spacing w:before="240"/>
    </w:pPr>
    <w:rPr>
      <w:rFonts w:ascii="Times New Roman" w:hAnsi="Times New Roman"/>
      <w:smallCaps/>
      <w:spacing w:val="80"/>
      <w:sz w:val="28"/>
    </w:rPr>
  </w:style>
  <w:style w:type="paragraph" w:customStyle="1" w:styleId="InChapter">
    <w:name w:val="InChapter"/>
    <w:basedOn w:val="Heading3"/>
    <w:rsid w:val="00FC61E5"/>
    <w:pPr>
      <w:spacing w:after="240"/>
      <w:outlineLvl w:val="9"/>
    </w:pPr>
    <w:rPr>
      <w:noProof/>
    </w:rPr>
  </w:style>
  <w:style w:type="paragraph" w:styleId="Index2">
    <w:name w:val="index 2"/>
    <w:basedOn w:val="Normal"/>
    <w:next w:val="Normal"/>
    <w:semiHidden/>
    <w:rsid w:val="00FC61E5"/>
    <w:pPr>
      <w:tabs>
        <w:tab w:val="right" w:pos="4176"/>
      </w:tabs>
      <w:ind w:left="568" w:hanging="284"/>
    </w:pPr>
    <w:rPr>
      <w:rFonts w:ascii="Garamond" w:hAnsi="Garamond"/>
    </w:rPr>
  </w:style>
  <w:style w:type="paragraph" w:customStyle="1" w:styleId="Byline">
    <w:name w:val="Byline"/>
    <w:rsid w:val="00FC6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1E5"/>
    <w:pPr>
      <w:tabs>
        <w:tab w:val="clear" w:pos="3600"/>
        <w:tab w:val="clear" w:pos="3958"/>
      </w:tabs>
      <w:jc w:val="right"/>
    </w:pPr>
  </w:style>
  <w:style w:type="character" w:styleId="Emphasis">
    <w:name w:val="Emphasis"/>
    <w:qFormat/>
    <w:rsid w:val="00FC61E5"/>
    <w:rPr>
      <w:i/>
    </w:rPr>
  </w:style>
  <w:style w:type="paragraph" w:styleId="Caption">
    <w:name w:val="caption"/>
    <w:basedOn w:val="BodyText"/>
    <w:next w:val="Normal"/>
    <w:qFormat/>
    <w:rsid w:val="00FC61E5"/>
    <w:pPr>
      <w:framePr w:w="2268" w:hSpace="181" w:vSpace="181" w:wrap="around" w:vAnchor="text" w:hAnchor="page" w:x="1135" w:y="285" w:anchorLock="1"/>
    </w:pPr>
    <w:rPr>
      <w:i/>
    </w:rPr>
  </w:style>
  <w:style w:type="paragraph" w:customStyle="1" w:styleId="MiniTOCTitle">
    <w:name w:val="MiniTOCTitle"/>
    <w:basedOn w:val="Heading4"/>
    <w:rsid w:val="00FC61E5"/>
    <w:pPr>
      <w:spacing w:before="240"/>
      <w:outlineLvl w:val="9"/>
    </w:pPr>
    <w:rPr>
      <w:noProof/>
      <w:sz w:val="24"/>
    </w:rPr>
  </w:style>
  <w:style w:type="paragraph" w:customStyle="1" w:styleId="MiniTOCItem">
    <w:name w:val="MiniTOCItem"/>
    <w:basedOn w:val="ListBullet"/>
    <w:rsid w:val="00FC61E5"/>
    <w:pPr>
      <w:numPr>
        <w:numId w:val="0"/>
      </w:numPr>
      <w:tabs>
        <w:tab w:val="right" w:leader="dot" w:pos="6521"/>
      </w:tabs>
      <w:spacing w:before="0" w:after="0"/>
    </w:pPr>
  </w:style>
  <w:style w:type="paragraph" w:customStyle="1" w:styleId="TOFTitle">
    <w:name w:val="TOFTitle"/>
    <w:basedOn w:val="TOCTitle"/>
    <w:rsid w:val="00FC61E5"/>
  </w:style>
  <w:style w:type="paragraph" w:styleId="TableofFigures">
    <w:name w:val="table of figures"/>
    <w:basedOn w:val="Normal"/>
    <w:next w:val="Normal"/>
    <w:semiHidden/>
    <w:rsid w:val="00FC61E5"/>
    <w:pPr>
      <w:tabs>
        <w:tab w:val="right" w:leader="dot" w:pos="9072"/>
      </w:tabs>
      <w:ind w:left="970" w:hanging="403"/>
    </w:pPr>
    <w:rPr>
      <w:rFonts w:ascii="Times New Roman" w:hAnsi="Times New Roman"/>
      <w:b/>
    </w:rPr>
  </w:style>
  <w:style w:type="paragraph" w:styleId="ListNumber">
    <w:name w:val="List Number"/>
    <w:basedOn w:val="List"/>
    <w:rsid w:val="00FC61E5"/>
    <w:pPr>
      <w:numPr>
        <w:numId w:val="10"/>
      </w:numPr>
    </w:pPr>
  </w:style>
  <w:style w:type="character" w:customStyle="1" w:styleId="WingdingSymbols">
    <w:name w:val="Wingding Symbols"/>
    <w:rsid w:val="00FC61E5"/>
    <w:rPr>
      <w:rFonts w:ascii="Wingdings" w:hAnsi="Wingdings"/>
    </w:rPr>
  </w:style>
  <w:style w:type="paragraph" w:customStyle="1" w:styleId="TableHeading">
    <w:name w:val="Table Heading"/>
    <w:basedOn w:val="HeadingBase"/>
    <w:rsid w:val="00FC61E5"/>
    <w:pPr>
      <w:keepLines/>
      <w:pBdr>
        <w:bottom w:val="single" w:sz="6" w:space="1" w:color="918585"/>
      </w:pBdr>
      <w:spacing w:before="240"/>
    </w:pPr>
  </w:style>
  <w:style w:type="character" w:customStyle="1" w:styleId="HotSpot">
    <w:name w:val="HotSpot"/>
    <w:rsid w:val="00FC61E5"/>
    <w:rPr>
      <w:color w:val="0033CC"/>
      <w:u w:val="none"/>
    </w:rPr>
  </w:style>
  <w:style w:type="paragraph" w:customStyle="1" w:styleId="BodyTextRight">
    <w:name w:val="Body Text Right"/>
    <w:basedOn w:val="BodyText"/>
    <w:rsid w:val="00FC61E5"/>
    <w:pPr>
      <w:spacing w:before="0" w:after="0"/>
      <w:jc w:val="right"/>
    </w:pPr>
  </w:style>
  <w:style w:type="paragraph" w:styleId="Index3">
    <w:name w:val="index 3"/>
    <w:basedOn w:val="ListNumber2"/>
    <w:next w:val="Normal"/>
    <w:semiHidden/>
    <w:rsid w:val="00FC61E5"/>
    <w:pPr>
      <w:numPr>
        <w:numId w:val="0"/>
      </w:numPr>
      <w:tabs>
        <w:tab w:val="right" w:leader="dot" w:pos="4176"/>
      </w:tabs>
    </w:pPr>
  </w:style>
  <w:style w:type="paragraph" w:styleId="ListNumber2">
    <w:name w:val="List Number 2"/>
    <w:basedOn w:val="List2"/>
    <w:rsid w:val="00FC61E5"/>
    <w:pPr>
      <w:numPr>
        <w:numId w:val="9"/>
      </w:numPr>
      <w:tabs>
        <w:tab w:val="clear" w:pos="1060"/>
      </w:tabs>
    </w:pPr>
  </w:style>
  <w:style w:type="paragraph" w:customStyle="1" w:styleId="MarginNote">
    <w:name w:val="Margin Note"/>
    <w:basedOn w:val="BodyText"/>
    <w:rsid w:val="00FC6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61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1E5"/>
    <w:rPr>
      <w:sz w:val="32"/>
    </w:rPr>
  </w:style>
  <w:style w:type="paragraph" w:customStyle="1" w:styleId="HeadingProcedure">
    <w:name w:val="Heading Procedure"/>
    <w:basedOn w:val="HeadingBase"/>
    <w:next w:val="Normal"/>
    <w:rsid w:val="00FC61E5"/>
    <w:pPr>
      <w:tabs>
        <w:tab w:val="left" w:pos="0"/>
      </w:tabs>
      <w:spacing w:before="120" w:after="60"/>
    </w:pPr>
    <w:rPr>
      <w:i/>
      <w:color w:val="918585"/>
      <w:sz w:val="22"/>
    </w:rPr>
  </w:style>
  <w:style w:type="paragraph" w:customStyle="1" w:styleId="TableBodyText">
    <w:name w:val="Table Body Text"/>
    <w:basedOn w:val="BodyText"/>
    <w:rsid w:val="00FC61E5"/>
    <w:pPr>
      <w:spacing w:before="60" w:after="60"/>
    </w:pPr>
  </w:style>
  <w:style w:type="paragraph" w:styleId="ListContinue">
    <w:name w:val="List Continue"/>
    <w:basedOn w:val="List"/>
    <w:rsid w:val="00FC61E5"/>
    <w:pPr>
      <w:ind w:firstLine="0"/>
    </w:pPr>
  </w:style>
  <w:style w:type="paragraph" w:customStyle="1" w:styleId="ListNote">
    <w:name w:val="List Note"/>
    <w:basedOn w:val="List"/>
    <w:rsid w:val="00FC61E5"/>
    <w:pPr>
      <w:pBdr>
        <w:top w:val="single" w:sz="6" w:space="2" w:color="918585"/>
        <w:bottom w:val="single" w:sz="6" w:space="2" w:color="918585"/>
      </w:pBdr>
      <w:tabs>
        <w:tab w:val="left" w:pos="1021"/>
      </w:tabs>
      <w:ind w:firstLine="0"/>
    </w:pPr>
  </w:style>
  <w:style w:type="paragraph" w:customStyle="1" w:styleId="Warning">
    <w:name w:val="Warning"/>
    <w:basedOn w:val="BodyText"/>
    <w:rsid w:val="00FC61E5"/>
    <w:pPr>
      <w:shd w:val="clear" w:color="auto" w:fill="D9D9D9"/>
      <w:tabs>
        <w:tab w:val="left" w:pos="992"/>
      </w:tabs>
      <w:ind w:left="119" w:right="119"/>
    </w:pPr>
    <w:rPr>
      <w:sz w:val="20"/>
    </w:rPr>
  </w:style>
  <w:style w:type="paragraph" w:customStyle="1" w:styleId="MarginIcons">
    <w:name w:val="Margin Icons"/>
    <w:basedOn w:val="BodyText"/>
    <w:rsid w:val="00FC61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61E5"/>
    <w:rPr>
      <w:rFonts w:ascii="Courier New" w:hAnsi="Courier New"/>
    </w:rPr>
  </w:style>
  <w:style w:type="paragraph" w:customStyle="1" w:styleId="NoteBullet">
    <w:name w:val="Note Bullet"/>
    <w:basedOn w:val="Note"/>
    <w:rsid w:val="00FC61E5"/>
    <w:pPr>
      <w:tabs>
        <w:tab w:val="clear" w:pos="680"/>
      </w:tabs>
      <w:spacing w:before="60" w:after="60"/>
    </w:pPr>
  </w:style>
  <w:style w:type="paragraph" w:customStyle="1" w:styleId="SubHeading2">
    <w:name w:val="SubHeading2"/>
    <w:basedOn w:val="HeadingBase"/>
    <w:rsid w:val="00FC61E5"/>
    <w:pPr>
      <w:spacing w:before="240" w:after="60"/>
    </w:pPr>
    <w:rPr>
      <w:sz w:val="20"/>
    </w:rPr>
  </w:style>
  <w:style w:type="paragraph" w:customStyle="1" w:styleId="SubHeading1">
    <w:name w:val="SubHeading1"/>
    <w:basedOn w:val="HeadingBase"/>
    <w:rsid w:val="00FC61E5"/>
    <w:pPr>
      <w:spacing w:before="240" w:after="60"/>
    </w:pPr>
    <w:rPr>
      <w:color w:val="918585"/>
      <w:sz w:val="22"/>
    </w:rPr>
  </w:style>
  <w:style w:type="paragraph" w:customStyle="1" w:styleId="SideHeading">
    <w:name w:val="Side Heading"/>
    <w:basedOn w:val="HeadingBase"/>
    <w:rsid w:val="00FC6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1E5"/>
    <w:pPr>
      <w:tabs>
        <w:tab w:val="num" w:pos="360"/>
      </w:tabs>
    </w:pPr>
  </w:style>
  <w:style w:type="paragraph" w:styleId="PlainText">
    <w:name w:val="Plain Text"/>
    <w:basedOn w:val="Normal"/>
    <w:link w:val="PlainTextChar"/>
    <w:rsid w:val="00FC61E5"/>
    <w:rPr>
      <w:sz w:val="20"/>
    </w:rPr>
  </w:style>
  <w:style w:type="character" w:customStyle="1" w:styleId="PlainTextChar">
    <w:name w:val="Plain Text Char"/>
    <w:basedOn w:val="DefaultParagraphFont"/>
    <w:link w:val="PlainText"/>
    <w:rsid w:val="00FC61E5"/>
    <w:rPr>
      <w:rFonts w:ascii="Courier New" w:eastAsia="Times New Roman" w:hAnsi="Courier New" w:cs="Times New Roman"/>
      <w:sz w:val="20"/>
      <w:szCs w:val="20"/>
      <w:lang w:val="en-US" w:eastAsia="en-US"/>
    </w:rPr>
  </w:style>
  <w:style w:type="character" w:customStyle="1" w:styleId="MenuOption">
    <w:name w:val="Menu Option"/>
    <w:rsid w:val="00FC61E5"/>
    <w:rPr>
      <w:b/>
      <w:smallCaps/>
    </w:rPr>
  </w:style>
  <w:style w:type="paragraph" w:customStyle="1" w:styleId="TableListNumber">
    <w:name w:val="Table List Number"/>
    <w:basedOn w:val="ListNumber"/>
    <w:rsid w:val="00FC61E5"/>
    <w:pPr>
      <w:numPr>
        <w:numId w:val="0"/>
      </w:numPr>
    </w:pPr>
  </w:style>
  <w:style w:type="paragraph" w:styleId="TOC4">
    <w:name w:val="toc 4"/>
    <w:basedOn w:val="TOCBase"/>
    <w:next w:val="Normal"/>
    <w:semiHidden/>
    <w:rsid w:val="00FC61E5"/>
    <w:pPr>
      <w:tabs>
        <w:tab w:val="right" w:leader="dot" w:pos="9071"/>
      </w:tabs>
      <w:ind w:left="1701"/>
    </w:pPr>
  </w:style>
  <w:style w:type="paragraph" w:customStyle="1" w:styleId="ListAlpha">
    <w:name w:val="List Alpha"/>
    <w:basedOn w:val="List"/>
    <w:rsid w:val="00FC61E5"/>
    <w:pPr>
      <w:numPr>
        <w:numId w:val="8"/>
      </w:numPr>
    </w:pPr>
  </w:style>
  <w:style w:type="paragraph" w:customStyle="1" w:styleId="ListAlpha2">
    <w:name w:val="List Alpha 2"/>
    <w:basedOn w:val="List2"/>
    <w:rsid w:val="00FC61E5"/>
    <w:pPr>
      <w:numPr>
        <w:numId w:val="7"/>
      </w:numPr>
    </w:pPr>
  </w:style>
  <w:style w:type="paragraph" w:styleId="List3">
    <w:name w:val="List 3"/>
    <w:basedOn w:val="BodyText"/>
    <w:rsid w:val="00FC61E5"/>
    <w:pPr>
      <w:tabs>
        <w:tab w:val="left" w:pos="1021"/>
      </w:tabs>
      <w:spacing w:before="60" w:after="60"/>
      <w:ind w:left="1020" w:hanging="340"/>
    </w:pPr>
  </w:style>
  <w:style w:type="paragraph" w:styleId="List4">
    <w:name w:val="List 4"/>
    <w:basedOn w:val="BodyText"/>
    <w:rsid w:val="00FC61E5"/>
    <w:pPr>
      <w:tabs>
        <w:tab w:val="left" w:pos="1361"/>
      </w:tabs>
      <w:spacing w:before="60" w:after="60"/>
      <w:ind w:left="1361" w:hanging="340"/>
    </w:pPr>
  </w:style>
  <w:style w:type="paragraph" w:styleId="List5">
    <w:name w:val="List 5"/>
    <w:basedOn w:val="BodyText"/>
    <w:rsid w:val="00FC61E5"/>
    <w:pPr>
      <w:tabs>
        <w:tab w:val="left" w:pos="1701"/>
      </w:tabs>
      <w:spacing w:before="60" w:after="60"/>
      <w:ind w:left="1701" w:hanging="340"/>
    </w:pPr>
  </w:style>
  <w:style w:type="paragraph" w:styleId="ListBullet3">
    <w:name w:val="List Bullet 3"/>
    <w:basedOn w:val="List3"/>
    <w:rsid w:val="00FC61E5"/>
    <w:pPr>
      <w:numPr>
        <w:numId w:val="14"/>
      </w:numPr>
      <w:tabs>
        <w:tab w:val="clear" w:pos="1021"/>
      </w:tabs>
      <w:ind w:left="1037" w:hanging="357"/>
    </w:pPr>
  </w:style>
  <w:style w:type="paragraph" w:styleId="ListBullet4">
    <w:name w:val="List Bullet 4"/>
    <w:basedOn w:val="List4"/>
    <w:rsid w:val="00FC61E5"/>
    <w:pPr>
      <w:numPr>
        <w:numId w:val="2"/>
      </w:numPr>
    </w:pPr>
  </w:style>
  <w:style w:type="paragraph" w:styleId="ListBullet5">
    <w:name w:val="List Bullet 5"/>
    <w:basedOn w:val="List5"/>
    <w:rsid w:val="00FC61E5"/>
    <w:pPr>
      <w:numPr>
        <w:numId w:val="3"/>
      </w:numPr>
    </w:pPr>
  </w:style>
  <w:style w:type="paragraph" w:styleId="ListContinue2">
    <w:name w:val="List Continue 2"/>
    <w:basedOn w:val="List2"/>
    <w:rsid w:val="00FC61E5"/>
    <w:pPr>
      <w:ind w:firstLine="0"/>
    </w:pPr>
  </w:style>
  <w:style w:type="paragraph" w:styleId="ListContinue3">
    <w:name w:val="List Continue 3"/>
    <w:basedOn w:val="List3"/>
    <w:rsid w:val="00FC61E5"/>
    <w:pPr>
      <w:ind w:left="1021" w:firstLine="0"/>
    </w:pPr>
  </w:style>
  <w:style w:type="paragraph" w:styleId="ListContinue4">
    <w:name w:val="List Continue 4"/>
    <w:basedOn w:val="List4"/>
    <w:rsid w:val="00FC61E5"/>
    <w:pPr>
      <w:ind w:firstLine="0"/>
    </w:pPr>
  </w:style>
  <w:style w:type="paragraph" w:styleId="ListContinue5">
    <w:name w:val="List Continue 5"/>
    <w:basedOn w:val="List5"/>
    <w:rsid w:val="00FC61E5"/>
    <w:pPr>
      <w:ind w:firstLine="0"/>
    </w:pPr>
  </w:style>
  <w:style w:type="paragraph" w:styleId="ListNumber3">
    <w:name w:val="List Number 3"/>
    <w:basedOn w:val="List3"/>
    <w:rsid w:val="00FC61E5"/>
    <w:pPr>
      <w:numPr>
        <w:numId w:val="4"/>
      </w:numPr>
    </w:pPr>
  </w:style>
  <w:style w:type="paragraph" w:styleId="ListNumber4">
    <w:name w:val="List Number 4"/>
    <w:basedOn w:val="List4"/>
    <w:rsid w:val="00FC61E5"/>
    <w:pPr>
      <w:numPr>
        <w:numId w:val="5"/>
      </w:numPr>
    </w:pPr>
  </w:style>
  <w:style w:type="paragraph" w:styleId="ListNumber5">
    <w:name w:val="List Number 5"/>
    <w:basedOn w:val="List5"/>
    <w:rsid w:val="00FC61E5"/>
    <w:pPr>
      <w:numPr>
        <w:numId w:val="6"/>
      </w:numPr>
    </w:pPr>
  </w:style>
  <w:style w:type="paragraph" w:styleId="BlockText">
    <w:name w:val="Block Text"/>
    <w:basedOn w:val="Normal"/>
    <w:rsid w:val="00FC61E5"/>
    <w:pPr>
      <w:spacing w:after="120"/>
      <w:ind w:left="1440" w:right="1440"/>
    </w:pPr>
  </w:style>
  <w:style w:type="character" w:customStyle="1" w:styleId="Subscript">
    <w:name w:val="Subscript"/>
    <w:rsid w:val="00FC61E5"/>
    <w:rPr>
      <w:sz w:val="16"/>
      <w:vertAlign w:val="subscript"/>
    </w:rPr>
  </w:style>
  <w:style w:type="character" w:customStyle="1" w:styleId="Superscript">
    <w:name w:val="Superscript"/>
    <w:rsid w:val="00FC61E5"/>
    <w:rPr>
      <w:sz w:val="16"/>
      <w:vertAlign w:val="superscript"/>
    </w:rPr>
  </w:style>
  <w:style w:type="character" w:customStyle="1" w:styleId="Symbols">
    <w:name w:val="Symbols"/>
    <w:rsid w:val="00FC61E5"/>
    <w:rPr>
      <w:rFonts w:ascii="Symbol" w:hAnsi="Symbol"/>
    </w:rPr>
  </w:style>
  <w:style w:type="character" w:customStyle="1" w:styleId="MenuOptions">
    <w:name w:val="Menu Options"/>
    <w:rsid w:val="00FC61E5"/>
    <w:rPr>
      <w:rFonts w:ascii="Arial Narrow" w:hAnsi="Arial Narrow"/>
      <w:smallCaps/>
    </w:rPr>
  </w:style>
  <w:style w:type="character" w:customStyle="1" w:styleId="Buttons">
    <w:name w:val="Buttons"/>
    <w:rsid w:val="00FC61E5"/>
    <w:rPr>
      <w:b/>
    </w:rPr>
  </w:style>
  <w:style w:type="character" w:customStyle="1" w:styleId="Underlined">
    <w:name w:val="Underlined"/>
    <w:rsid w:val="00FC61E5"/>
    <w:rPr>
      <w:u w:val="single"/>
    </w:rPr>
  </w:style>
  <w:style w:type="paragraph" w:customStyle="1" w:styleId="TableBodyTextRight">
    <w:name w:val="Table Body Text Right"/>
    <w:basedOn w:val="TableBodyText"/>
    <w:rsid w:val="00FC61E5"/>
    <w:pPr>
      <w:widowControl w:val="0"/>
      <w:autoSpaceDE w:val="0"/>
      <w:autoSpaceDN w:val="0"/>
      <w:adjustRightInd w:val="0"/>
      <w:jc w:val="right"/>
    </w:pPr>
    <w:rPr>
      <w:rFonts w:cs="Arial"/>
      <w:szCs w:val="18"/>
    </w:rPr>
  </w:style>
  <w:style w:type="paragraph" w:customStyle="1" w:styleId="CopyrightText">
    <w:name w:val="Copyright Text"/>
    <w:basedOn w:val="BodyText"/>
    <w:rsid w:val="00FC61E5"/>
    <w:rPr>
      <w:sz w:val="18"/>
    </w:rPr>
  </w:style>
  <w:style w:type="paragraph" w:customStyle="1" w:styleId="BodySmallRight">
    <w:name w:val="Body Small Right"/>
    <w:basedOn w:val="BodyTextRight"/>
    <w:rsid w:val="00FC61E5"/>
    <w:rPr>
      <w:sz w:val="18"/>
      <w:szCs w:val="18"/>
    </w:rPr>
  </w:style>
  <w:style w:type="paragraph" w:customStyle="1" w:styleId="MarginEdition">
    <w:name w:val="Margin Edition"/>
    <w:basedOn w:val="MarginNote"/>
    <w:rsid w:val="00FC61E5"/>
    <w:pPr>
      <w:spacing w:before="0" w:after="0"/>
    </w:pPr>
    <w:rPr>
      <w:rFonts w:ascii="Times New Roman" w:hAnsi="Times New Roman"/>
      <w:color w:val="999999"/>
    </w:rPr>
  </w:style>
  <w:style w:type="paragraph" w:customStyle="1" w:styleId="Spacer">
    <w:name w:val="Spacer"/>
    <w:basedOn w:val="Normal"/>
    <w:rsid w:val="00FC61E5"/>
    <w:rPr>
      <w:sz w:val="2"/>
      <w:szCs w:val="2"/>
    </w:rPr>
  </w:style>
  <w:style w:type="character" w:customStyle="1" w:styleId="Small">
    <w:name w:val="Small"/>
    <w:rsid w:val="00FC61E5"/>
    <w:rPr>
      <w:sz w:val="16"/>
    </w:rPr>
  </w:style>
  <w:style w:type="paragraph" w:customStyle="1" w:styleId="WideTable">
    <w:name w:val="Wide Table"/>
    <w:basedOn w:val="Normal"/>
    <w:rsid w:val="00FC61E5"/>
    <w:pPr>
      <w:ind w:left="-1418"/>
    </w:pPr>
    <w:rPr>
      <w:sz w:val="2"/>
      <w:szCs w:val="2"/>
    </w:rPr>
  </w:style>
  <w:style w:type="character" w:styleId="PageNumber">
    <w:name w:val="page number"/>
    <w:rsid w:val="00FC61E5"/>
  </w:style>
  <w:style w:type="paragraph" w:styleId="Quote">
    <w:name w:val="Quote"/>
    <w:basedOn w:val="Heading1"/>
    <w:link w:val="QuoteChar"/>
    <w:qFormat/>
    <w:rsid w:val="00FC61E5"/>
    <w:rPr>
      <w:b w:val="0"/>
      <w:sz w:val="72"/>
      <w:szCs w:val="72"/>
      <w:lang w:val="en-NZ"/>
    </w:rPr>
  </w:style>
  <w:style w:type="character" w:customStyle="1" w:styleId="QuoteChar">
    <w:name w:val="Quote Char"/>
    <w:link w:val="Quote"/>
    <w:rsid w:val="00FC6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1E5"/>
    <w:pPr>
      <w:pageBreakBefore/>
    </w:pPr>
  </w:style>
  <w:style w:type="paragraph" w:customStyle="1" w:styleId="Border">
    <w:name w:val="Border"/>
    <w:basedOn w:val="Normal"/>
    <w:qFormat/>
    <w:rsid w:val="00FC61E5"/>
    <w:pPr>
      <w:pBdr>
        <w:top w:val="single" w:sz="18" w:space="1" w:color="auto"/>
      </w:pBdr>
    </w:pPr>
    <w:rPr>
      <w:rFonts w:ascii="Times New Roman" w:hAnsi="Times New Roman"/>
      <w:color w:val="FFFFFF"/>
      <w:sz w:val="2"/>
    </w:rPr>
  </w:style>
  <w:style w:type="character" w:styleId="IntenseEmphasis">
    <w:name w:val="Intense Emphasis"/>
    <w:uiPriority w:val="21"/>
    <w:qFormat/>
    <w:rsid w:val="00FC61E5"/>
    <w:rPr>
      <w:b/>
      <w:bCs/>
      <w:i/>
      <w:iCs/>
      <w:color w:val="auto"/>
    </w:rPr>
  </w:style>
  <w:style w:type="paragraph" w:styleId="IntenseQuote">
    <w:name w:val="Intense Quote"/>
    <w:basedOn w:val="Normal"/>
    <w:next w:val="Normal"/>
    <w:link w:val="IntenseQuoteChar"/>
    <w:uiPriority w:val="30"/>
    <w:qFormat/>
    <w:rsid w:val="00FC61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61E5"/>
    <w:rPr>
      <w:rFonts w:ascii="Courier New" w:eastAsia="Times New Roman" w:hAnsi="Courier New" w:cs="Times New Roman"/>
      <w:b/>
      <w:bCs/>
      <w:i/>
      <w:iCs/>
      <w:szCs w:val="20"/>
      <w:lang w:val="en-US" w:eastAsia="en-US"/>
    </w:rPr>
  </w:style>
  <w:style w:type="character" w:styleId="SubtleReference">
    <w:name w:val="Subtle Reference"/>
    <w:uiPriority w:val="31"/>
    <w:qFormat/>
    <w:rsid w:val="00FC61E5"/>
    <w:rPr>
      <w:smallCaps/>
      <w:color w:val="auto"/>
      <w:u w:val="single"/>
    </w:rPr>
  </w:style>
  <w:style w:type="character" w:styleId="IntenseReference">
    <w:name w:val="Intense Reference"/>
    <w:uiPriority w:val="32"/>
    <w:qFormat/>
    <w:rsid w:val="00FC61E5"/>
    <w:rPr>
      <w:b/>
      <w:bCs/>
      <w:smallCaps/>
      <w:color w:val="auto"/>
      <w:spacing w:val="5"/>
      <w:u w:val="single"/>
    </w:rPr>
  </w:style>
  <w:style w:type="paragraph" w:customStyle="1" w:styleId="2ColumnHeading">
    <w:name w:val="2Column Heading"/>
    <w:basedOn w:val="BodyText"/>
    <w:qFormat/>
    <w:rsid w:val="00FC61E5"/>
    <w:pPr>
      <w:spacing w:after="60"/>
      <w:ind w:left="-2268"/>
    </w:pPr>
    <w:rPr>
      <w:b/>
    </w:rPr>
  </w:style>
  <w:style w:type="paragraph" w:customStyle="1" w:styleId="Heading1TOC">
    <w:name w:val="Heading1 TOC"/>
    <w:basedOn w:val="Normal"/>
    <w:qFormat/>
    <w:rsid w:val="00FC61E5"/>
    <w:pPr>
      <w:spacing w:before="240" w:after="120"/>
    </w:pPr>
    <w:rPr>
      <w:rFonts w:ascii="Times New Roman" w:hAnsi="Times New Roman"/>
      <w:b/>
      <w:sz w:val="32"/>
    </w:rPr>
  </w:style>
  <w:style w:type="paragraph" w:customStyle="1" w:styleId="Heading2TOC">
    <w:name w:val="Heading2 TOC"/>
    <w:basedOn w:val="Normal"/>
    <w:qFormat/>
    <w:rsid w:val="00FC61E5"/>
    <w:pPr>
      <w:spacing w:before="240" w:after="60"/>
    </w:pPr>
    <w:rPr>
      <w:rFonts w:ascii="Times New Roman" w:hAnsi="Times New Roman"/>
      <w:b/>
      <w:sz w:val="28"/>
    </w:rPr>
  </w:style>
  <w:style w:type="character" w:customStyle="1" w:styleId="Underline">
    <w:name w:val="Underline"/>
    <w:qFormat/>
    <w:rsid w:val="00FC61E5"/>
    <w:rPr>
      <w:u w:val="single"/>
    </w:rPr>
  </w:style>
  <w:style w:type="character" w:customStyle="1" w:styleId="BoldandItalics">
    <w:name w:val="Bold and Italics"/>
    <w:qFormat/>
    <w:rsid w:val="00FC61E5"/>
    <w:rPr>
      <w:b/>
      <w:i/>
      <w:u w:val="none"/>
    </w:rPr>
  </w:style>
  <w:style w:type="paragraph" w:styleId="BalloonText">
    <w:name w:val="Balloon Text"/>
    <w:basedOn w:val="Normal"/>
    <w:link w:val="BalloonTextChar"/>
    <w:rsid w:val="00FC61E5"/>
    <w:rPr>
      <w:rFonts w:ascii="Tahoma" w:hAnsi="Tahoma" w:cs="Tahoma"/>
      <w:sz w:val="16"/>
      <w:szCs w:val="16"/>
    </w:rPr>
  </w:style>
  <w:style w:type="character" w:customStyle="1" w:styleId="BalloonTextChar">
    <w:name w:val="Balloon Text Char"/>
    <w:link w:val="BalloonText"/>
    <w:rsid w:val="00FC61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1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61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1172</Words>
  <Characters>7045</Characters>
  <Application>Microsoft Office Word</Application>
  <DocSecurity>0</DocSecurity>
  <Lines>259</Lines>
  <Paragraphs>123</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MEM11004B Undertake dogging</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2012-05-27T01:41:00Z</dcterms:created>
  <dcterms:modified xsi:type="dcterms:W3CDTF">2012-05-27T01:41:00Z</dcterms:modified>
</cp:coreProperties>
</file>