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B27" w:rsidP="00B74B27">
      <w:pPr>
        <w:pStyle w:val="Title"/>
      </w:pPr>
      <w:r>
        <w:fldChar w:fldCharType="begin"/>
      </w:r>
      <w:r>
        <w:instrText xml:space="preserve"> TITLE   \* MERGEFORMAT </w:instrText>
      </w:r>
      <w:r>
        <w:fldChar w:fldCharType="separate"/>
      </w:r>
      <w:r>
        <w:t>MEM11002C Erect/dismantle complex scaffolding and equipment</w:t>
      </w:r>
      <w:r>
        <w:fldChar w:fldCharType="end"/>
      </w:r>
    </w:p>
    <w:p w:rsidR="00B74B27" w:rsidP="00B74B27">
      <w:pPr>
        <w:pStyle w:val="Version"/>
        <w:sectPr w:rsidSect="00A85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8ED" w:rsidP="00A858ED">
      <w:pPr>
        <w:pStyle w:val="SuperHeading"/>
      </w:pPr>
      <w:r w:rsidRPr="00A858ED">
        <w:t>MEM11002C Erect/dismantle complex scaffolding and equipment</w:t>
      </w:r>
    </w:p>
    <w:p w:rsidR="00000000" w:rsidRPr="00A858ED" w:rsidP="00A858ED">
      <w:pPr>
        <w:pStyle w:val="Heading1"/>
      </w:pPr>
      <w:bookmarkStart w:id="1" w:name="O_272132"/>
      <w:bookmarkEnd w:id="1"/>
      <w:r w:rsidRPr="00A858ED">
        <w:t>Modification History</w:t>
      </w:r>
    </w:p>
    <w:p w:rsidR="00000000" w:rsidRPr="00A858ED" w:rsidP="00A858ED">
      <w:pPr>
        <w:pStyle w:val="BodyText"/>
      </w:pPr>
      <w:r w:rsidRPr="00A858ED">
        <w:t>Not Applicable</w:t>
      </w:r>
    </w:p>
    <w:p w:rsidR="00000000" w:rsidRPr="00A858ED" w:rsidP="00A858ED">
      <w:pPr>
        <w:pStyle w:val="AllowPageBreak"/>
      </w:pPr>
    </w:p>
    <w:p w:rsidR="00000000" w:rsidRPr="00A858ED" w:rsidP="00A858ED">
      <w:pPr>
        <w:pStyle w:val="Heading1"/>
      </w:pPr>
      <w:bookmarkStart w:id="2" w:name="O_211362"/>
      <w:bookmarkEnd w:id="2"/>
      <w:r w:rsidRPr="00A858ED">
        <w:t>Unit Descriptor</w:t>
      </w:r>
    </w:p>
    <w:tbl>
      <w:tblPr>
        <w:tblW w:w="0" w:type="auto"/>
        <w:tblLayout w:type="fixed"/>
        <w:tblCellMar>
          <w:left w:w="62" w:type="dxa"/>
          <w:right w:w="62" w:type="dxa"/>
        </w:tblCellMar>
        <w:tblLook w:val="0000"/>
      </w:tblPr>
      <w:tblGrid>
        <w:gridCol w:w="2619"/>
        <w:gridCol w:w="5903"/>
      </w:tblGrid>
      <w:tr w:rsidTr="00B74B2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Unit descriptor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This unit covers erecting, maintaining, inspecting/altering/repairing and dismantling compl</w:t>
            </w:r>
            <w:r w:rsidRPr="00A858ED">
              <w:t>ex scaffolding/equipment.</w:t>
            </w:r>
          </w:p>
        </w:tc>
      </w:tr>
    </w:tbl>
    <w:p w:rsidR="00B74B27" w:rsidP="00A858ED">
      <w:pPr>
        <w:pStyle w:val="BodyText"/>
      </w:pPr>
    </w:p>
    <w:p w:rsidR="00B74B27" w:rsidP="00A858ED">
      <w:pPr>
        <w:pStyle w:val="BodyText"/>
      </w:pPr>
    </w:p>
    <w:p w:rsidR="00000000" w:rsidRPr="00A858ED" w:rsidP="00A858ED">
      <w:pPr>
        <w:pStyle w:val="Heading1"/>
      </w:pPr>
      <w:bookmarkStart w:id="3" w:name="O_211366"/>
      <w:bookmarkEnd w:id="3"/>
      <w:r w:rsidRPr="00A858ED">
        <w:t>Application of the Unit</w:t>
      </w:r>
    </w:p>
    <w:tbl>
      <w:tblPr>
        <w:tblW w:w="0" w:type="auto"/>
        <w:tblLayout w:type="fixed"/>
        <w:tblCellMar>
          <w:left w:w="62" w:type="dxa"/>
          <w:right w:w="62" w:type="dxa"/>
        </w:tblCellMar>
        <w:tblLook w:val="0000"/>
      </w:tblPr>
      <w:tblGrid>
        <w:gridCol w:w="2729"/>
        <w:gridCol w:w="5793"/>
      </w:tblGrid>
      <w:tr w:rsidTr="00B74B27">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Application of the unit</w:t>
            </w:r>
          </w:p>
        </w:tc>
        <w:tc>
          <w:tcPr>
            <w:tcW w:w="5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 xml:space="preserve">This unit applies to erecting complex scaffolding to be used generally in maintenance and installation in a workshop, and in factories, manufacturing </w:t>
            </w:r>
            <w:r w:rsidRPr="00A858ED">
              <w:t>plants and warehouses. It includes preparation, erection, maintenance, inspection/repair/alteration and dismantling of the scaffolding/equipment.</w:t>
            </w:r>
          </w:p>
          <w:p w:rsidR="00000000" w:rsidRPr="00A858ED" w:rsidP="00A858ED">
            <w:pPr>
              <w:pStyle w:val="BodyText"/>
            </w:pPr>
            <w:r w:rsidRPr="00A858ED">
              <w:t>An awareness of licensing and permit requirements is required.</w:t>
            </w:r>
          </w:p>
          <w:p w:rsidR="00000000" w:rsidRPr="00A858ED" w:rsidP="00A858ED">
            <w:pPr>
              <w:pStyle w:val="BodyText"/>
            </w:pPr>
          </w:p>
          <w:p w:rsidR="00000000" w:rsidRPr="00A858ED" w:rsidP="00A858ED">
            <w:pPr>
              <w:pStyle w:val="BodyText"/>
            </w:pPr>
            <w:r w:rsidRPr="00A858ED">
              <w:rPr>
                <w:rStyle w:val="SpecialBold"/>
              </w:rPr>
              <w:t>Band</w:t>
            </w:r>
            <w:r w:rsidRPr="00A858ED">
              <w:t>:</w:t>
            </w:r>
            <w:r w:rsidRPr="00A858ED">
              <w:tab/>
            </w:r>
            <w:r w:rsidRPr="00A858ED">
              <w:rPr>
                <w:rStyle w:val="SpecialBold"/>
              </w:rPr>
              <w:t>A</w:t>
            </w:r>
          </w:p>
          <w:p w:rsidR="00000000" w:rsidRPr="00A858ED" w:rsidP="00A858ED">
            <w:pPr>
              <w:pStyle w:val="BodyText"/>
            </w:pPr>
            <w:r w:rsidRPr="00A858ED">
              <w:rPr>
                <w:rStyle w:val="SpecialBold"/>
              </w:rPr>
              <w:t>Unit Weight</w:t>
            </w:r>
            <w:r w:rsidRPr="00A858ED">
              <w:t>:</w:t>
            </w:r>
            <w:r w:rsidRPr="00A858ED">
              <w:tab/>
            </w:r>
            <w:r w:rsidRPr="00A858ED">
              <w:rPr>
                <w:rStyle w:val="SpecialBold"/>
              </w:rPr>
              <w:t>4</w:t>
            </w:r>
          </w:p>
        </w:tc>
      </w:tr>
    </w:tbl>
    <w:p w:rsidR="00B74B27" w:rsidP="00A858ED">
      <w:pPr>
        <w:pStyle w:val="BodyText"/>
      </w:pPr>
    </w:p>
    <w:p w:rsidR="00B74B27" w:rsidP="00A858ED">
      <w:pPr>
        <w:pStyle w:val="BodyText"/>
      </w:pPr>
    </w:p>
    <w:p w:rsidR="00000000" w:rsidRPr="00A858ED" w:rsidP="00A858ED">
      <w:pPr>
        <w:pStyle w:val="Heading1"/>
      </w:pPr>
      <w:bookmarkStart w:id="4" w:name="O_280392"/>
      <w:bookmarkEnd w:id="4"/>
      <w:r w:rsidRPr="00A858ED">
        <w:t>Licensing/Regulatory Information</w:t>
      </w:r>
    </w:p>
    <w:p w:rsidR="00000000" w:rsidRPr="00A858ED" w:rsidP="00A858ED">
      <w:pPr>
        <w:pStyle w:val="BodyText"/>
      </w:pPr>
      <w:r w:rsidRPr="00A858ED">
        <w:t>Refer to Application of the Unit</w:t>
      </w:r>
    </w:p>
    <w:p w:rsidR="00000000" w:rsidRPr="00A858ED" w:rsidP="00A858ED">
      <w:pPr>
        <w:pStyle w:val="AllowPageBreak"/>
      </w:pPr>
    </w:p>
    <w:p w:rsidR="00000000" w:rsidRPr="00A858ED" w:rsidP="00A858ED">
      <w:pPr>
        <w:pStyle w:val="Heading1"/>
      </w:pPr>
      <w:bookmarkStart w:id="5" w:name="O_211364"/>
      <w:bookmarkEnd w:id="5"/>
      <w:r w:rsidRPr="00A858ED">
        <w:t>Pre-Requisites</w:t>
      </w:r>
    </w:p>
    <w:tbl>
      <w:tblPr>
        <w:tblW w:w="0" w:type="auto"/>
        <w:tblLayout w:type="fixed"/>
        <w:tblCellMar>
          <w:left w:w="62" w:type="dxa"/>
          <w:right w:w="62" w:type="dxa"/>
        </w:tblCellMar>
        <w:tblLook w:val="0000"/>
      </w:tblPr>
      <w:tblGrid>
        <w:gridCol w:w="2687"/>
        <w:gridCol w:w="2207"/>
        <w:gridCol w:w="3628"/>
      </w:tblGrid>
      <w:tr w:rsidTr="00B74B27">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p>
        </w:tc>
      </w:tr>
      <w:tr w:rsidTr="00B74B27">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MEM11001C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Erect/dismantle scaffolding and equipment</w:t>
            </w:r>
          </w:p>
        </w:tc>
      </w:tr>
      <w:tr w:rsidTr="00B74B27">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Use hand tools</w:t>
            </w:r>
          </w:p>
        </w:tc>
      </w:tr>
    </w:tbl>
    <w:p w:rsidR="00B74B27" w:rsidP="00A858ED">
      <w:pPr>
        <w:pStyle w:val="BodyText"/>
      </w:pPr>
    </w:p>
    <w:p w:rsidR="00B74B27" w:rsidP="00A858ED">
      <w:pPr>
        <w:pStyle w:val="BodyText"/>
      </w:pPr>
    </w:p>
    <w:p w:rsidR="00000000" w:rsidRPr="00A858ED" w:rsidP="00A858ED">
      <w:pPr>
        <w:pStyle w:val="Heading1"/>
      </w:pPr>
      <w:bookmarkStart w:id="6" w:name="O_211363"/>
      <w:bookmarkEnd w:id="6"/>
      <w:r w:rsidRPr="00A858ED">
        <w:t>Employability Skills Information</w:t>
      </w:r>
    </w:p>
    <w:tbl>
      <w:tblPr>
        <w:tblW w:w="0" w:type="auto"/>
        <w:tblLayout w:type="fixed"/>
        <w:tblCellMar>
          <w:left w:w="62" w:type="dxa"/>
          <w:right w:w="62" w:type="dxa"/>
        </w:tblCellMar>
        <w:tblLook w:val="0000"/>
      </w:tblPr>
      <w:tblGrid>
        <w:gridCol w:w="2794"/>
        <w:gridCol w:w="5728"/>
      </w:tblGrid>
      <w:tr w:rsidTr="00B74B27">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This unit contains employability skills.</w:t>
            </w:r>
          </w:p>
        </w:tc>
      </w:tr>
    </w:tbl>
    <w:p w:rsidR="00B74B27" w:rsidP="00A858ED">
      <w:pPr>
        <w:pStyle w:val="BodyText"/>
      </w:pPr>
    </w:p>
    <w:p w:rsidR="00B74B27" w:rsidP="00A858ED">
      <w:pPr>
        <w:pStyle w:val="BodyText"/>
      </w:pPr>
    </w:p>
    <w:p w:rsidR="00000000" w:rsidRPr="00A858ED" w:rsidP="00A858ED">
      <w:pPr>
        <w:pStyle w:val="Heading1"/>
      </w:pPr>
      <w:bookmarkStart w:id="7" w:name="O_290178"/>
      <w:bookmarkEnd w:id="7"/>
      <w:r w:rsidRPr="00A858ED">
        <w:t>Elements and Performance Criteria Pre-Content</w:t>
      </w:r>
    </w:p>
    <w:tbl>
      <w:tblPr>
        <w:tblW w:w="0" w:type="auto"/>
        <w:tblLayout w:type="fixed"/>
        <w:tblCellMar>
          <w:left w:w="62" w:type="dxa"/>
          <w:right w:w="62" w:type="dxa"/>
        </w:tblCellMar>
        <w:tblLook w:val="0000"/>
      </w:tblPr>
      <w:tblGrid>
        <w:gridCol w:w="2611"/>
        <w:gridCol w:w="5911"/>
      </w:tblGrid>
      <w:tr w:rsidTr="00B74B27">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Performance criteria describe</w:t>
            </w:r>
            <w:r w:rsidRPr="00A858E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858ED">
              <w:t>the evidence guide.</w:t>
            </w:r>
          </w:p>
        </w:tc>
      </w:tr>
    </w:tbl>
    <w:p w:rsidR="00000000" w:rsidRPr="00A858ED" w:rsidP="00A858ED">
      <w:pPr>
        <w:pStyle w:val="BodyText"/>
      </w:pPr>
    </w:p>
    <w:p w:rsidR="00000000" w:rsidRPr="00A858ED" w:rsidP="00A858ED">
      <w:pPr>
        <w:pStyle w:val="AllowPageBreak"/>
      </w:pPr>
    </w:p>
    <w:p w:rsidR="00000000" w:rsidRPr="00A858ED" w:rsidP="00A858ED">
      <w:pPr>
        <w:pStyle w:val="Heading1"/>
      </w:pPr>
      <w:bookmarkStart w:id="8" w:name="O_236845"/>
      <w:bookmarkEnd w:id="8"/>
      <w:r w:rsidRPr="00A858ED">
        <w:t>Elements and Performance Criteria</w:t>
      </w:r>
    </w:p>
    <w:tbl>
      <w:tblPr>
        <w:tblW w:w="0" w:type="auto"/>
        <w:tblLayout w:type="fixed"/>
        <w:tblCellMar>
          <w:left w:w="62" w:type="dxa"/>
          <w:right w:w="62" w:type="dxa"/>
        </w:tblCellMar>
        <w:tblLook w:val="0000"/>
      </w:tblPr>
      <w:tblGrid>
        <w:gridCol w:w="2611"/>
        <w:gridCol w:w="5911"/>
      </w:tblGrid>
      <w:tr w:rsidTr="00B74B27">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PERFORMANCE CRITERIA</w:t>
            </w:r>
          </w:p>
        </w:tc>
      </w:tr>
      <w:tr w:rsidTr="00B74B27">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List"/>
              <w:rPr>
                <w:lang w:val="en-NZ"/>
              </w:rPr>
            </w:pPr>
            <w:r w:rsidRPr="00A858ED">
              <w:t>1.</w:t>
            </w:r>
            <w:r w:rsidRPr="00A858ED">
              <w:tab/>
              <w:t>Prepare to erect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2"/>
            </w:pPr>
            <w:r w:rsidRPr="00A858ED">
              <w:t>1.1.</w:t>
            </w:r>
            <w:r w:rsidRPr="00A858ED">
              <w:tab/>
              <w:t>Site plans, scaffolding/equipment designs and drawings to industry practices are interpreted as necessary.</w:t>
            </w:r>
          </w:p>
          <w:p w:rsidR="00000000" w:rsidRPr="00A858ED" w:rsidP="00A858ED">
            <w:pPr>
              <w:pStyle w:val="List2"/>
            </w:pPr>
            <w:r w:rsidRPr="00A858ED">
              <w:t>1.2.</w:t>
            </w:r>
            <w:r w:rsidRPr="00A858ED">
              <w:tab/>
              <w:t>Work area is inspected to identify hazards and appropriate prevention/control measures are implemented to avoid hazard.</w:t>
            </w:r>
          </w:p>
          <w:p w:rsidR="00000000" w:rsidP="00A858ED">
            <w:pPr>
              <w:pStyle w:val="List2"/>
              <w:rPr>
                <w:lang w:val="en-NZ"/>
              </w:rPr>
            </w:pPr>
            <w:r w:rsidRPr="00A858ED">
              <w:t>1.3.</w:t>
            </w:r>
            <w:r w:rsidRPr="00A858ED">
              <w:tab/>
              <w:t>All work is undertaken safely and to prescribed procedures.</w:t>
            </w:r>
          </w:p>
        </w:tc>
      </w:tr>
      <w:tr w:rsidTr="00B74B27">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List"/>
              <w:rPr>
                <w:lang w:val="en-NZ"/>
              </w:rPr>
            </w:pPr>
            <w:r w:rsidRPr="00A858ED">
              <w:t>2.</w:t>
            </w:r>
            <w:r w:rsidRPr="00A858ED">
              <w:tab/>
              <w:t>Erect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2"/>
            </w:pPr>
            <w:r w:rsidRPr="00A858ED">
              <w:t>2.1.</w:t>
            </w:r>
            <w:r w:rsidRPr="00A858ED">
              <w:tab/>
            </w:r>
            <w:r w:rsidRPr="00A858ED">
              <w:t>Erection site is prepared to meet job requirements.</w:t>
            </w:r>
          </w:p>
          <w:p w:rsidR="00000000" w:rsidRPr="00A858ED" w:rsidP="00A858ED">
            <w:pPr>
              <w:pStyle w:val="List2"/>
            </w:pPr>
            <w:r w:rsidRPr="00A858ED">
              <w:t>2.2.</w:t>
            </w:r>
            <w:r w:rsidRPr="00A858ED">
              <w:tab/>
              <w:t>Necessary signage and barriers and third party protection measures are placed in appropriate position.</w:t>
            </w:r>
          </w:p>
          <w:p w:rsidR="00000000" w:rsidRPr="00A858ED" w:rsidP="00A858ED">
            <w:pPr>
              <w:pStyle w:val="List2"/>
            </w:pPr>
            <w:r w:rsidRPr="00A858ED">
              <w:t>2.3.</w:t>
            </w:r>
            <w:r w:rsidRPr="00A858ED">
              <w:tab/>
              <w:t>Appropriate scaffolding/equipment components are selected and inspected and damaged compone</w:t>
            </w:r>
            <w:r w:rsidRPr="00A858ED">
              <w:t>nts are labelled and rejected.</w:t>
            </w:r>
          </w:p>
          <w:p w:rsidR="00000000" w:rsidRPr="00A858ED" w:rsidP="00A858ED">
            <w:pPr>
              <w:pStyle w:val="List2"/>
            </w:pPr>
            <w:r w:rsidRPr="00A858ED">
              <w:t>2.4.</w:t>
            </w:r>
            <w:r w:rsidRPr="00A858ED">
              <w:tab/>
              <w:t>Rejected components are repaired or sent for repair.</w:t>
            </w:r>
          </w:p>
          <w:p w:rsidR="00000000" w:rsidRPr="00A858ED" w:rsidP="00A858ED">
            <w:pPr>
              <w:pStyle w:val="List2"/>
            </w:pPr>
            <w:r w:rsidRPr="00A858ED">
              <w:t>2.5.</w:t>
            </w:r>
            <w:r w:rsidRPr="00A858ED">
              <w:tab/>
              <w:t xml:space="preserve">Scaffolding/equipment is erected to plan and in accordance with acceptable safe work practices, Australian standards, State or Territory legislative requirements </w:t>
            </w:r>
            <w:r w:rsidRPr="00A858ED">
              <w:t>and equipment manufacturers' requirements.</w:t>
            </w:r>
          </w:p>
          <w:p w:rsidR="00000000" w:rsidP="00A858ED">
            <w:pPr>
              <w:pStyle w:val="List2"/>
              <w:rPr>
                <w:lang w:val="en-NZ"/>
              </w:rPr>
            </w:pPr>
            <w:r w:rsidRPr="00A858ED">
              <w:t>2.6.</w:t>
            </w:r>
            <w:r w:rsidRPr="00A858ED">
              <w:tab/>
              <w:t>Scaffolding/equipment is checked for safety and operational requirements and faults are identified in accordance with legislative requirements.</w:t>
            </w:r>
          </w:p>
        </w:tc>
      </w:tr>
      <w:tr w:rsidTr="00B74B27">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List"/>
              <w:rPr>
                <w:lang w:val="en-NZ"/>
              </w:rPr>
            </w:pPr>
            <w:r w:rsidRPr="00A858ED">
              <w:t>3.</w:t>
            </w:r>
            <w:r w:rsidRPr="00A858ED">
              <w:tab/>
              <w:t>Inspect, alter and/or repair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2"/>
            </w:pPr>
            <w:r w:rsidRPr="00A858ED">
              <w:t>3.1.</w:t>
            </w:r>
            <w:r w:rsidRPr="00A858ED">
              <w:tab/>
              <w:t>Alterat</w:t>
            </w:r>
            <w:r w:rsidRPr="00A858ED">
              <w:t>ions/repairs are confirmed in accordance with safety work practices, Australian standards and equipment manufacturers' requirements.</w:t>
            </w:r>
          </w:p>
          <w:p w:rsidR="00000000" w:rsidRPr="00A858ED" w:rsidP="00A858ED">
            <w:pPr>
              <w:pStyle w:val="List2"/>
            </w:pPr>
            <w:r w:rsidRPr="00A858ED">
              <w:t>3.2.</w:t>
            </w:r>
            <w:r w:rsidRPr="00A858ED">
              <w:tab/>
              <w:t>Alterations/repairs are inspected for safety and operational requirements.</w:t>
            </w:r>
          </w:p>
          <w:p w:rsidR="00000000" w:rsidRPr="00A858ED" w:rsidP="00A858ED">
            <w:pPr>
              <w:pStyle w:val="List2"/>
            </w:pPr>
            <w:r w:rsidRPr="00A858ED">
              <w:t>3.3.</w:t>
            </w:r>
            <w:r w:rsidRPr="00A858ED">
              <w:tab/>
              <w:t>Scope of alteration/repair is confirme</w:t>
            </w:r>
            <w:r w:rsidRPr="00A858ED">
              <w:t>d and understood.</w:t>
            </w:r>
          </w:p>
          <w:p w:rsidR="00000000" w:rsidRPr="00A858ED" w:rsidP="00A858ED">
            <w:pPr>
              <w:pStyle w:val="List2"/>
            </w:pPr>
            <w:r w:rsidRPr="00A858ED">
              <w:t>3.4.</w:t>
            </w:r>
            <w:r w:rsidRPr="00A858ED">
              <w:tab/>
              <w:t>Existing scaffold/equipment is inspected for suitability of alterations/repair requirements.</w:t>
            </w:r>
          </w:p>
          <w:p w:rsidR="00000000" w:rsidRPr="00A858ED" w:rsidP="00A858ED">
            <w:pPr>
              <w:pStyle w:val="List2"/>
            </w:pPr>
            <w:r w:rsidRPr="00A858ED">
              <w:t>3.5.</w:t>
            </w:r>
            <w:r w:rsidRPr="00A858ED">
              <w:tab/>
              <w:t>Materials, equipment and tools required for alteration are determined.</w:t>
            </w:r>
          </w:p>
          <w:p w:rsidR="00000000" w:rsidP="00A858ED">
            <w:pPr>
              <w:pStyle w:val="List2"/>
              <w:rPr>
                <w:lang w:val="en-NZ"/>
              </w:rPr>
            </w:pPr>
            <w:r w:rsidRPr="00A858ED">
              <w:t>3.6.</w:t>
            </w:r>
            <w:r w:rsidRPr="00A858ED">
              <w:tab/>
              <w:t>Work completion is recorded/reported to appropriate authori</w:t>
            </w:r>
            <w:r w:rsidRPr="00A858ED">
              <w:t>ty.</w:t>
            </w:r>
          </w:p>
        </w:tc>
      </w:tr>
      <w:tr w:rsidTr="00B74B27">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List"/>
              <w:rPr>
                <w:lang w:val="en-NZ"/>
              </w:rPr>
            </w:pPr>
            <w:r w:rsidRPr="00A858ED">
              <w:t>4.</w:t>
            </w:r>
            <w:r w:rsidRPr="00A858ED">
              <w:tab/>
              <w:t>Dismantle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2"/>
            </w:pPr>
            <w:r w:rsidRPr="00A858ED">
              <w:t>4.1.</w:t>
            </w:r>
            <w:r w:rsidRPr="00A858ED">
              <w:tab/>
              <w:t>Work is undertaken safely and to prescribed procedure.</w:t>
            </w:r>
          </w:p>
          <w:p w:rsidR="00000000" w:rsidRPr="00A858ED" w:rsidP="00A858ED">
            <w:pPr>
              <w:pStyle w:val="List2"/>
            </w:pPr>
            <w:r w:rsidRPr="00A858ED">
              <w:t>4.2.</w:t>
            </w:r>
            <w:r w:rsidRPr="00A858ED">
              <w:tab/>
              <w:t xml:space="preserve">Scaffolding/equipment is inspected for damage, </w:t>
            </w:r>
            <w:r w:rsidRPr="00A858ED">
              <w:t>corrosion or wear and is noted for consideration in planning for dismantling.</w:t>
            </w:r>
          </w:p>
          <w:p w:rsidR="00000000" w:rsidRPr="00A858ED" w:rsidP="00A858ED">
            <w:pPr>
              <w:pStyle w:val="List2"/>
            </w:pPr>
            <w:r w:rsidRPr="00A858ED">
              <w:t>4.3.</w:t>
            </w:r>
            <w:r w:rsidRPr="00A858ED">
              <w:tab/>
              <w:t>Scaffolding</w:t>
            </w:r>
            <w:r w:rsidRPr="00A858ED">
              <w:t>/equipment is dismantled in accordance with site procedures, State and Territory legislative requirements and critical structural and safety requirements.</w:t>
            </w:r>
          </w:p>
          <w:p w:rsidR="00000000" w:rsidRPr="00A858ED" w:rsidP="00A858ED">
            <w:pPr>
              <w:pStyle w:val="List2"/>
            </w:pPr>
            <w:r w:rsidRPr="00A858ED">
              <w:t>4.4.</w:t>
            </w:r>
            <w:r w:rsidRPr="00A858ED">
              <w:tab/>
              <w:t>Site is cleaned and cleared of all tools, excess material and debris and left in a safe state.</w:t>
            </w:r>
          </w:p>
        </w:tc>
      </w:tr>
    </w:tbl>
    <w:p w:rsidR="00B74B27" w:rsidP="00A858ED">
      <w:pPr>
        <w:pStyle w:val="BodyText"/>
      </w:pPr>
    </w:p>
    <w:p w:rsidR="00B74B27" w:rsidP="00A858ED">
      <w:pPr>
        <w:pStyle w:val="BodyText"/>
      </w:pPr>
    </w:p>
    <w:p w:rsidR="00000000" w:rsidRPr="00A858ED" w:rsidP="00A858ED">
      <w:pPr>
        <w:pStyle w:val="Heading1"/>
      </w:pPr>
      <w:bookmarkStart w:id="9" w:name="O_260795"/>
      <w:bookmarkEnd w:id="9"/>
      <w:r w:rsidRPr="00A858ED">
        <w:t>Required Skills and Knowledge</w:t>
      </w:r>
    </w:p>
    <w:tbl>
      <w:tblPr>
        <w:tblW w:w="0" w:type="auto"/>
        <w:tblLayout w:type="fixed"/>
        <w:tblCellMar>
          <w:left w:w="62" w:type="dxa"/>
          <w:right w:w="62" w:type="dxa"/>
        </w:tblCellMar>
        <w:tblLook w:val="0000"/>
      </w:tblPr>
      <w:tblGrid>
        <w:gridCol w:w="8522"/>
      </w:tblGrid>
      <w:tr w:rsidTr="00B74B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REQUIRED SKILLS AND KNOWLEDGE</w:t>
            </w:r>
          </w:p>
        </w:tc>
      </w:tr>
      <w:tr w:rsidTr="00B74B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This section describes the skills and knowledge required for this unit.</w:t>
            </w:r>
          </w:p>
        </w:tc>
      </w:tr>
      <w:tr w:rsidTr="00B74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Required skills</w:t>
            </w:r>
          </w:p>
        </w:tc>
      </w:tr>
      <w:tr w:rsidTr="00B74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Look for evidence that confirms skills in:</w:t>
            </w:r>
          </w:p>
          <w:p w:rsidR="00000000" w:rsidRPr="00A858ED" w:rsidP="00A858ED">
            <w:pPr>
              <w:pStyle w:val="ListBullet"/>
            </w:pPr>
            <w:r w:rsidRPr="00A858ED">
              <w:t>levelling and aligning scaffolding</w:t>
            </w:r>
          </w:p>
          <w:p w:rsidR="00000000" w:rsidRPr="00A858ED" w:rsidP="00A858ED">
            <w:pPr>
              <w:pStyle w:val="ListBullet"/>
            </w:pPr>
            <w:r w:rsidRPr="00A858ED">
              <w:t>interpreting instructions and legislative requirements</w:t>
            </w:r>
          </w:p>
          <w:p w:rsidR="00000000" w:rsidRPr="00A858ED" w:rsidP="00A858ED">
            <w:pPr>
              <w:pStyle w:val="ListBullet"/>
            </w:pPr>
            <w:r w:rsidRPr="00A858ED">
              <w:t>using basic hand tools</w:t>
            </w:r>
          </w:p>
          <w:p w:rsidR="00000000" w:rsidRPr="00A858ED" w:rsidP="00A858ED">
            <w:pPr>
              <w:pStyle w:val="ListBullet"/>
            </w:pPr>
            <w:r w:rsidRPr="00A858ED">
              <w:t>assessing risk in relation to complex scaffolding erection</w:t>
            </w:r>
          </w:p>
          <w:p w:rsidR="00000000" w:rsidRPr="00A858ED" w:rsidP="00A858ED">
            <w:pPr>
              <w:pStyle w:val="ListBullet"/>
            </w:pPr>
            <w:r w:rsidRPr="00A858ED">
              <w:t>using manual handling techniques</w:t>
            </w:r>
          </w:p>
          <w:p w:rsidR="00000000" w:rsidRPr="00A858ED" w:rsidP="00A858ED">
            <w:pPr>
              <w:pStyle w:val="ListBullet"/>
            </w:pPr>
            <w:r w:rsidRPr="00A858ED">
              <w:t xml:space="preserve">undertaking site clean up and remediation </w:t>
            </w:r>
          </w:p>
          <w:p w:rsidR="00000000" w:rsidP="00A858ED">
            <w:pPr>
              <w:pStyle w:val="ListBullet"/>
              <w:rPr>
                <w:lang w:val="en-NZ"/>
              </w:rPr>
            </w:pPr>
            <w:r w:rsidRPr="00A858ED">
              <w:t>working safely and confidently at heights</w:t>
            </w:r>
          </w:p>
        </w:tc>
      </w:tr>
      <w:tr w:rsidTr="00B74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Required knowledge</w:t>
            </w:r>
          </w:p>
        </w:tc>
      </w:tr>
      <w:tr w:rsidTr="00B74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Look for evidence that confirms knowledge of:</w:t>
            </w:r>
          </w:p>
          <w:p w:rsidR="00000000" w:rsidRPr="00A858ED" w:rsidP="00A858ED">
            <w:pPr>
              <w:pStyle w:val="ListBullet"/>
            </w:pPr>
            <w:r w:rsidRPr="00A858ED">
              <w:t>erection and dismantling procedures as set in relevant Australian standards</w:t>
            </w:r>
          </w:p>
          <w:p w:rsidR="00000000" w:rsidRPr="00A858ED" w:rsidP="00A858ED">
            <w:pPr>
              <w:pStyle w:val="ListBullet"/>
            </w:pPr>
            <w:r w:rsidRPr="00A858ED">
              <w:t>codes of practice, for example the Scaffolder's Guide, relevant acts a</w:t>
            </w:r>
            <w:r w:rsidRPr="00A858ED">
              <w:t>nd regulations</w:t>
            </w:r>
          </w:p>
          <w:p w:rsidR="00000000" w:rsidRPr="00A858ED" w:rsidP="00A858ED">
            <w:pPr>
              <w:pStyle w:val="ListBullet"/>
            </w:pPr>
            <w:r w:rsidRPr="00A858ED">
              <w:t>site specific requirements</w:t>
            </w:r>
          </w:p>
          <w:p w:rsidR="00000000" w:rsidRPr="00A858ED" w:rsidP="00A858ED">
            <w:pPr>
              <w:pStyle w:val="ListBullet"/>
            </w:pPr>
            <w:r w:rsidRPr="00A858ED">
              <w:t>safety procedures, safe work practices and procedures</w:t>
            </w:r>
          </w:p>
          <w:p w:rsidR="00000000" w:rsidRPr="00A858ED" w:rsidP="00A858ED">
            <w:pPr>
              <w:pStyle w:val="ListBullet"/>
            </w:pPr>
            <w:r w:rsidRPr="00A858ED">
              <w:t>sequence of operations in erecting the scaffolding</w:t>
            </w:r>
          </w:p>
          <w:p w:rsidR="00000000" w:rsidRPr="00A858ED" w:rsidP="00A858ED">
            <w:pPr>
              <w:pStyle w:val="ListBullet"/>
            </w:pPr>
            <w:r w:rsidRPr="00A858ED">
              <w:t>types of scaffolding systems</w:t>
            </w:r>
          </w:p>
          <w:p w:rsidR="00000000" w:rsidRPr="00A858ED" w:rsidP="00A858ED">
            <w:pPr>
              <w:pStyle w:val="ListBullet"/>
            </w:pPr>
            <w:r w:rsidRPr="00A858ED">
              <w:t>hazards and control measures; electrical, stability, mobile plant issues/requirements; falls protection measures; minimum gap requirements; safe access and egress</w:t>
            </w:r>
          </w:p>
          <w:p w:rsidR="00000000" w:rsidRPr="00A858ED" w:rsidP="00A858ED">
            <w:pPr>
              <w:pStyle w:val="ListBullet"/>
            </w:pPr>
            <w:r w:rsidRPr="00A858ED">
              <w:t>deck loadings</w:t>
            </w:r>
          </w:p>
          <w:p w:rsidR="00000000" w:rsidRPr="00A858ED" w:rsidP="00A858ED">
            <w:pPr>
              <w:pStyle w:val="ListBullet"/>
            </w:pPr>
            <w:r w:rsidRPr="00A858ED">
              <w:t xml:space="preserve">use and application of personal protective equipment </w:t>
            </w:r>
          </w:p>
          <w:p w:rsidR="00000000" w:rsidRPr="00A858ED" w:rsidP="00A858ED">
            <w:pPr>
              <w:pStyle w:val="ListBullet"/>
            </w:pPr>
            <w:r w:rsidRPr="00A858ED">
              <w:t>scaffolding techniques an</w:t>
            </w:r>
            <w:r w:rsidRPr="00A858ED">
              <w:t>d equipment</w:t>
            </w:r>
          </w:p>
          <w:p w:rsidR="00000000" w:rsidRPr="00A858ED" w:rsidP="00A858ED">
            <w:pPr>
              <w:pStyle w:val="ListBullet"/>
            </w:pPr>
            <w:r w:rsidRPr="00A858ED">
              <w:t>limitations of equipment</w:t>
            </w:r>
          </w:p>
          <w:p w:rsidR="00000000" w:rsidRPr="00A858ED" w:rsidP="00A858ED">
            <w:pPr>
              <w:pStyle w:val="ListBullet"/>
            </w:pPr>
            <w:r w:rsidRPr="00A858ED">
              <w:t>materials handling, storage and environmentally friendly waste management</w:t>
            </w:r>
          </w:p>
        </w:tc>
      </w:tr>
    </w:tbl>
    <w:p w:rsidR="00B74B27" w:rsidP="00A858ED">
      <w:pPr>
        <w:pStyle w:val="BodyText"/>
      </w:pPr>
    </w:p>
    <w:p w:rsidR="00B74B27" w:rsidP="00A858ED">
      <w:pPr>
        <w:pStyle w:val="BodyText"/>
      </w:pPr>
    </w:p>
    <w:p w:rsidR="00000000" w:rsidRPr="00A858ED" w:rsidP="00A858ED">
      <w:pPr>
        <w:pStyle w:val="AllowPageBreak"/>
      </w:pPr>
    </w:p>
    <w:p w:rsidR="00000000" w:rsidRPr="00A858ED" w:rsidP="00A858ED">
      <w:pPr>
        <w:pStyle w:val="Heading1"/>
      </w:pPr>
      <w:bookmarkStart w:id="10" w:name="O_244829"/>
      <w:bookmarkEnd w:id="10"/>
      <w:r w:rsidRPr="00A858ED">
        <w:t>Evidence Guide</w:t>
      </w:r>
    </w:p>
    <w:tbl>
      <w:tblPr>
        <w:tblW w:w="9570" w:type="dxa"/>
        <w:tblLayout w:type="fixed"/>
        <w:tblCellMar>
          <w:left w:w="62" w:type="dxa"/>
          <w:right w:w="62" w:type="dxa"/>
        </w:tblCellMar>
        <w:tblLook w:val="0000"/>
      </w:tblPr>
      <w:tblGrid>
        <w:gridCol w:w="3908"/>
        <w:gridCol w:w="5662"/>
      </w:tblGrid>
      <w:tr w:rsidTr="00B74B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EVIDENCE GUIDE</w:t>
            </w:r>
          </w:p>
        </w:tc>
      </w:tr>
      <w:tr w:rsidTr="00B74B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The evidence guide provides advice on assessment and must be read in conjunction with the performance criteria, required skills and knowledge, range statement and the Assessment Guidelines for the Training Package.</w:t>
            </w:r>
          </w:p>
        </w:tc>
      </w:tr>
      <w:tr w:rsidTr="00B74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A person who demonstrates competency in this unit must be able to erect, maintain and dismantle complex scaffolding/equipment safely and subject to legislative requirements. Competency in this unit cannot be claimed until all prerequisites have been satisf</w:t>
            </w:r>
            <w:r w:rsidRPr="00A858ED">
              <w:t>ied.</w:t>
            </w:r>
          </w:p>
        </w:tc>
      </w:tr>
      <w:tr w:rsidTr="00B74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Assessors must be satisfied that the candidate can competently and consistently perform all elements of the unit as specified by the criteria, including requ</w:t>
            </w:r>
            <w:r w:rsidRPr="00A858ED">
              <w:t>ired knowledge, and be capable of applying the competency in new and different situations and contexts.</w:t>
            </w:r>
          </w:p>
        </w:tc>
      </w:tr>
      <w:tr w:rsidTr="00B74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This unit may be assessed on the job, off the job or a combination of both on and off the job. Where a</w:t>
            </w:r>
            <w:r w:rsidRPr="00A858ED">
              <w:t>ssessment occurs off the job, that is the candidate is not in productive work, then an appropriate simulation must be used where the range of conditions reflects realistic workplace situations. The competencies covered by this unit would be demonstrated by</w:t>
            </w:r>
            <w:r w:rsidRPr="00A858ED">
              <w:t xml:space="preserve"> an individual working alone or as part of a team. The assessment environment should not disadvantage the candidate. </w:t>
            </w:r>
          </w:p>
          <w:p w:rsidR="00000000" w:rsidP="00A858ED">
            <w:pPr>
              <w:pStyle w:val="BodyText"/>
              <w:rPr>
                <w:lang w:val="en-NZ"/>
              </w:rPr>
            </w:pPr>
            <w:r w:rsidRPr="00A858ED">
              <w:t>This unit could be assessed in conjunction with any other units addressing the safety, quality, communication, materials handling, recordi</w:t>
            </w:r>
            <w:r w:rsidRPr="00A858ED">
              <w:t>ng and reporting associated with erection, maintenance and dismantling of complex scaffolding or other units requiring the exercise of the skills and knowledge covered by this unit.</w:t>
            </w:r>
          </w:p>
        </w:tc>
      </w:tr>
      <w:tr w:rsidTr="00B74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 xml:space="preserve">Assessors should gather a range of evidence that is </w:t>
            </w:r>
            <w:r w:rsidRPr="00A858ED">
              <w:t>valid, sufficient, current and authentic. Evidence can be gathered through a variety of ways including direct observation, supervisor's reports, project work, samples and questioning. Questioning techniques should not require language, literacy and numerac</w:t>
            </w:r>
            <w:r w:rsidRPr="00A858ED">
              <w:t>y skills beyond those required in this unit of competency. The candidate must have access to all tools, equipment, materials and documentation required. The candidate must be permitted to refer to any relevant workplace procedures, product and manufacturin</w:t>
            </w:r>
            <w:r w:rsidRPr="00A858ED">
              <w:t>g specifications, codes, standards, manuals and reference materials.</w:t>
            </w:r>
          </w:p>
        </w:tc>
      </w:tr>
      <w:tr w:rsidTr="00B74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p>
        </w:tc>
      </w:tr>
    </w:tbl>
    <w:p w:rsidR="00B74B27" w:rsidP="00A858ED">
      <w:pPr>
        <w:pStyle w:val="BodyText"/>
      </w:pPr>
    </w:p>
    <w:p w:rsidR="00B74B27" w:rsidP="00A858ED">
      <w:pPr>
        <w:pStyle w:val="BodyText"/>
      </w:pPr>
    </w:p>
    <w:p w:rsidR="00000000" w:rsidRPr="00A858ED" w:rsidP="00A858ED">
      <w:pPr>
        <w:pStyle w:val="Heading1"/>
      </w:pPr>
      <w:bookmarkStart w:id="11" w:name="O_252812"/>
      <w:bookmarkEnd w:id="11"/>
      <w:r w:rsidRPr="00A858ED">
        <w:t>Range Statement</w:t>
      </w:r>
    </w:p>
    <w:tbl>
      <w:tblPr>
        <w:tblW w:w="0" w:type="auto"/>
        <w:tblLayout w:type="fixed"/>
        <w:tblCellMar>
          <w:left w:w="62" w:type="dxa"/>
          <w:right w:w="62" w:type="dxa"/>
        </w:tblCellMar>
        <w:tblLook w:val="0000"/>
      </w:tblPr>
      <w:tblGrid>
        <w:gridCol w:w="3613"/>
        <w:gridCol w:w="4909"/>
      </w:tblGrid>
      <w:tr w:rsidTr="00B74B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RANGE STATEMENT</w:t>
            </w:r>
          </w:p>
        </w:tc>
      </w:tr>
      <w:tr w:rsidTr="00B74B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The range statement relates to the unit of competency as a whole. It allows for different work environments and situations that may affect performance. Bold italicised wording, if used in the performance criteria, is detailed below. Essential operating con</w:t>
            </w:r>
            <w:r w:rsidRPr="00A858ED">
              <w:t>ditions that may be present with training and assessment (depending on the work situation, needs of the candidate, accessibility of the item, and local industry and regional contexts) may also be included.</w:t>
            </w:r>
          </w:p>
        </w:tc>
      </w:tr>
      <w:tr w:rsidTr="00B74B27">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Scaffolding</w:t>
            </w:r>
            <w:r w:rsidRPr="00A858ED">
              <w:t>/</w:t>
            </w:r>
            <w:r w:rsidRPr="00A858ED">
              <w:rPr>
                <w:rStyle w:val="SpecialBold"/>
              </w:rPr>
              <w:t>equipment</w:t>
            </w:r>
            <w:r w:rsidRPr="00A858ED">
              <w:t xml:space="preserve"> </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Bullet"/>
            </w:pPr>
            <w:r w:rsidRPr="00A858ED">
              <w:t>Prefabricated tower scaf</w:t>
            </w:r>
            <w:r w:rsidRPr="00A858ED">
              <w:t>folds, tube and fitting scaffolds as limited by legislative requirements, tube and coupler scaffolds including tube and coupler covered ways and gantries, fall protection devices, catch platforms, bracket scaffolds (tank and formwork), mobile scaffolds, ro</w:t>
            </w:r>
            <w:r w:rsidRPr="00A858ED">
              <w:t>pes, cantilevered hoists, cantilevered and spurred scaffolds, cantilever crane loading platforms and course-ways, fall protection devices, platforms</w:t>
            </w:r>
          </w:p>
          <w:p w:rsidR="00000000" w:rsidRPr="00A858ED" w:rsidP="00A858ED">
            <w:pPr>
              <w:pStyle w:val="ListBullet"/>
            </w:pPr>
            <w:r w:rsidRPr="00A858ED">
              <w:t>Complex scaffolding means Intermediate Scaffolding and above as set out in the legislative requirements in each State and Territory. The major difference between complex and basic scaffolding is the height of the working platform and certain types of scaff</w:t>
            </w:r>
            <w:r w:rsidRPr="00A858ED">
              <w:t>olding and configurations</w:t>
            </w:r>
          </w:p>
          <w:p w:rsidR="00000000" w:rsidP="00A858ED">
            <w:pPr>
              <w:pStyle w:val="ListBullet"/>
              <w:rPr>
                <w:lang w:val="en-NZ"/>
              </w:rPr>
            </w:pPr>
            <w:r w:rsidRPr="00A858ED">
              <w:t>Maintaining scaffolding means ensuring that the scaffolding remains in a safe condition according to manufacturers' specifications and legislative requirements</w:t>
            </w:r>
          </w:p>
        </w:tc>
      </w:tr>
      <w:tr w:rsidTr="00B74B27">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Hazards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Bullet"/>
            </w:pPr>
            <w:r w:rsidRPr="00A858ED">
              <w:t>Chemicals, dangerous or hazardous substances/materials</w:t>
            </w:r>
          </w:p>
          <w:p w:rsidR="00000000" w:rsidRPr="00A858ED" w:rsidP="00A858ED">
            <w:pPr>
              <w:pStyle w:val="ListBullet"/>
            </w:pPr>
            <w:r w:rsidRPr="00A858ED">
              <w:t>Movem</w:t>
            </w:r>
            <w:r w:rsidRPr="00A858ED">
              <w:t>ent of equipment, goods, materials, vehicular traffic</w:t>
            </w:r>
          </w:p>
          <w:p w:rsidR="00000000" w:rsidP="00A858ED">
            <w:pPr>
              <w:pStyle w:val="ListBullet"/>
              <w:rPr>
                <w:lang w:val="en-NZ"/>
              </w:rPr>
            </w:pPr>
            <w:r w:rsidRPr="00A858ED">
              <w:t>Uneven/unstable terrain, overhead service lines, trees, underground services, obstructions, structures, surrounding buildings, facilities, bridges/walkways, lifting equipment</w:t>
            </w:r>
          </w:p>
        </w:tc>
      </w:tr>
      <w:tr w:rsidTr="00B74B27">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Prescribed procedures may include</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Bullet"/>
            </w:pPr>
            <w:r w:rsidRPr="00A858ED">
              <w:t>Clarification of instructions either written or from authorised personnel</w:t>
            </w:r>
          </w:p>
          <w:p w:rsidR="00000000" w:rsidRPr="00A858ED" w:rsidP="00A858ED">
            <w:pPr>
              <w:pStyle w:val="ListBullet"/>
            </w:pPr>
            <w:r w:rsidRPr="00A858ED">
              <w:t>Site safety policy and procedures</w:t>
            </w:r>
          </w:p>
          <w:p w:rsidR="00000000" w:rsidRPr="00A858ED" w:rsidP="00A858ED">
            <w:pPr>
              <w:pStyle w:val="ListBullet"/>
            </w:pPr>
            <w:r w:rsidRPr="00A858ED">
              <w:t>Standard operating procedures</w:t>
            </w:r>
          </w:p>
          <w:p w:rsidR="00000000" w:rsidRPr="00A858ED" w:rsidP="00A858ED">
            <w:pPr>
              <w:pStyle w:val="ListBullet"/>
            </w:pPr>
            <w:r w:rsidRPr="00A858ED">
              <w:t>Correct use of equipment</w:t>
            </w:r>
          </w:p>
          <w:p w:rsidR="00000000" w:rsidRPr="00A858ED" w:rsidP="00A858ED">
            <w:pPr>
              <w:pStyle w:val="ListBullet"/>
            </w:pPr>
            <w:r w:rsidRPr="00A858ED">
              <w:t>Industry standards and requirements</w:t>
            </w:r>
          </w:p>
          <w:p w:rsidR="00000000" w:rsidP="00A858ED">
            <w:pPr>
              <w:pStyle w:val="ListBullet"/>
              <w:rPr>
                <w:lang w:val="en-NZ"/>
              </w:rPr>
            </w:pPr>
            <w:r w:rsidRPr="00A858ED">
              <w:t>Manufacturers' specifi</w:t>
            </w:r>
            <w:r w:rsidRPr="00A858ED">
              <w:t>cations</w:t>
            </w:r>
          </w:p>
        </w:tc>
      </w:tr>
      <w:tr w:rsidTr="00B74B27">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Signage</w:t>
            </w:r>
            <w:r w:rsidRPr="00A858ED">
              <w:t xml:space="preserve">, </w:t>
            </w:r>
            <w:r w:rsidRPr="00A858ED">
              <w:rPr>
                <w:rStyle w:val="SpecialBold"/>
              </w:rPr>
              <w:t>barriers and third party protection measures may include</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Bullet"/>
            </w:pPr>
            <w:r w:rsidRPr="00A858ED">
              <w:t>Physical barriers (parawebbing, bollards, timber or metal)</w:t>
            </w:r>
          </w:p>
          <w:p w:rsidR="00000000" w:rsidRPr="00A858ED" w:rsidP="00A858ED">
            <w:pPr>
              <w:pStyle w:val="ListBullet"/>
            </w:pPr>
            <w:r w:rsidRPr="00A858ED">
              <w:t>Warning/direction signs</w:t>
            </w:r>
          </w:p>
          <w:p w:rsidR="00000000" w:rsidRPr="00A858ED" w:rsidP="00A858ED">
            <w:pPr>
              <w:pStyle w:val="ListBullet"/>
            </w:pPr>
            <w:r w:rsidRPr="00A858ED">
              <w:t>Personnel to restrict unauthorised access (spotters)</w:t>
            </w:r>
          </w:p>
          <w:p w:rsidR="00000000" w:rsidP="00A858ED">
            <w:pPr>
              <w:pStyle w:val="ListBullet"/>
              <w:rPr>
                <w:lang w:val="en-NZ"/>
              </w:rPr>
            </w:pPr>
            <w:r w:rsidRPr="00A858ED">
              <w:t>Permits to work</w:t>
            </w:r>
          </w:p>
        </w:tc>
      </w:tr>
      <w:tr w:rsidTr="00B74B27">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Safe work practices may include</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t>Hazard identification, risk assessment, standard operating procedures, house keeping and personal protective equipment.</w:t>
            </w:r>
          </w:p>
        </w:tc>
      </w:tr>
      <w:tr w:rsidTr="00B74B27">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State or Territory legislative requirements</w:t>
            </w:r>
            <w:r w:rsidRPr="00A858ED">
              <w:t xml:space="preserve"> </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ListBullet"/>
            </w:pPr>
            <w:r w:rsidRPr="00A858ED">
              <w:t>Appropriate OH&amp;S and Scaffolding acts and regulations.</w:t>
            </w:r>
          </w:p>
          <w:p w:rsidR="00000000" w:rsidRPr="00A858ED" w:rsidP="00A858ED">
            <w:pPr>
              <w:pStyle w:val="ListBullet"/>
            </w:pPr>
            <w:r w:rsidRPr="00A858ED">
              <w:t>Au</w:t>
            </w:r>
            <w:r w:rsidRPr="00A858ED">
              <w:t xml:space="preserve">stralian standards and codes of practice and </w:t>
            </w:r>
          </w:p>
          <w:p w:rsidR="00000000" w:rsidRPr="00A858ED" w:rsidP="00A858ED">
            <w:pPr>
              <w:pStyle w:val="ListBullet"/>
            </w:pPr>
            <w:r w:rsidRPr="00A858ED">
              <w:t>NOHSC:1006</w:t>
            </w:r>
          </w:p>
        </w:tc>
      </w:tr>
    </w:tbl>
    <w:p w:rsidR="00B74B27" w:rsidP="00A858ED">
      <w:pPr>
        <w:pStyle w:val="BodyText"/>
      </w:pPr>
    </w:p>
    <w:p w:rsidR="00B74B27" w:rsidP="00A858ED">
      <w:pPr>
        <w:pStyle w:val="BodyText"/>
      </w:pPr>
    </w:p>
    <w:p w:rsidR="00000000" w:rsidRPr="00A858ED" w:rsidP="00A858ED">
      <w:pPr>
        <w:pStyle w:val="Heading1"/>
      </w:pPr>
      <w:bookmarkStart w:id="12" w:name="O_211368"/>
      <w:bookmarkEnd w:id="12"/>
      <w:r w:rsidRPr="00A858ED">
        <w:t>Unit Sector(s)</w:t>
      </w:r>
    </w:p>
    <w:tbl>
      <w:tblPr>
        <w:tblW w:w="0" w:type="auto"/>
        <w:tblLayout w:type="fixed"/>
        <w:tblCellMar>
          <w:left w:w="62" w:type="dxa"/>
          <w:right w:w="62" w:type="dxa"/>
        </w:tblCellMar>
        <w:tblLook w:val="0000"/>
      </w:tblPr>
      <w:tblGrid>
        <w:gridCol w:w="2646"/>
        <w:gridCol w:w="5876"/>
      </w:tblGrid>
      <w:tr w:rsidTr="00B74B27">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Unit sector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p>
        </w:tc>
      </w:tr>
    </w:tbl>
    <w:p w:rsidR="00B74B27" w:rsidP="00A858ED">
      <w:pPr>
        <w:pStyle w:val="BodyText"/>
      </w:pPr>
    </w:p>
    <w:p w:rsidR="00B74B27" w:rsidP="00A858ED">
      <w:pPr>
        <w:pStyle w:val="BodyText"/>
      </w:pPr>
    </w:p>
    <w:p w:rsidR="00000000" w:rsidRPr="00A858ED" w:rsidP="00A858ED">
      <w:pPr>
        <w:pStyle w:val="Heading1"/>
      </w:pPr>
      <w:bookmarkStart w:id="13" w:name="O_211365"/>
      <w:bookmarkEnd w:id="13"/>
      <w:r w:rsidRPr="00A858ED">
        <w:t>Co-requisite units</w:t>
      </w:r>
    </w:p>
    <w:tbl>
      <w:tblPr>
        <w:tblW w:w="0" w:type="auto"/>
        <w:tblLayout w:type="fixed"/>
        <w:tblCellMar>
          <w:left w:w="62" w:type="dxa"/>
          <w:right w:w="62" w:type="dxa"/>
        </w:tblCellMar>
        <w:tblLook w:val="0000"/>
      </w:tblPr>
      <w:tblGrid>
        <w:gridCol w:w="2633"/>
        <w:gridCol w:w="1365"/>
        <w:gridCol w:w="4524"/>
      </w:tblGrid>
      <w:tr w:rsidTr="00B74B27">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p>
        </w:tc>
      </w:tr>
      <w:tr w:rsidTr="00B74B27">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p>
        </w:tc>
      </w:tr>
      <w:tr w:rsidTr="00B74B27">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p>
        </w:tc>
      </w:tr>
    </w:tbl>
    <w:p w:rsidR="00B74B27" w:rsidP="00A858ED">
      <w:pPr>
        <w:pStyle w:val="BodyText"/>
      </w:pPr>
    </w:p>
    <w:p w:rsidR="00B74B27" w:rsidP="00A858ED">
      <w:pPr>
        <w:pStyle w:val="BodyText"/>
      </w:pPr>
    </w:p>
    <w:p w:rsidR="00000000" w:rsidRPr="00A858ED" w:rsidP="00A858ED">
      <w:pPr>
        <w:pStyle w:val="Heading1"/>
      </w:pPr>
      <w:bookmarkStart w:id="14" w:name="O_211367"/>
      <w:bookmarkEnd w:id="14"/>
      <w:r w:rsidRPr="00A858ED">
        <w:t>Competency field</w:t>
      </w:r>
    </w:p>
    <w:tbl>
      <w:tblPr>
        <w:tblW w:w="0" w:type="auto"/>
        <w:tblLayout w:type="fixed"/>
        <w:tblCellMar>
          <w:left w:w="62" w:type="dxa"/>
          <w:right w:w="62" w:type="dxa"/>
        </w:tblCellMar>
        <w:tblLook w:val="0000"/>
      </w:tblPr>
      <w:tblGrid>
        <w:gridCol w:w="2769"/>
        <w:gridCol w:w="5753"/>
      </w:tblGrid>
      <w:tr w:rsidTr="00B74B27">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8ED">
            <w:pPr>
              <w:pStyle w:val="BodyText"/>
              <w:rPr>
                <w:lang w:val="en-NZ"/>
              </w:rPr>
            </w:pPr>
            <w:r w:rsidRPr="00A858ED">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8ED" w:rsidP="00A858ED">
            <w:pPr>
              <w:pStyle w:val="BodyText"/>
            </w:pPr>
            <w:r w:rsidRPr="00A858ED">
              <w:t>Materials handling</w:t>
            </w:r>
          </w:p>
        </w:tc>
      </w:tr>
    </w:tbl>
    <w:p w:rsidR="00B74B27" w:rsidP="00A858ED">
      <w:pPr>
        <w:pStyle w:val="BodyText"/>
      </w:pPr>
    </w:p>
    <w:p w:rsidR="00B74B27" w:rsidP="00A858ED">
      <w:pPr>
        <w:pStyle w:val="BodyText"/>
      </w:pPr>
    </w:p>
    <w:p w:rsidR="00000000" w:rsidRPr="00A858ED" w:rsidP="00A858ED"/>
    <w:sectPr w:rsidSect="00A85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27" w:rsidP="00B74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27" w:rsidP="00A85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4B27" w:rsidP="00A858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4B27" w:rsidP="00A858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27" w:rsidP="00B74B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27" w:rsidP="00A858ED">
    <w:pPr>
      <w:pStyle w:val="Header"/>
      <w:framePr w:wrap="around"/>
    </w:pPr>
    <w:r>
      <w:fldChar w:fldCharType="begin"/>
    </w:r>
    <w:r>
      <w:instrText xml:space="preserve"> TITLE   \* MERGEFORMAT </w:instrText>
    </w:r>
    <w:r>
      <w:fldChar w:fldCharType="separate"/>
    </w:r>
    <w:r>
      <w:t>MEM11002C Erect/dismantle complex scaffolding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B27" w:rsidP="00A858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A40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E74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8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8ED"/>
    <w:pPr>
      <w:spacing w:before="360" w:after="60"/>
      <w:outlineLvl w:val="0"/>
    </w:pPr>
    <w:rPr>
      <w:sz w:val="32"/>
    </w:rPr>
  </w:style>
  <w:style w:type="paragraph" w:styleId="Heading2">
    <w:name w:val="heading 2"/>
    <w:basedOn w:val="HeadingBase"/>
    <w:next w:val="BodyText"/>
    <w:link w:val="Heading2Char"/>
    <w:qFormat/>
    <w:rsid w:val="00A858ED"/>
    <w:pPr>
      <w:keepLines/>
      <w:spacing w:before="240" w:after="120"/>
      <w:outlineLvl w:val="1"/>
    </w:pPr>
    <w:rPr>
      <w:sz w:val="28"/>
      <w:szCs w:val="40"/>
    </w:rPr>
  </w:style>
  <w:style w:type="paragraph" w:styleId="Heading3">
    <w:name w:val="heading 3"/>
    <w:basedOn w:val="HeadingBase"/>
    <w:next w:val="BodyText"/>
    <w:link w:val="Heading3Char"/>
    <w:qFormat/>
    <w:rsid w:val="00A858ED"/>
    <w:pPr>
      <w:spacing w:before="180" w:after="120"/>
      <w:outlineLvl w:val="2"/>
    </w:pPr>
    <w:rPr>
      <w:spacing w:val="-10"/>
      <w:kern w:val="32"/>
    </w:rPr>
  </w:style>
  <w:style w:type="paragraph" w:styleId="Heading4">
    <w:name w:val="heading 4"/>
    <w:basedOn w:val="HeadingBase"/>
    <w:next w:val="BodyText"/>
    <w:link w:val="Heading4Char"/>
    <w:qFormat/>
    <w:rsid w:val="00A858ED"/>
    <w:pPr>
      <w:spacing w:before="160" w:after="120"/>
      <w:outlineLvl w:val="3"/>
    </w:pPr>
    <w:rPr>
      <w:sz w:val="22"/>
    </w:rPr>
  </w:style>
  <w:style w:type="paragraph" w:styleId="Heading5">
    <w:name w:val="heading 5"/>
    <w:basedOn w:val="HeadingBase"/>
    <w:next w:val="Normal"/>
    <w:link w:val="Heading5Char"/>
    <w:qFormat/>
    <w:rsid w:val="00A858ED"/>
    <w:pPr>
      <w:spacing w:before="80"/>
      <w:outlineLvl w:val="4"/>
    </w:pPr>
    <w:rPr>
      <w:color w:val="918585"/>
      <w:sz w:val="20"/>
    </w:rPr>
  </w:style>
  <w:style w:type="paragraph" w:styleId="Heading6">
    <w:name w:val="heading 6"/>
    <w:basedOn w:val="HeadingBase"/>
    <w:next w:val="Normal"/>
    <w:link w:val="Heading6Char"/>
    <w:qFormat/>
    <w:rsid w:val="00A858ED"/>
    <w:pPr>
      <w:spacing w:before="60"/>
      <w:outlineLvl w:val="5"/>
    </w:pPr>
    <w:rPr>
      <w:color w:val="918585"/>
      <w:sz w:val="20"/>
    </w:rPr>
  </w:style>
  <w:style w:type="paragraph" w:styleId="Heading7">
    <w:name w:val="heading 7"/>
    <w:basedOn w:val="Normal"/>
    <w:next w:val="Normal"/>
    <w:link w:val="Heading7Char"/>
    <w:qFormat/>
    <w:rsid w:val="00A858ED"/>
    <w:pPr>
      <w:ind w:left="720"/>
      <w:outlineLvl w:val="6"/>
    </w:pPr>
    <w:rPr>
      <w:i/>
    </w:rPr>
  </w:style>
  <w:style w:type="paragraph" w:styleId="Heading8">
    <w:name w:val="heading 8"/>
    <w:basedOn w:val="Normal"/>
    <w:next w:val="Normal"/>
    <w:link w:val="Heading8Char"/>
    <w:qFormat/>
    <w:rsid w:val="00A858ED"/>
    <w:pPr>
      <w:ind w:left="720"/>
      <w:outlineLvl w:val="7"/>
    </w:pPr>
    <w:rPr>
      <w:i/>
    </w:rPr>
  </w:style>
  <w:style w:type="paragraph" w:styleId="Heading9">
    <w:name w:val="heading 9"/>
    <w:basedOn w:val="Normal"/>
    <w:next w:val="Normal"/>
    <w:link w:val="Heading9Char"/>
    <w:qFormat/>
    <w:rsid w:val="00A858ED"/>
    <w:pPr>
      <w:ind w:left="720"/>
      <w:outlineLvl w:val="8"/>
    </w:pPr>
    <w:rPr>
      <w:i/>
    </w:rPr>
  </w:style>
  <w:style w:type="character" w:default="1" w:styleId="DefaultParagraphFont">
    <w:name w:val="Default Paragraph Font"/>
    <w:uiPriority w:val="1"/>
    <w:unhideWhenUsed/>
    <w:rsid w:val="00A85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8ED"/>
  </w:style>
  <w:style w:type="character" w:customStyle="1" w:styleId="Heading1Char">
    <w:name w:val="Heading 1 Char"/>
    <w:basedOn w:val="DefaultParagraphFont"/>
    <w:link w:val="Heading1"/>
    <w:rsid w:val="00A858ED"/>
    <w:rPr>
      <w:rFonts w:ascii="Times New Roman" w:eastAsia="Times New Roman" w:hAnsi="Times New Roman" w:cs="Times New Roman"/>
      <w:b/>
      <w:sz w:val="32"/>
      <w:szCs w:val="20"/>
      <w:lang w:eastAsia="en-US"/>
    </w:rPr>
  </w:style>
  <w:style w:type="paragraph" w:styleId="BodyText">
    <w:name w:val="Body Text"/>
    <w:basedOn w:val="Normal"/>
    <w:link w:val="BodyTextChar"/>
    <w:rsid w:val="00A858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8ED"/>
    <w:rPr>
      <w:rFonts w:ascii="Times New Roman" w:eastAsia="Times New Roman" w:hAnsi="Times New Roman" w:cs="Times New Roman"/>
      <w:sz w:val="24"/>
      <w:lang w:val="en-US" w:eastAsia="en-US"/>
    </w:rPr>
  </w:style>
  <w:style w:type="paragraph" w:styleId="Footer">
    <w:name w:val="footer"/>
    <w:basedOn w:val="Normal"/>
    <w:link w:val="FooterChar"/>
    <w:rsid w:val="00A85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8ED"/>
    <w:rPr>
      <w:rFonts w:ascii="Times New Roman" w:eastAsia="Times New Roman" w:hAnsi="Times New Roman" w:cs="Times New Roman"/>
      <w:sz w:val="16"/>
      <w:lang w:val="en-US" w:eastAsia="en-US"/>
    </w:rPr>
  </w:style>
  <w:style w:type="paragraph" w:styleId="List">
    <w:name w:val="List"/>
    <w:basedOn w:val="BodyText"/>
    <w:next w:val="BodyText"/>
    <w:rsid w:val="00A858ED"/>
    <w:pPr>
      <w:tabs>
        <w:tab w:val="left" w:pos="340"/>
      </w:tabs>
      <w:spacing w:before="60" w:after="60"/>
      <w:ind w:left="340" w:hanging="340"/>
    </w:pPr>
  </w:style>
  <w:style w:type="paragraph" w:styleId="ListBullet">
    <w:name w:val="List Bullet"/>
    <w:basedOn w:val="List"/>
    <w:rsid w:val="00A858ED"/>
    <w:pPr>
      <w:numPr>
        <w:numId w:val="12"/>
      </w:numPr>
      <w:tabs>
        <w:tab w:val="clear" w:pos="340"/>
      </w:tabs>
      <w:spacing w:before="40" w:after="40"/>
    </w:pPr>
  </w:style>
  <w:style w:type="character" w:customStyle="1" w:styleId="SpecialBold">
    <w:name w:val="Special Bold"/>
    <w:basedOn w:val="DefaultParagraphFont"/>
    <w:rsid w:val="00A858ED"/>
    <w:rPr>
      <w:b/>
      <w:spacing w:val="0"/>
    </w:rPr>
  </w:style>
  <w:style w:type="paragraph" w:styleId="Header">
    <w:name w:val="header"/>
    <w:basedOn w:val="Normal"/>
    <w:link w:val="HeaderChar"/>
    <w:rsid w:val="00A85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8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8ED"/>
    <w:pPr>
      <w:spacing w:before="240" w:after="120"/>
      <w:outlineLvl w:val="0"/>
    </w:pPr>
    <w:rPr>
      <w:rFonts w:ascii="Times New Roman" w:hAnsi="Times New Roman"/>
      <w:b/>
      <w:sz w:val="28"/>
    </w:rPr>
  </w:style>
  <w:style w:type="paragraph" w:customStyle="1" w:styleId="AllowPageBreak">
    <w:name w:val="AllowPageBreak"/>
    <w:rsid w:val="00A858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8ED"/>
    <w:pPr>
      <w:tabs>
        <w:tab w:val="left" w:pos="680"/>
      </w:tabs>
      <w:spacing w:before="60" w:after="60"/>
      <w:ind w:left="680" w:hanging="340"/>
    </w:pPr>
  </w:style>
  <w:style w:type="character" w:customStyle="1" w:styleId="Heading2Char">
    <w:name w:val="Heading 2 Char"/>
    <w:basedOn w:val="DefaultParagraphFont"/>
    <w:link w:val="Heading2"/>
    <w:rsid w:val="00A85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8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8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8ED"/>
    <w:rPr>
      <w:rFonts w:ascii="Courier New" w:eastAsia="Times New Roman" w:hAnsi="Courier New" w:cs="Times New Roman"/>
      <w:i/>
      <w:szCs w:val="20"/>
      <w:lang w:val="en-US" w:eastAsia="en-US"/>
    </w:rPr>
  </w:style>
  <w:style w:type="paragraph" w:customStyle="1" w:styleId="HeadingBase">
    <w:name w:val="Heading Base"/>
    <w:rsid w:val="00A85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8ED"/>
    <w:pPr>
      <w:tabs>
        <w:tab w:val="right" w:leader="dot" w:pos="9072"/>
      </w:tabs>
      <w:ind w:left="567"/>
    </w:pPr>
    <w:rPr>
      <w:szCs w:val="22"/>
    </w:rPr>
  </w:style>
  <w:style w:type="paragraph" w:customStyle="1" w:styleId="TOCBase">
    <w:name w:val="TOC Base"/>
    <w:rsid w:val="00A85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8ED"/>
    <w:pPr>
      <w:tabs>
        <w:tab w:val="right" w:leader="dot" w:pos="9072"/>
      </w:tabs>
      <w:spacing w:before="40" w:after="40"/>
      <w:ind w:left="284"/>
    </w:pPr>
    <w:rPr>
      <w:rFonts w:ascii="Times New Roman" w:hAnsi="Times New Roman"/>
    </w:rPr>
  </w:style>
  <w:style w:type="paragraph" w:styleId="TOC1">
    <w:name w:val="toc 1"/>
    <w:basedOn w:val="TOCBase"/>
    <w:next w:val="Normal"/>
    <w:rsid w:val="00A858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8ED"/>
    <w:pPr>
      <w:spacing w:before="5040"/>
      <w:jc w:val="center"/>
    </w:pPr>
    <w:rPr>
      <w:sz w:val="48"/>
      <w:szCs w:val="72"/>
      <w:lang w:val="en-US"/>
    </w:rPr>
  </w:style>
  <w:style w:type="character" w:customStyle="1" w:styleId="TitleChar">
    <w:name w:val="Title Char"/>
    <w:basedOn w:val="DefaultParagraphFont"/>
    <w:link w:val="Title"/>
    <w:rsid w:val="00A85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8ED"/>
    <w:pPr>
      <w:tabs>
        <w:tab w:val="left" w:pos="3600"/>
        <w:tab w:val="left" w:pos="3958"/>
      </w:tabs>
    </w:pPr>
  </w:style>
  <w:style w:type="paragraph" w:customStyle="1" w:styleId="Note">
    <w:name w:val="Note"/>
    <w:basedOn w:val="BodyText"/>
    <w:rsid w:val="00A85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8ED"/>
    <w:pPr>
      <w:framePr w:wrap="auto" w:hAnchor="text" w:y="6049"/>
    </w:pPr>
    <w:rPr>
      <w:color w:val="000000"/>
      <w:sz w:val="40"/>
    </w:rPr>
  </w:style>
  <w:style w:type="paragraph" w:customStyle="1" w:styleId="TOCTitle">
    <w:name w:val="TOCTitle"/>
    <w:basedOn w:val="Heading1"/>
    <w:rsid w:val="00A858ED"/>
    <w:pPr>
      <w:spacing w:after="240"/>
      <w:jc w:val="center"/>
      <w:outlineLvl w:val="9"/>
    </w:pPr>
    <w:rPr>
      <w:caps/>
    </w:rPr>
  </w:style>
  <w:style w:type="paragraph" w:customStyle="1" w:styleId="Version">
    <w:name w:val="Version"/>
    <w:rsid w:val="00A858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8ED"/>
    <w:pPr>
      <w:numPr>
        <w:numId w:val="13"/>
      </w:numPr>
      <w:tabs>
        <w:tab w:val="clear" w:pos="680"/>
      </w:tabs>
    </w:pPr>
  </w:style>
  <w:style w:type="paragraph" w:styleId="Index1">
    <w:name w:val="index 1"/>
    <w:basedOn w:val="Normal"/>
    <w:next w:val="Normal"/>
    <w:semiHidden/>
    <w:rsid w:val="00A858ED"/>
    <w:pPr>
      <w:keepNext w:val="0"/>
      <w:tabs>
        <w:tab w:val="right" w:pos="4176"/>
      </w:tabs>
      <w:ind w:left="198" w:hanging="198"/>
    </w:pPr>
    <w:rPr>
      <w:rFonts w:ascii="Garamond" w:hAnsi="Garamond"/>
    </w:rPr>
  </w:style>
  <w:style w:type="paragraph" w:styleId="IndexHeading">
    <w:name w:val="index heading"/>
    <w:basedOn w:val="Normal"/>
    <w:next w:val="Index1"/>
    <w:semiHidden/>
    <w:rsid w:val="00A858ED"/>
    <w:pPr>
      <w:spacing w:before="120" w:after="120"/>
    </w:pPr>
    <w:rPr>
      <w:rFonts w:ascii="Arial" w:hAnsi="Arial"/>
      <w:b/>
      <w:color w:val="918585"/>
      <w:sz w:val="24"/>
    </w:rPr>
  </w:style>
  <w:style w:type="paragraph" w:customStyle="1" w:styleId="Chapter">
    <w:name w:val="Chapter"/>
    <w:basedOn w:val="Normal"/>
    <w:rsid w:val="00A858ED"/>
    <w:pPr>
      <w:spacing w:before="240"/>
    </w:pPr>
    <w:rPr>
      <w:rFonts w:ascii="Times New Roman" w:hAnsi="Times New Roman"/>
      <w:smallCaps/>
      <w:spacing w:val="80"/>
      <w:sz w:val="28"/>
    </w:rPr>
  </w:style>
  <w:style w:type="paragraph" w:customStyle="1" w:styleId="InChapter">
    <w:name w:val="InChapter"/>
    <w:basedOn w:val="Heading3"/>
    <w:rsid w:val="00A858ED"/>
    <w:pPr>
      <w:spacing w:after="240"/>
      <w:outlineLvl w:val="9"/>
    </w:pPr>
    <w:rPr>
      <w:noProof/>
    </w:rPr>
  </w:style>
  <w:style w:type="paragraph" w:styleId="Index2">
    <w:name w:val="index 2"/>
    <w:basedOn w:val="Normal"/>
    <w:next w:val="Normal"/>
    <w:semiHidden/>
    <w:rsid w:val="00A858ED"/>
    <w:pPr>
      <w:tabs>
        <w:tab w:val="right" w:pos="4176"/>
      </w:tabs>
      <w:ind w:left="568" w:hanging="284"/>
    </w:pPr>
    <w:rPr>
      <w:rFonts w:ascii="Garamond" w:hAnsi="Garamond"/>
    </w:rPr>
  </w:style>
  <w:style w:type="paragraph" w:customStyle="1" w:styleId="Byline">
    <w:name w:val="Byline"/>
    <w:rsid w:val="00A85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8ED"/>
    <w:pPr>
      <w:tabs>
        <w:tab w:val="clear" w:pos="3600"/>
        <w:tab w:val="clear" w:pos="3958"/>
      </w:tabs>
      <w:jc w:val="right"/>
    </w:pPr>
  </w:style>
  <w:style w:type="character" w:styleId="Emphasis">
    <w:name w:val="Emphasis"/>
    <w:basedOn w:val="DefaultParagraphFont"/>
    <w:qFormat/>
    <w:rsid w:val="00A858ED"/>
    <w:rPr>
      <w:i/>
    </w:rPr>
  </w:style>
  <w:style w:type="paragraph" w:styleId="Caption">
    <w:name w:val="caption"/>
    <w:basedOn w:val="BodyText"/>
    <w:next w:val="Normal"/>
    <w:qFormat/>
    <w:rsid w:val="00A858ED"/>
    <w:pPr>
      <w:framePr w:w="2268" w:hSpace="181" w:vSpace="181" w:wrap="around" w:vAnchor="text" w:hAnchor="page" w:x="1135" w:y="285" w:anchorLock="1"/>
    </w:pPr>
    <w:rPr>
      <w:i/>
    </w:rPr>
  </w:style>
  <w:style w:type="paragraph" w:customStyle="1" w:styleId="MiniTOCTitle">
    <w:name w:val="MiniTOCTitle"/>
    <w:basedOn w:val="Heading4"/>
    <w:rsid w:val="00A858ED"/>
    <w:pPr>
      <w:spacing w:before="240"/>
      <w:outlineLvl w:val="9"/>
    </w:pPr>
    <w:rPr>
      <w:noProof/>
      <w:sz w:val="24"/>
    </w:rPr>
  </w:style>
  <w:style w:type="paragraph" w:customStyle="1" w:styleId="MiniTOCItem">
    <w:name w:val="MiniTOCItem"/>
    <w:basedOn w:val="ListBullet"/>
    <w:rsid w:val="00A858ED"/>
    <w:pPr>
      <w:numPr>
        <w:numId w:val="0"/>
      </w:numPr>
      <w:tabs>
        <w:tab w:val="right" w:leader="dot" w:pos="6521"/>
      </w:tabs>
      <w:spacing w:before="0" w:after="0"/>
    </w:pPr>
  </w:style>
  <w:style w:type="paragraph" w:customStyle="1" w:styleId="TOFTitle">
    <w:name w:val="TOFTitle"/>
    <w:basedOn w:val="TOCTitle"/>
    <w:rsid w:val="00A858ED"/>
  </w:style>
  <w:style w:type="paragraph" w:styleId="TableofFigures">
    <w:name w:val="table of figures"/>
    <w:basedOn w:val="Normal"/>
    <w:next w:val="Normal"/>
    <w:semiHidden/>
    <w:rsid w:val="00A858ED"/>
    <w:pPr>
      <w:tabs>
        <w:tab w:val="right" w:leader="dot" w:pos="9072"/>
      </w:tabs>
      <w:ind w:left="970" w:hanging="403"/>
    </w:pPr>
    <w:rPr>
      <w:rFonts w:ascii="Times New Roman" w:hAnsi="Times New Roman"/>
      <w:b/>
    </w:rPr>
  </w:style>
  <w:style w:type="paragraph" w:styleId="ListNumber">
    <w:name w:val="List Number"/>
    <w:basedOn w:val="List"/>
    <w:rsid w:val="00A858ED"/>
    <w:pPr>
      <w:numPr>
        <w:numId w:val="10"/>
      </w:numPr>
    </w:pPr>
  </w:style>
  <w:style w:type="character" w:customStyle="1" w:styleId="WingdingSymbols">
    <w:name w:val="Wingding Symbols"/>
    <w:rsid w:val="00A858ED"/>
    <w:rPr>
      <w:rFonts w:ascii="Wingdings" w:hAnsi="Wingdings"/>
    </w:rPr>
  </w:style>
  <w:style w:type="paragraph" w:customStyle="1" w:styleId="TableHeading">
    <w:name w:val="Table Heading"/>
    <w:basedOn w:val="HeadingBase"/>
    <w:rsid w:val="00A858ED"/>
    <w:pPr>
      <w:keepLines/>
      <w:pBdr>
        <w:bottom w:val="single" w:sz="6" w:space="1" w:color="918585"/>
      </w:pBdr>
      <w:spacing w:before="240"/>
    </w:pPr>
  </w:style>
  <w:style w:type="character" w:customStyle="1" w:styleId="HotSpot">
    <w:name w:val="HotSpot"/>
    <w:rsid w:val="00A858ED"/>
    <w:rPr>
      <w:color w:val="0033CC"/>
      <w:u w:val="none"/>
    </w:rPr>
  </w:style>
  <w:style w:type="paragraph" w:customStyle="1" w:styleId="BodyTextRight">
    <w:name w:val="Body Text Right"/>
    <w:basedOn w:val="BodyText"/>
    <w:rsid w:val="00A858ED"/>
    <w:pPr>
      <w:spacing w:before="0" w:after="0"/>
      <w:jc w:val="right"/>
    </w:pPr>
  </w:style>
  <w:style w:type="paragraph" w:styleId="Index3">
    <w:name w:val="index 3"/>
    <w:basedOn w:val="ListNumber2"/>
    <w:next w:val="Normal"/>
    <w:semiHidden/>
    <w:rsid w:val="00A858ED"/>
    <w:pPr>
      <w:numPr>
        <w:numId w:val="0"/>
      </w:numPr>
      <w:tabs>
        <w:tab w:val="right" w:leader="dot" w:pos="4176"/>
      </w:tabs>
    </w:pPr>
  </w:style>
  <w:style w:type="paragraph" w:styleId="ListNumber2">
    <w:name w:val="List Number 2"/>
    <w:basedOn w:val="List2"/>
    <w:rsid w:val="00A858ED"/>
    <w:pPr>
      <w:numPr>
        <w:numId w:val="9"/>
      </w:numPr>
      <w:tabs>
        <w:tab w:val="clear" w:pos="1060"/>
      </w:tabs>
    </w:pPr>
  </w:style>
  <w:style w:type="paragraph" w:customStyle="1" w:styleId="MarginNote">
    <w:name w:val="Margin Note"/>
    <w:basedOn w:val="BodyText"/>
    <w:rsid w:val="00A85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8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8ED"/>
    <w:rPr>
      <w:sz w:val="32"/>
    </w:rPr>
  </w:style>
  <w:style w:type="paragraph" w:customStyle="1" w:styleId="HeadingProcedure">
    <w:name w:val="Heading Procedure"/>
    <w:basedOn w:val="HeadingBase"/>
    <w:next w:val="Normal"/>
    <w:rsid w:val="00A858ED"/>
    <w:pPr>
      <w:tabs>
        <w:tab w:val="left" w:pos="0"/>
      </w:tabs>
      <w:spacing w:before="120" w:after="60"/>
    </w:pPr>
    <w:rPr>
      <w:i/>
      <w:color w:val="918585"/>
      <w:sz w:val="22"/>
    </w:rPr>
  </w:style>
  <w:style w:type="paragraph" w:customStyle="1" w:styleId="TableBodyText">
    <w:name w:val="Table Body Text"/>
    <w:basedOn w:val="BodyText"/>
    <w:rsid w:val="00A858ED"/>
    <w:pPr>
      <w:spacing w:before="60" w:after="60"/>
    </w:pPr>
  </w:style>
  <w:style w:type="paragraph" w:styleId="ListContinue">
    <w:name w:val="List Continue"/>
    <w:basedOn w:val="List"/>
    <w:rsid w:val="00A858ED"/>
    <w:pPr>
      <w:ind w:firstLine="0"/>
    </w:pPr>
  </w:style>
  <w:style w:type="paragraph" w:customStyle="1" w:styleId="ListNote">
    <w:name w:val="List Note"/>
    <w:basedOn w:val="List"/>
    <w:rsid w:val="00A858ED"/>
    <w:pPr>
      <w:pBdr>
        <w:top w:val="single" w:sz="6" w:space="2" w:color="918585"/>
        <w:bottom w:val="single" w:sz="6" w:space="2" w:color="918585"/>
      </w:pBdr>
      <w:tabs>
        <w:tab w:val="left" w:pos="1021"/>
      </w:tabs>
      <w:ind w:firstLine="0"/>
    </w:pPr>
  </w:style>
  <w:style w:type="paragraph" w:customStyle="1" w:styleId="Warning">
    <w:name w:val="Warning"/>
    <w:basedOn w:val="BodyText"/>
    <w:rsid w:val="00A858ED"/>
    <w:pPr>
      <w:shd w:val="clear" w:color="auto" w:fill="D9D9D9"/>
      <w:tabs>
        <w:tab w:val="left" w:pos="992"/>
      </w:tabs>
      <w:ind w:left="119" w:right="119"/>
    </w:pPr>
    <w:rPr>
      <w:sz w:val="20"/>
    </w:rPr>
  </w:style>
  <w:style w:type="paragraph" w:customStyle="1" w:styleId="MarginIcons">
    <w:name w:val="Margin Icons"/>
    <w:basedOn w:val="BodyText"/>
    <w:rsid w:val="00A85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8ED"/>
    <w:rPr>
      <w:rFonts w:ascii="Courier New" w:hAnsi="Courier New"/>
    </w:rPr>
  </w:style>
  <w:style w:type="paragraph" w:customStyle="1" w:styleId="NoteBullet">
    <w:name w:val="Note Bullet"/>
    <w:basedOn w:val="Note"/>
    <w:rsid w:val="00A858ED"/>
    <w:pPr>
      <w:tabs>
        <w:tab w:val="clear" w:pos="680"/>
      </w:tabs>
      <w:spacing w:before="60" w:after="60"/>
    </w:pPr>
  </w:style>
  <w:style w:type="paragraph" w:customStyle="1" w:styleId="SubHeading2">
    <w:name w:val="SubHeading2"/>
    <w:basedOn w:val="HeadingBase"/>
    <w:rsid w:val="00A858ED"/>
    <w:pPr>
      <w:spacing w:before="240" w:after="60"/>
    </w:pPr>
    <w:rPr>
      <w:sz w:val="20"/>
    </w:rPr>
  </w:style>
  <w:style w:type="paragraph" w:customStyle="1" w:styleId="SubHeading1">
    <w:name w:val="SubHeading1"/>
    <w:basedOn w:val="HeadingBase"/>
    <w:rsid w:val="00A858ED"/>
    <w:pPr>
      <w:spacing w:before="240" w:after="60"/>
    </w:pPr>
    <w:rPr>
      <w:color w:val="918585"/>
      <w:sz w:val="22"/>
    </w:rPr>
  </w:style>
  <w:style w:type="paragraph" w:customStyle="1" w:styleId="SideHeading">
    <w:name w:val="Side Heading"/>
    <w:basedOn w:val="HeadingBase"/>
    <w:rsid w:val="00A85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8ED"/>
    <w:pPr>
      <w:tabs>
        <w:tab w:val="num" w:pos="360"/>
      </w:tabs>
    </w:pPr>
  </w:style>
  <w:style w:type="paragraph" w:styleId="PlainText">
    <w:name w:val="Plain Text"/>
    <w:basedOn w:val="Normal"/>
    <w:link w:val="PlainTextChar"/>
    <w:rsid w:val="00A858ED"/>
    <w:rPr>
      <w:sz w:val="20"/>
    </w:rPr>
  </w:style>
  <w:style w:type="character" w:customStyle="1" w:styleId="PlainTextChar">
    <w:name w:val="Plain Text Char"/>
    <w:basedOn w:val="DefaultParagraphFont"/>
    <w:link w:val="PlainText"/>
    <w:rsid w:val="00A858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58ED"/>
    <w:rPr>
      <w:b/>
      <w:smallCaps/>
    </w:rPr>
  </w:style>
  <w:style w:type="paragraph" w:customStyle="1" w:styleId="TableListNumber">
    <w:name w:val="Table List Number"/>
    <w:basedOn w:val="ListNumber"/>
    <w:rsid w:val="00A858ED"/>
    <w:pPr>
      <w:numPr>
        <w:numId w:val="0"/>
      </w:numPr>
    </w:pPr>
  </w:style>
  <w:style w:type="paragraph" w:styleId="TOC4">
    <w:name w:val="toc 4"/>
    <w:basedOn w:val="TOCBase"/>
    <w:next w:val="Normal"/>
    <w:semiHidden/>
    <w:rsid w:val="00A858ED"/>
    <w:pPr>
      <w:tabs>
        <w:tab w:val="right" w:leader="dot" w:pos="9071"/>
      </w:tabs>
      <w:ind w:left="1701"/>
    </w:pPr>
  </w:style>
  <w:style w:type="paragraph" w:customStyle="1" w:styleId="ListAlpha">
    <w:name w:val="List Alpha"/>
    <w:basedOn w:val="List"/>
    <w:rsid w:val="00A858ED"/>
    <w:pPr>
      <w:numPr>
        <w:numId w:val="8"/>
      </w:numPr>
    </w:pPr>
  </w:style>
  <w:style w:type="paragraph" w:customStyle="1" w:styleId="ListAlpha2">
    <w:name w:val="List Alpha 2"/>
    <w:basedOn w:val="List2"/>
    <w:rsid w:val="00A858ED"/>
    <w:pPr>
      <w:numPr>
        <w:numId w:val="7"/>
      </w:numPr>
    </w:pPr>
  </w:style>
  <w:style w:type="paragraph" w:styleId="List3">
    <w:name w:val="List 3"/>
    <w:basedOn w:val="BodyText"/>
    <w:rsid w:val="00A858ED"/>
    <w:pPr>
      <w:tabs>
        <w:tab w:val="left" w:pos="1021"/>
      </w:tabs>
      <w:spacing w:before="60" w:after="60"/>
      <w:ind w:left="1020" w:hanging="340"/>
    </w:pPr>
  </w:style>
  <w:style w:type="paragraph" w:styleId="List4">
    <w:name w:val="List 4"/>
    <w:basedOn w:val="BodyText"/>
    <w:rsid w:val="00A858ED"/>
    <w:pPr>
      <w:tabs>
        <w:tab w:val="left" w:pos="1361"/>
      </w:tabs>
      <w:spacing w:before="60" w:after="60"/>
      <w:ind w:left="1361" w:hanging="340"/>
    </w:pPr>
  </w:style>
  <w:style w:type="paragraph" w:styleId="List5">
    <w:name w:val="List 5"/>
    <w:basedOn w:val="BodyText"/>
    <w:rsid w:val="00A858ED"/>
    <w:pPr>
      <w:tabs>
        <w:tab w:val="left" w:pos="1701"/>
      </w:tabs>
      <w:spacing w:before="60" w:after="60"/>
      <w:ind w:left="1701" w:hanging="340"/>
    </w:pPr>
  </w:style>
  <w:style w:type="paragraph" w:styleId="ListBullet3">
    <w:name w:val="List Bullet 3"/>
    <w:basedOn w:val="List3"/>
    <w:rsid w:val="00A858ED"/>
    <w:pPr>
      <w:numPr>
        <w:numId w:val="14"/>
      </w:numPr>
      <w:tabs>
        <w:tab w:val="clear" w:pos="1021"/>
      </w:tabs>
      <w:ind w:left="1037" w:hanging="357"/>
    </w:pPr>
  </w:style>
  <w:style w:type="paragraph" w:styleId="ListBullet4">
    <w:name w:val="List Bullet 4"/>
    <w:basedOn w:val="List4"/>
    <w:rsid w:val="00A858ED"/>
    <w:pPr>
      <w:numPr>
        <w:numId w:val="2"/>
      </w:numPr>
    </w:pPr>
  </w:style>
  <w:style w:type="paragraph" w:styleId="ListBullet5">
    <w:name w:val="List Bullet 5"/>
    <w:basedOn w:val="List5"/>
    <w:rsid w:val="00A858ED"/>
    <w:pPr>
      <w:numPr>
        <w:numId w:val="3"/>
      </w:numPr>
    </w:pPr>
  </w:style>
  <w:style w:type="paragraph" w:styleId="ListContinue2">
    <w:name w:val="List Continue 2"/>
    <w:basedOn w:val="List2"/>
    <w:rsid w:val="00A858ED"/>
    <w:pPr>
      <w:ind w:firstLine="0"/>
    </w:pPr>
  </w:style>
  <w:style w:type="paragraph" w:styleId="ListContinue3">
    <w:name w:val="List Continue 3"/>
    <w:basedOn w:val="List3"/>
    <w:rsid w:val="00A858ED"/>
    <w:pPr>
      <w:ind w:left="1021" w:firstLine="0"/>
    </w:pPr>
  </w:style>
  <w:style w:type="paragraph" w:styleId="ListContinue4">
    <w:name w:val="List Continue 4"/>
    <w:basedOn w:val="List4"/>
    <w:rsid w:val="00A858ED"/>
    <w:pPr>
      <w:ind w:firstLine="0"/>
    </w:pPr>
  </w:style>
  <w:style w:type="paragraph" w:styleId="ListContinue5">
    <w:name w:val="List Continue 5"/>
    <w:basedOn w:val="List5"/>
    <w:rsid w:val="00A858ED"/>
    <w:pPr>
      <w:ind w:firstLine="0"/>
    </w:pPr>
  </w:style>
  <w:style w:type="paragraph" w:styleId="ListNumber3">
    <w:name w:val="List Number 3"/>
    <w:basedOn w:val="List3"/>
    <w:rsid w:val="00A858ED"/>
    <w:pPr>
      <w:numPr>
        <w:numId w:val="4"/>
      </w:numPr>
    </w:pPr>
  </w:style>
  <w:style w:type="paragraph" w:styleId="ListNumber4">
    <w:name w:val="List Number 4"/>
    <w:basedOn w:val="List4"/>
    <w:rsid w:val="00A858ED"/>
    <w:pPr>
      <w:numPr>
        <w:numId w:val="5"/>
      </w:numPr>
    </w:pPr>
  </w:style>
  <w:style w:type="paragraph" w:styleId="ListNumber5">
    <w:name w:val="List Number 5"/>
    <w:basedOn w:val="List5"/>
    <w:rsid w:val="00A858ED"/>
    <w:pPr>
      <w:numPr>
        <w:numId w:val="6"/>
      </w:numPr>
    </w:pPr>
  </w:style>
  <w:style w:type="paragraph" w:styleId="BlockText">
    <w:name w:val="Block Text"/>
    <w:basedOn w:val="Normal"/>
    <w:rsid w:val="00A858ED"/>
    <w:pPr>
      <w:spacing w:after="120"/>
      <w:ind w:left="1440" w:right="1440"/>
    </w:pPr>
  </w:style>
  <w:style w:type="character" w:customStyle="1" w:styleId="Subscript">
    <w:name w:val="Subscript"/>
    <w:basedOn w:val="DefaultParagraphFont"/>
    <w:rsid w:val="00A858ED"/>
    <w:rPr>
      <w:sz w:val="16"/>
      <w:vertAlign w:val="subscript"/>
    </w:rPr>
  </w:style>
  <w:style w:type="character" w:customStyle="1" w:styleId="Superscript">
    <w:name w:val="Superscript"/>
    <w:basedOn w:val="DefaultParagraphFont"/>
    <w:rsid w:val="00A858ED"/>
    <w:rPr>
      <w:sz w:val="16"/>
      <w:vertAlign w:val="superscript"/>
    </w:rPr>
  </w:style>
  <w:style w:type="character" w:customStyle="1" w:styleId="Symbols">
    <w:name w:val="Symbols"/>
    <w:basedOn w:val="DefaultParagraphFont"/>
    <w:rsid w:val="00A858ED"/>
    <w:rPr>
      <w:rFonts w:ascii="Symbol" w:hAnsi="Symbol"/>
    </w:rPr>
  </w:style>
  <w:style w:type="character" w:customStyle="1" w:styleId="MenuOptions">
    <w:name w:val="Menu Options"/>
    <w:basedOn w:val="DefaultParagraphFont"/>
    <w:rsid w:val="00A858ED"/>
    <w:rPr>
      <w:rFonts w:ascii="Arial Narrow" w:hAnsi="Arial Narrow"/>
      <w:smallCaps/>
    </w:rPr>
  </w:style>
  <w:style w:type="character" w:customStyle="1" w:styleId="Buttons">
    <w:name w:val="Buttons"/>
    <w:basedOn w:val="DefaultParagraphFont"/>
    <w:rsid w:val="00A858ED"/>
    <w:rPr>
      <w:b/>
    </w:rPr>
  </w:style>
  <w:style w:type="character" w:customStyle="1" w:styleId="Underlined">
    <w:name w:val="Underlined"/>
    <w:basedOn w:val="DefaultParagraphFont"/>
    <w:rsid w:val="00A858ED"/>
    <w:rPr>
      <w:u w:val="single"/>
    </w:rPr>
  </w:style>
  <w:style w:type="paragraph" w:customStyle="1" w:styleId="TableBodyTextRight">
    <w:name w:val="Table Body Text Right"/>
    <w:basedOn w:val="TableBodyText"/>
    <w:rsid w:val="00A858ED"/>
    <w:pPr>
      <w:widowControl w:val="0"/>
      <w:autoSpaceDE w:val="0"/>
      <w:autoSpaceDN w:val="0"/>
      <w:adjustRightInd w:val="0"/>
      <w:jc w:val="right"/>
    </w:pPr>
    <w:rPr>
      <w:rFonts w:cs="Arial"/>
      <w:szCs w:val="18"/>
    </w:rPr>
  </w:style>
  <w:style w:type="paragraph" w:customStyle="1" w:styleId="CopyrightText">
    <w:name w:val="Copyright Text"/>
    <w:basedOn w:val="BodyText"/>
    <w:rsid w:val="00A858ED"/>
    <w:rPr>
      <w:sz w:val="18"/>
    </w:rPr>
  </w:style>
  <w:style w:type="paragraph" w:customStyle="1" w:styleId="BodySmallRight">
    <w:name w:val="Body Small Right"/>
    <w:basedOn w:val="BodyTextRight"/>
    <w:rsid w:val="00A858ED"/>
    <w:rPr>
      <w:sz w:val="18"/>
      <w:szCs w:val="18"/>
    </w:rPr>
  </w:style>
  <w:style w:type="paragraph" w:customStyle="1" w:styleId="MarginEdition">
    <w:name w:val="Margin Edition"/>
    <w:basedOn w:val="MarginNote"/>
    <w:rsid w:val="00A858ED"/>
    <w:pPr>
      <w:spacing w:before="0" w:after="0"/>
    </w:pPr>
    <w:rPr>
      <w:rFonts w:ascii="Times New Roman" w:hAnsi="Times New Roman"/>
      <w:color w:val="999999"/>
    </w:rPr>
  </w:style>
  <w:style w:type="paragraph" w:customStyle="1" w:styleId="Spacer">
    <w:name w:val="Spacer"/>
    <w:basedOn w:val="Normal"/>
    <w:rsid w:val="00A858ED"/>
    <w:rPr>
      <w:sz w:val="2"/>
      <w:szCs w:val="2"/>
    </w:rPr>
  </w:style>
  <w:style w:type="character" w:customStyle="1" w:styleId="Small">
    <w:name w:val="Small"/>
    <w:basedOn w:val="DefaultParagraphFont"/>
    <w:rsid w:val="00A858ED"/>
    <w:rPr>
      <w:sz w:val="16"/>
    </w:rPr>
  </w:style>
  <w:style w:type="paragraph" w:customStyle="1" w:styleId="WideTable">
    <w:name w:val="Wide Table"/>
    <w:basedOn w:val="Normal"/>
    <w:rsid w:val="00A858ED"/>
    <w:pPr>
      <w:ind w:left="-1418"/>
    </w:pPr>
    <w:rPr>
      <w:sz w:val="2"/>
      <w:szCs w:val="2"/>
    </w:rPr>
  </w:style>
  <w:style w:type="character" w:styleId="PageNumber">
    <w:name w:val="page number"/>
    <w:basedOn w:val="DefaultParagraphFont"/>
    <w:rsid w:val="00A858ED"/>
  </w:style>
  <w:style w:type="paragraph" w:styleId="Quote">
    <w:name w:val="Quote"/>
    <w:basedOn w:val="Heading1"/>
    <w:link w:val="QuoteChar"/>
    <w:qFormat/>
    <w:rsid w:val="00A858ED"/>
    <w:rPr>
      <w:b w:val="0"/>
      <w:sz w:val="72"/>
      <w:szCs w:val="72"/>
      <w:lang w:val="en-NZ"/>
    </w:rPr>
  </w:style>
  <w:style w:type="character" w:customStyle="1" w:styleId="QuoteChar">
    <w:name w:val="Quote Char"/>
    <w:basedOn w:val="DefaultParagraphFont"/>
    <w:link w:val="Quote"/>
    <w:rsid w:val="00A85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8ED"/>
    <w:pPr>
      <w:pageBreakBefore/>
    </w:pPr>
  </w:style>
  <w:style w:type="paragraph" w:customStyle="1" w:styleId="Border">
    <w:name w:val="Border"/>
    <w:basedOn w:val="Normal"/>
    <w:qFormat/>
    <w:rsid w:val="00A85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8ED"/>
    <w:rPr>
      <w:b/>
      <w:bCs/>
      <w:i/>
      <w:iCs/>
      <w:color w:val="auto"/>
    </w:rPr>
  </w:style>
  <w:style w:type="paragraph" w:styleId="IntenseQuote">
    <w:name w:val="Intense Quote"/>
    <w:basedOn w:val="Normal"/>
    <w:next w:val="Normal"/>
    <w:link w:val="IntenseQuoteChar"/>
    <w:uiPriority w:val="30"/>
    <w:qFormat/>
    <w:rsid w:val="00A85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8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58ED"/>
    <w:rPr>
      <w:smallCaps/>
      <w:color w:val="auto"/>
      <w:u w:val="single"/>
    </w:rPr>
  </w:style>
  <w:style w:type="character" w:styleId="IntenseReference">
    <w:name w:val="Intense Reference"/>
    <w:basedOn w:val="DefaultParagraphFont"/>
    <w:uiPriority w:val="32"/>
    <w:qFormat/>
    <w:rsid w:val="00A858ED"/>
    <w:rPr>
      <w:b/>
      <w:bCs/>
      <w:smallCaps/>
      <w:color w:val="auto"/>
      <w:spacing w:val="5"/>
      <w:u w:val="single"/>
    </w:rPr>
  </w:style>
  <w:style w:type="paragraph" w:customStyle="1" w:styleId="2ColumnHeading">
    <w:name w:val="2Column Heading"/>
    <w:basedOn w:val="BodyText"/>
    <w:qFormat/>
    <w:rsid w:val="00A858ED"/>
    <w:pPr>
      <w:spacing w:after="60"/>
      <w:ind w:left="-2268"/>
    </w:pPr>
    <w:rPr>
      <w:b/>
    </w:rPr>
  </w:style>
  <w:style w:type="paragraph" w:customStyle="1" w:styleId="Heading1TOC">
    <w:name w:val="Heading1 TOC"/>
    <w:basedOn w:val="Normal"/>
    <w:qFormat/>
    <w:rsid w:val="00A858ED"/>
    <w:pPr>
      <w:spacing w:before="240" w:after="120"/>
    </w:pPr>
    <w:rPr>
      <w:rFonts w:ascii="Times New Roman" w:hAnsi="Times New Roman"/>
      <w:b/>
      <w:sz w:val="32"/>
    </w:rPr>
  </w:style>
  <w:style w:type="paragraph" w:customStyle="1" w:styleId="Heading2TOC">
    <w:name w:val="Heading2 TOC"/>
    <w:basedOn w:val="Normal"/>
    <w:qFormat/>
    <w:rsid w:val="00A858ED"/>
    <w:pPr>
      <w:spacing w:before="240" w:after="60"/>
    </w:pPr>
    <w:rPr>
      <w:rFonts w:ascii="Times New Roman" w:hAnsi="Times New Roman"/>
      <w:b/>
      <w:sz w:val="28"/>
    </w:rPr>
  </w:style>
  <w:style w:type="character" w:customStyle="1" w:styleId="Underline">
    <w:name w:val="Underline"/>
    <w:basedOn w:val="DefaultParagraphFont"/>
    <w:qFormat/>
    <w:rsid w:val="00A858ED"/>
    <w:rPr>
      <w:u w:val="single"/>
    </w:rPr>
  </w:style>
  <w:style w:type="character" w:customStyle="1" w:styleId="BoldandItalics">
    <w:name w:val="Bold and Italics"/>
    <w:qFormat/>
    <w:rsid w:val="00A858ED"/>
    <w:rPr>
      <w:b/>
      <w:i/>
      <w:u w:val="none"/>
    </w:rPr>
  </w:style>
  <w:style w:type="paragraph" w:styleId="BalloonText">
    <w:name w:val="Balloon Text"/>
    <w:basedOn w:val="Normal"/>
    <w:link w:val="BalloonTextChar"/>
    <w:rsid w:val="00A858ED"/>
    <w:rPr>
      <w:rFonts w:ascii="Tahoma" w:hAnsi="Tahoma" w:cs="Tahoma"/>
      <w:sz w:val="16"/>
      <w:szCs w:val="16"/>
    </w:rPr>
  </w:style>
  <w:style w:type="character" w:customStyle="1" w:styleId="BalloonTextChar">
    <w:name w:val="Balloon Text Char"/>
    <w:basedOn w:val="DefaultParagraphFont"/>
    <w:link w:val="BalloonText"/>
    <w:rsid w:val="00A858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8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8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8632</Characters>
  <Application>Microsoft Office Word</Application>
  <DocSecurity>0</DocSecurity>
  <Lines>301</Lines>
  <Paragraphs>130</Paragraphs>
  <ScaleCrop>false</ScaleCrop>
  <Company>Author-it Software Corporation Ltd.</Company>
  <LinksUpToDate>false</LinksUpToDate>
  <CharactersWithSpaces>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MEM11002C Erect/dismantle complex scaffolding and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2012-05-27T01:41:00Z</dcterms:created>
  <dcterms:modified xsi:type="dcterms:W3CDTF">2012-05-27T01:41:00Z</dcterms:modified>
</cp:coreProperties>
</file>