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11B97" w:rsidP="00C11B97">
      <w:pPr>
        <w:pStyle w:val="Title"/>
      </w:pPr>
      <w:r>
        <w:fldChar w:fldCharType="begin"/>
      </w:r>
      <w:r>
        <w:instrText xml:space="preserve"> TITLE   \* MERGEFORMAT </w:instrText>
      </w:r>
      <w:r>
        <w:fldChar w:fldCharType="separate"/>
      </w:r>
      <w:r>
        <w:t>MEM10010B Install pipework and pipework assemblies</w:t>
      </w:r>
      <w:r>
        <w:fldChar w:fldCharType="end"/>
      </w:r>
    </w:p>
    <w:p w:rsidR="00C11B97" w:rsidP="00C11B97">
      <w:pPr>
        <w:pStyle w:val="Version"/>
        <w:sectPr w:rsidSect="000F7D7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F7D77" w:rsidP="000F7D77">
      <w:pPr>
        <w:pStyle w:val="SuperHeading"/>
      </w:pPr>
      <w:r w:rsidRPr="000F7D77">
        <w:t>MEM10010B Install pipework and pipework assemblies</w:t>
      </w:r>
    </w:p>
    <w:p w:rsidR="00000000" w:rsidRPr="000F7D77" w:rsidP="000F7D77">
      <w:pPr>
        <w:pStyle w:val="Heading1"/>
      </w:pPr>
      <w:bookmarkStart w:id="1" w:name="O_272128"/>
      <w:bookmarkEnd w:id="1"/>
      <w:r w:rsidRPr="000F7D77">
        <w:t>Modification History</w:t>
      </w:r>
    </w:p>
    <w:p w:rsidR="00000000" w:rsidRPr="000F7D77" w:rsidP="000F7D77">
      <w:pPr>
        <w:pStyle w:val="BodyText"/>
      </w:pPr>
      <w:r w:rsidRPr="000F7D77">
        <w:t>Not Applicable</w:t>
      </w:r>
    </w:p>
    <w:p w:rsidR="00000000" w:rsidRPr="000F7D77" w:rsidP="000F7D77">
      <w:pPr>
        <w:pStyle w:val="AllowPageBreak"/>
      </w:pPr>
    </w:p>
    <w:p w:rsidR="00000000" w:rsidRPr="000F7D77" w:rsidP="000F7D77">
      <w:pPr>
        <w:pStyle w:val="Heading1"/>
      </w:pPr>
      <w:bookmarkStart w:id="2" w:name="O_211334"/>
      <w:bookmarkEnd w:id="2"/>
      <w:r w:rsidRPr="000F7D77">
        <w:t>Unit Descriptor</w:t>
      </w:r>
    </w:p>
    <w:tbl>
      <w:tblPr>
        <w:tblW w:w="0" w:type="auto"/>
        <w:tblLayout w:type="fixed"/>
        <w:tblCellMar>
          <w:left w:w="62" w:type="dxa"/>
          <w:right w:w="62" w:type="dxa"/>
        </w:tblCellMar>
        <w:tblLook w:val="0000"/>
      </w:tblPr>
      <w:tblGrid>
        <w:gridCol w:w="2663"/>
        <w:gridCol w:w="5859"/>
      </w:tblGrid>
      <w:tr w:rsidTr="00C11B97">
        <w:tblPrEx>
          <w:tblW w:w="0" w:type="auto"/>
          <w:tblLayout w:type="fixed"/>
          <w:tblCellMar>
            <w:left w:w="62" w:type="dxa"/>
            <w:right w:w="62" w:type="dxa"/>
          </w:tblCellMar>
          <w:tblLook w:val="0000"/>
        </w:tblPrEx>
        <w:trPr>
          <w:tblHeader/>
        </w:trPr>
        <w:tc>
          <w:tcPr>
            <w:tcW w:w="26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7D77">
            <w:pPr>
              <w:pStyle w:val="BodyText"/>
              <w:rPr>
                <w:lang w:val="en-NZ"/>
              </w:rPr>
            </w:pPr>
            <w:r w:rsidRPr="000F7D77">
              <w:rPr>
                <w:rStyle w:val="SpecialBold"/>
              </w:rPr>
              <w:t>Unit descriptor</w:t>
            </w:r>
          </w:p>
        </w:tc>
        <w:tc>
          <w:tcPr>
            <w:tcW w:w="58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F7D77" w:rsidP="000F7D77">
            <w:pPr>
              <w:pStyle w:val="BodyText"/>
            </w:pPr>
            <w:r w:rsidRPr="000F7D77">
              <w:t>This unit covers planning, preparing and installing pipework and assemblies.</w:t>
            </w:r>
          </w:p>
        </w:tc>
      </w:tr>
    </w:tbl>
    <w:p w:rsidR="00C11B97" w:rsidP="000F7D77">
      <w:pPr>
        <w:pStyle w:val="BodyText"/>
      </w:pPr>
    </w:p>
    <w:p w:rsidR="00C11B97" w:rsidP="000F7D77">
      <w:pPr>
        <w:pStyle w:val="BodyText"/>
      </w:pPr>
    </w:p>
    <w:p w:rsidR="00000000" w:rsidRPr="000F7D77" w:rsidP="000F7D77">
      <w:pPr>
        <w:pStyle w:val="Heading1"/>
      </w:pPr>
      <w:bookmarkStart w:id="3" w:name="O_211338"/>
      <w:bookmarkEnd w:id="3"/>
      <w:r w:rsidRPr="000F7D77">
        <w:t>Application of the Unit</w:t>
      </w:r>
    </w:p>
    <w:tbl>
      <w:tblPr>
        <w:tblW w:w="0" w:type="auto"/>
        <w:tblLayout w:type="fixed"/>
        <w:tblCellMar>
          <w:left w:w="62" w:type="dxa"/>
          <w:right w:w="62" w:type="dxa"/>
        </w:tblCellMar>
        <w:tblLook w:val="0000"/>
      </w:tblPr>
      <w:tblGrid>
        <w:gridCol w:w="2736"/>
        <w:gridCol w:w="5786"/>
      </w:tblGrid>
      <w:tr w:rsidTr="00C11B97">
        <w:tblPrEx>
          <w:tblW w:w="0" w:type="auto"/>
          <w:tblLayout w:type="fixed"/>
          <w:tblCellMar>
            <w:left w:w="62" w:type="dxa"/>
            <w:right w:w="62" w:type="dxa"/>
          </w:tblCellMar>
          <w:tblLook w:val="0000"/>
        </w:tblPrEx>
        <w:tc>
          <w:tcPr>
            <w:tcW w:w="27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7D77">
            <w:pPr>
              <w:pStyle w:val="BodyText"/>
              <w:rPr>
                <w:lang w:val="en-NZ"/>
              </w:rPr>
            </w:pPr>
            <w:r w:rsidRPr="000F7D77">
              <w:rPr>
                <w:rStyle w:val="SpecialBold"/>
              </w:rPr>
              <w:t>Application of the unit</w:t>
            </w:r>
          </w:p>
        </w:tc>
        <w:tc>
          <w:tcPr>
            <w:tcW w:w="57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F7D77" w:rsidP="000F7D77">
            <w:pPr>
              <w:pStyle w:val="BodyText"/>
            </w:pPr>
            <w:r w:rsidRPr="000F7D77">
              <w:t>This unit applies to installation of ferrous and non-ferrous pipes and fittings. Where pipework is to be cut by mechanical or thermal methods, or where welding processes are used, the appropriate unit(s) shou</w:t>
            </w:r>
            <w:r w:rsidRPr="000F7D77">
              <w:t xml:space="preserve">ld be selected. </w:t>
            </w:r>
          </w:p>
          <w:p w:rsidR="00000000" w:rsidRPr="000F7D77" w:rsidP="000F7D77">
            <w:pPr>
              <w:pStyle w:val="BodyText"/>
            </w:pPr>
            <w:r w:rsidRPr="000F7D77">
              <w:t>Pipework and installation is performed to established practices and standards.</w:t>
            </w:r>
          </w:p>
          <w:p w:rsidR="00000000" w:rsidRPr="000F7D77" w:rsidP="000F7D77">
            <w:pPr>
              <w:pStyle w:val="BodyText"/>
            </w:pPr>
            <w:r w:rsidRPr="000F7D77">
              <w:t xml:space="preserve">Where the pipework is to be formed and shaped using mechanical and/or thermal techniques, Unit MEM05010C (Undertake fabrication, forming, bending and shaping), </w:t>
            </w:r>
            <w:r w:rsidRPr="000F7D77">
              <w:t xml:space="preserve">should be selected. </w:t>
            </w:r>
          </w:p>
          <w:p w:rsidR="00000000" w:rsidRPr="000F7D77" w:rsidP="000F7D77">
            <w:pPr>
              <w:pStyle w:val="BodyText"/>
            </w:pPr>
            <w:r w:rsidRPr="000F7D77">
              <w:t>Where pipework and assemblies are to be part of a system/process covered by legislative/regulatory requirements, units relating to the appropriate welding certificates for the pipe material and application must also be selected.</w:t>
            </w:r>
          </w:p>
          <w:p w:rsidR="00000000" w:rsidRPr="000F7D77" w:rsidP="000F7D77">
            <w:pPr>
              <w:pStyle w:val="BodyText"/>
            </w:pPr>
          </w:p>
          <w:p w:rsidR="00000000" w:rsidRPr="000F7D77" w:rsidP="000F7D77">
            <w:pPr>
              <w:pStyle w:val="BodyText"/>
            </w:pPr>
            <w:r w:rsidRPr="000F7D77">
              <w:rPr>
                <w:rStyle w:val="SpecialBold"/>
              </w:rPr>
              <w:t>Band</w:t>
            </w:r>
            <w:r w:rsidRPr="000F7D77">
              <w:t>:</w:t>
            </w:r>
            <w:r w:rsidRPr="000F7D77">
              <w:tab/>
            </w:r>
            <w:r w:rsidRPr="000F7D77">
              <w:rPr>
                <w:rStyle w:val="SpecialBold"/>
              </w:rPr>
              <w:t>A</w:t>
            </w:r>
          </w:p>
          <w:p w:rsidR="00000000" w:rsidRPr="000F7D77" w:rsidP="000F7D77">
            <w:pPr>
              <w:pStyle w:val="BodyText"/>
            </w:pPr>
            <w:r w:rsidRPr="000F7D77">
              <w:rPr>
                <w:rStyle w:val="SpecialBold"/>
              </w:rPr>
              <w:t>Unit Weight</w:t>
            </w:r>
            <w:r w:rsidRPr="000F7D77">
              <w:t>:</w:t>
            </w:r>
            <w:r w:rsidRPr="000F7D77">
              <w:tab/>
            </w:r>
            <w:r w:rsidRPr="000F7D77">
              <w:rPr>
                <w:rStyle w:val="SpecialBold"/>
              </w:rPr>
              <w:t>4</w:t>
            </w:r>
          </w:p>
        </w:tc>
      </w:tr>
    </w:tbl>
    <w:p w:rsidR="00C11B97" w:rsidP="000F7D77">
      <w:pPr>
        <w:pStyle w:val="BodyText"/>
      </w:pPr>
    </w:p>
    <w:p w:rsidR="00C11B97" w:rsidP="000F7D77">
      <w:pPr>
        <w:pStyle w:val="BodyText"/>
      </w:pPr>
    </w:p>
    <w:p w:rsidR="00000000" w:rsidRPr="000F7D77" w:rsidP="000F7D77">
      <w:pPr>
        <w:pStyle w:val="Heading1"/>
      </w:pPr>
      <w:bookmarkStart w:id="4" w:name="O_280388"/>
      <w:bookmarkEnd w:id="4"/>
      <w:r w:rsidRPr="000F7D77">
        <w:t>Licensing/Regulatory Information</w:t>
      </w:r>
    </w:p>
    <w:p w:rsidR="00000000" w:rsidRPr="000F7D77" w:rsidP="000F7D77">
      <w:pPr>
        <w:pStyle w:val="BodyText"/>
      </w:pPr>
      <w:r w:rsidRPr="000F7D77">
        <w:t>Not Applicable</w:t>
      </w:r>
    </w:p>
    <w:p w:rsidR="00000000" w:rsidRPr="000F7D77" w:rsidP="000F7D77">
      <w:pPr>
        <w:pStyle w:val="AllowPageBreak"/>
      </w:pPr>
    </w:p>
    <w:p w:rsidR="00000000" w:rsidRPr="000F7D77" w:rsidP="000F7D77">
      <w:pPr>
        <w:pStyle w:val="Heading1"/>
      </w:pPr>
      <w:bookmarkStart w:id="5" w:name="O_211336"/>
      <w:bookmarkEnd w:id="5"/>
      <w:r w:rsidRPr="000F7D77">
        <w:t>Pre-Requisites</w:t>
      </w:r>
    </w:p>
    <w:tbl>
      <w:tblPr>
        <w:tblW w:w="0" w:type="auto"/>
        <w:tblLayout w:type="fixed"/>
        <w:tblCellMar>
          <w:left w:w="62" w:type="dxa"/>
          <w:right w:w="62" w:type="dxa"/>
        </w:tblCellMar>
        <w:tblLook w:val="0000"/>
      </w:tblPr>
      <w:tblGrid>
        <w:gridCol w:w="2708"/>
        <w:gridCol w:w="2207"/>
        <w:gridCol w:w="3607"/>
      </w:tblGrid>
      <w:tr w:rsidTr="00C11B97">
        <w:tblPrEx>
          <w:tblW w:w="0" w:type="auto"/>
          <w:tblLayout w:type="fixed"/>
          <w:tblCellMar>
            <w:left w:w="62" w:type="dxa"/>
            <w:right w:w="62" w:type="dxa"/>
          </w:tblCellMar>
          <w:tblLook w:val="0000"/>
        </w:tblPrEx>
        <w:trPr>
          <w:tblHeader/>
        </w:trPr>
        <w:tc>
          <w:tcPr>
            <w:tcW w:w="27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7D77">
            <w:pPr>
              <w:pStyle w:val="BodyText"/>
              <w:rPr>
                <w:lang w:val="en-NZ"/>
              </w:rPr>
            </w:pPr>
            <w:r w:rsidRPr="000F7D77">
              <w:rPr>
                <w:rStyle w:val="SpecialBold"/>
              </w:rPr>
              <w:t>Prerequisite units</w:t>
            </w:r>
          </w:p>
        </w:tc>
        <w:tc>
          <w:tcPr>
            <w:tcW w:w="5814"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7D77">
            <w:pPr>
              <w:pStyle w:val="BodyText"/>
              <w:rPr>
                <w:lang w:val="en-NZ"/>
              </w:rPr>
            </w:pPr>
          </w:p>
        </w:tc>
      </w:tr>
      <w:tr w:rsidTr="00C11B97">
        <w:tblPrEx>
          <w:tblW w:w="0" w:type="auto"/>
          <w:tblLayout w:type="fixed"/>
          <w:tblCellMar>
            <w:left w:w="62" w:type="dxa"/>
            <w:right w:w="62" w:type="dxa"/>
          </w:tblCellMar>
          <w:tblLook w:val="0000"/>
        </w:tblPrEx>
        <w:tc>
          <w:tcPr>
            <w:tcW w:w="27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7D77">
            <w:pPr>
              <w:pStyle w:val="BodyText"/>
              <w:rPr>
                <w:lang w:val="en-NZ"/>
              </w:rPr>
            </w:pPr>
            <w:r w:rsidRPr="000F7D77">
              <w:rPr>
                <w:rStyle w:val="SpecialBold"/>
              </w:rPr>
              <w:t>Path 1</w:t>
            </w: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7D77">
            <w:pPr>
              <w:pStyle w:val="BodyText"/>
              <w:rPr>
                <w:lang w:val="en-NZ"/>
              </w:rPr>
            </w:pPr>
            <w:r w:rsidRPr="000F7D77">
              <w:t>MEM09002B</w:t>
            </w:r>
          </w:p>
        </w:tc>
        <w:tc>
          <w:tcPr>
            <w:tcW w:w="36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7D77">
            <w:pPr>
              <w:pStyle w:val="BodyText"/>
              <w:rPr>
                <w:lang w:val="en-NZ"/>
              </w:rPr>
            </w:pPr>
            <w:r w:rsidRPr="000F7D77">
              <w:t>Interpret technical drawing</w:t>
            </w:r>
          </w:p>
        </w:tc>
      </w:tr>
      <w:tr w:rsidTr="00C11B97">
        <w:tblPrEx>
          <w:tblW w:w="0" w:type="auto"/>
          <w:tblLayout w:type="fixed"/>
          <w:tblCellMar>
            <w:left w:w="62" w:type="dxa"/>
            <w:right w:w="62" w:type="dxa"/>
          </w:tblCellMar>
          <w:tblLook w:val="0000"/>
        </w:tblPrEx>
        <w:tc>
          <w:tcPr>
            <w:tcW w:w="27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7D77">
            <w:pPr>
              <w:pStyle w:val="BodyText"/>
              <w:rPr>
                <w:lang w:val="en-NZ"/>
              </w:rPr>
            </w:pPr>
            <w:r w:rsidRPr="000F7D77">
              <w:t>MEM12023A</w:t>
            </w:r>
          </w:p>
        </w:tc>
        <w:tc>
          <w:tcPr>
            <w:tcW w:w="36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7D77">
            <w:pPr>
              <w:pStyle w:val="BodyText"/>
              <w:rPr>
                <w:lang w:val="en-NZ"/>
              </w:rPr>
            </w:pPr>
            <w:r w:rsidRPr="000F7D77">
              <w:t>Perform engineering measurements</w:t>
            </w:r>
          </w:p>
        </w:tc>
      </w:tr>
      <w:tr w:rsidTr="00C11B97">
        <w:tblPrEx>
          <w:tblW w:w="0" w:type="auto"/>
          <w:tblLayout w:type="fixed"/>
          <w:tblCellMar>
            <w:left w:w="62" w:type="dxa"/>
            <w:right w:w="62" w:type="dxa"/>
          </w:tblCellMar>
          <w:tblLook w:val="0000"/>
        </w:tblPrEx>
        <w:tc>
          <w:tcPr>
            <w:tcW w:w="27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7D77">
            <w:pPr>
              <w:pStyle w:val="BodyText"/>
              <w:rPr>
                <w:lang w:val="en-NZ"/>
              </w:rPr>
            </w:pPr>
            <w:r w:rsidRPr="000F7D77">
              <w:t>MEM18001C</w:t>
            </w:r>
          </w:p>
        </w:tc>
        <w:tc>
          <w:tcPr>
            <w:tcW w:w="36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7D77">
            <w:pPr>
              <w:pStyle w:val="BodyText"/>
              <w:rPr>
                <w:lang w:val="en-NZ"/>
              </w:rPr>
            </w:pPr>
            <w:r w:rsidRPr="000F7D77">
              <w:t>Use hand tools</w:t>
            </w:r>
          </w:p>
        </w:tc>
      </w:tr>
      <w:tr w:rsidTr="00C11B97">
        <w:tblPrEx>
          <w:tblW w:w="0" w:type="auto"/>
          <w:tblLayout w:type="fixed"/>
          <w:tblCellMar>
            <w:left w:w="62" w:type="dxa"/>
            <w:right w:w="62" w:type="dxa"/>
          </w:tblCellMar>
          <w:tblLook w:val="0000"/>
        </w:tblPrEx>
        <w:tc>
          <w:tcPr>
            <w:tcW w:w="27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7D77">
            <w:pPr>
              <w:pStyle w:val="BodyText"/>
              <w:rPr>
                <w:lang w:val="en-NZ"/>
              </w:rPr>
            </w:pPr>
            <w:r w:rsidRPr="000F7D77">
              <w:t>MEM18002B</w:t>
            </w:r>
          </w:p>
        </w:tc>
        <w:tc>
          <w:tcPr>
            <w:tcW w:w="36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7D77">
            <w:pPr>
              <w:pStyle w:val="BodyText"/>
              <w:rPr>
                <w:lang w:val="en-NZ"/>
              </w:rPr>
            </w:pPr>
            <w:r w:rsidRPr="000F7D77">
              <w:t>Use power tools/hand held operations</w:t>
            </w:r>
          </w:p>
        </w:tc>
      </w:tr>
      <w:tr w:rsidTr="00C11B97">
        <w:tblPrEx>
          <w:tblW w:w="0" w:type="auto"/>
          <w:tblLayout w:type="fixed"/>
          <w:tblCellMar>
            <w:left w:w="62" w:type="dxa"/>
            <w:right w:w="62" w:type="dxa"/>
          </w:tblCellMar>
          <w:tblLook w:val="0000"/>
        </w:tblPrEx>
        <w:tc>
          <w:tcPr>
            <w:tcW w:w="27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F7D77" w:rsidP="000F7D77">
            <w:pPr>
              <w:pStyle w:val="BodyText"/>
            </w:pPr>
          </w:p>
        </w:tc>
      </w:tr>
    </w:tbl>
    <w:p w:rsidR="00C11B97" w:rsidP="000F7D77">
      <w:pPr>
        <w:pStyle w:val="BodyText"/>
      </w:pPr>
    </w:p>
    <w:p w:rsidR="00C11B97" w:rsidP="000F7D77">
      <w:pPr>
        <w:pStyle w:val="BodyText"/>
      </w:pPr>
    </w:p>
    <w:p w:rsidR="00000000" w:rsidRPr="000F7D77" w:rsidP="000F7D77">
      <w:pPr>
        <w:pStyle w:val="Heading1"/>
      </w:pPr>
      <w:bookmarkStart w:id="6" w:name="O_211335"/>
      <w:bookmarkEnd w:id="6"/>
      <w:r w:rsidRPr="000F7D77">
        <w:t>Employability Skills Information</w:t>
      </w:r>
    </w:p>
    <w:tbl>
      <w:tblPr>
        <w:tblW w:w="0" w:type="auto"/>
        <w:tblLayout w:type="fixed"/>
        <w:tblCellMar>
          <w:left w:w="62" w:type="dxa"/>
          <w:right w:w="62" w:type="dxa"/>
        </w:tblCellMar>
        <w:tblLook w:val="0000"/>
      </w:tblPr>
      <w:tblGrid>
        <w:gridCol w:w="2793"/>
        <w:gridCol w:w="5729"/>
      </w:tblGrid>
      <w:tr w:rsidTr="00C11B97">
        <w:tblPrEx>
          <w:tblW w:w="0" w:type="auto"/>
          <w:tblLayout w:type="fixed"/>
          <w:tblCellMar>
            <w:left w:w="62" w:type="dxa"/>
            <w:right w:w="62" w:type="dxa"/>
          </w:tblCellMar>
          <w:tblLook w:val="0000"/>
        </w:tblPrEx>
        <w:trPr>
          <w:tblHeader/>
        </w:trPr>
        <w:tc>
          <w:tcPr>
            <w:tcW w:w="27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7D77">
            <w:pPr>
              <w:pStyle w:val="BodyText"/>
              <w:rPr>
                <w:lang w:val="en-NZ"/>
              </w:rPr>
            </w:pPr>
            <w:r w:rsidRPr="000F7D77">
              <w:rPr>
                <w:rStyle w:val="SpecialBold"/>
              </w:rPr>
              <w:t>Employability skills</w:t>
            </w:r>
          </w:p>
        </w:tc>
        <w:tc>
          <w:tcPr>
            <w:tcW w:w="57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F7D77" w:rsidP="000F7D77">
            <w:pPr>
              <w:pStyle w:val="BodyText"/>
            </w:pPr>
            <w:r w:rsidRPr="000F7D77">
              <w:t>This unit contains employability skills.</w:t>
            </w:r>
          </w:p>
        </w:tc>
      </w:tr>
    </w:tbl>
    <w:p w:rsidR="00C11B97" w:rsidP="000F7D77">
      <w:pPr>
        <w:pStyle w:val="BodyText"/>
      </w:pPr>
    </w:p>
    <w:p w:rsidR="00C11B97" w:rsidP="000F7D77">
      <w:pPr>
        <w:pStyle w:val="BodyText"/>
      </w:pPr>
    </w:p>
    <w:p w:rsidR="00000000" w:rsidRPr="000F7D77" w:rsidP="000F7D77">
      <w:pPr>
        <w:pStyle w:val="Heading1"/>
      </w:pPr>
      <w:bookmarkStart w:id="7" w:name="O_290174"/>
      <w:bookmarkEnd w:id="7"/>
      <w:r w:rsidRPr="000F7D77">
        <w:t>Elements and Performance Criteria Pre-Content</w:t>
      </w:r>
    </w:p>
    <w:tbl>
      <w:tblPr>
        <w:tblW w:w="0" w:type="auto"/>
        <w:tblLayout w:type="fixed"/>
        <w:tblCellMar>
          <w:left w:w="62" w:type="dxa"/>
          <w:right w:w="62" w:type="dxa"/>
        </w:tblCellMar>
        <w:tblLook w:val="0000"/>
      </w:tblPr>
      <w:tblGrid>
        <w:gridCol w:w="2439"/>
        <w:gridCol w:w="6083"/>
      </w:tblGrid>
      <w:tr w:rsidTr="00C11B97">
        <w:tblPrEx>
          <w:tblW w:w="0" w:type="auto"/>
          <w:tblLayout w:type="fixed"/>
          <w:tblCellMar>
            <w:left w:w="62" w:type="dxa"/>
            <w:right w:w="62" w:type="dxa"/>
          </w:tblCellMar>
          <w:tblLook w:val="0000"/>
        </w:tblPrEx>
        <w:tc>
          <w:tcPr>
            <w:tcW w:w="24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7D77">
            <w:pPr>
              <w:pStyle w:val="BodyText"/>
              <w:rPr>
                <w:lang w:val="en-NZ"/>
              </w:rPr>
            </w:pPr>
            <w:r w:rsidRPr="000F7D77">
              <w:t>Elements describe the essential outcomes of a unit of competency.</w:t>
            </w:r>
          </w:p>
        </w:tc>
        <w:tc>
          <w:tcPr>
            <w:tcW w:w="60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F7D77" w:rsidP="000F7D77">
            <w:pPr>
              <w:pStyle w:val="BodyText"/>
            </w:pPr>
            <w:r w:rsidRPr="000F7D77">
              <w:t>Performance criteria describe the performance needed to demonstrate achievement of the element. Where bold italicised text is used, further information is detailed in the required skills and</w:t>
            </w:r>
            <w:r w:rsidRPr="000F7D77">
              <w:t xml:space="preserve"> knowledge section and the range statement. Assessment of performance is to be consistent with the evidence guide.</w:t>
            </w:r>
          </w:p>
        </w:tc>
      </w:tr>
    </w:tbl>
    <w:p w:rsidR="00000000" w:rsidRPr="000F7D77" w:rsidP="000F7D77">
      <w:pPr>
        <w:pStyle w:val="BodyText"/>
      </w:pPr>
    </w:p>
    <w:p w:rsidR="00000000" w:rsidRPr="000F7D77" w:rsidP="000F7D77">
      <w:pPr>
        <w:pStyle w:val="AllowPageBreak"/>
      </w:pPr>
    </w:p>
    <w:p w:rsidR="00000000" w:rsidRPr="000F7D77" w:rsidP="000F7D77">
      <w:pPr>
        <w:pStyle w:val="Heading1"/>
      </w:pPr>
      <w:bookmarkStart w:id="8" w:name="O_236841"/>
      <w:bookmarkEnd w:id="8"/>
      <w:r w:rsidRPr="000F7D77">
        <w:t>Elements and Performance Criteria</w:t>
      </w:r>
    </w:p>
    <w:tbl>
      <w:tblPr>
        <w:tblW w:w="0" w:type="auto"/>
        <w:tblLayout w:type="fixed"/>
        <w:tblCellMar>
          <w:left w:w="62" w:type="dxa"/>
          <w:right w:w="62" w:type="dxa"/>
        </w:tblCellMar>
        <w:tblLook w:val="0000"/>
      </w:tblPr>
      <w:tblGrid>
        <w:gridCol w:w="2439"/>
        <w:gridCol w:w="6083"/>
      </w:tblGrid>
      <w:tr w:rsidTr="00C11B97">
        <w:tblPrEx>
          <w:tblW w:w="0" w:type="auto"/>
          <w:tblLayout w:type="fixed"/>
          <w:tblCellMar>
            <w:left w:w="62" w:type="dxa"/>
            <w:right w:w="62" w:type="dxa"/>
          </w:tblCellMar>
          <w:tblLook w:val="0000"/>
        </w:tblPrEx>
        <w:trPr>
          <w:tblHeader/>
        </w:trPr>
        <w:tc>
          <w:tcPr>
            <w:tcW w:w="24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F7D77" w:rsidP="000F7D77">
            <w:pPr>
              <w:pStyle w:val="BodyText"/>
            </w:pPr>
            <w:r w:rsidRPr="000F7D77">
              <w:rPr>
                <w:rStyle w:val="SpecialBold"/>
              </w:rPr>
              <w:t>ELEMENT</w:t>
            </w:r>
          </w:p>
        </w:tc>
        <w:tc>
          <w:tcPr>
            <w:tcW w:w="60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7D77">
            <w:pPr>
              <w:pStyle w:val="BodyText"/>
              <w:rPr>
                <w:lang w:val="en-NZ"/>
              </w:rPr>
            </w:pPr>
            <w:r w:rsidRPr="000F7D77">
              <w:rPr>
                <w:rStyle w:val="SpecialBold"/>
              </w:rPr>
              <w:t>PERFORMANCE CRITERIA</w:t>
            </w:r>
          </w:p>
        </w:tc>
      </w:tr>
      <w:tr w:rsidTr="00C11B97">
        <w:tblPrEx>
          <w:tblW w:w="0" w:type="auto"/>
          <w:tblLayout w:type="fixed"/>
          <w:tblCellMar>
            <w:left w:w="62" w:type="dxa"/>
            <w:right w:w="62" w:type="dxa"/>
          </w:tblCellMar>
          <w:tblLook w:val="0000"/>
        </w:tblPrEx>
        <w:tc>
          <w:tcPr>
            <w:tcW w:w="24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7D77">
            <w:pPr>
              <w:pStyle w:val="List"/>
              <w:rPr>
                <w:lang w:val="en-NZ"/>
              </w:rPr>
            </w:pPr>
            <w:r w:rsidRPr="000F7D77">
              <w:t>1.</w:t>
            </w:r>
            <w:r w:rsidRPr="000F7D77">
              <w:tab/>
            </w:r>
            <w:r w:rsidRPr="000F7D77">
              <w:t>Plan the installation of pipework and pipework assemblies</w:t>
            </w:r>
          </w:p>
        </w:tc>
        <w:tc>
          <w:tcPr>
            <w:tcW w:w="60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F7D77" w:rsidP="000F7D77">
            <w:pPr>
              <w:pStyle w:val="List2"/>
            </w:pPr>
            <w:r w:rsidRPr="000F7D77">
              <w:t>1.1.</w:t>
            </w:r>
            <w:r w:rsidRPr="000F7D77">
              <w:tab/>
              <w:t>Quantity and type of pipework and pipework assemblies are selected according to specifications.</w:t>
            </w:r>
          </w:p>
          <w:p w:rsidR="00000000" w:rsidRPr="000F7D77" w:rsidP="000F7D77">
            <w:pPr>
              <w:pStyle w:val="List2"/>
            </w:pPr>
            <w:r w:rsidRPr="000F7D77">
              <w:t>1.2.</w:t>
            </w:r>
            <w:r w:rsidRPr="000F7D77">
              <w:tab/>
              <w:t>The appropriate sequence for the installation of pipework and pipework assemblies is determi</w:t>
            </w:r>
            <w:r w:rsidRPr="000F7D77">
              <w:t>ned according to the installation type and specifications and other applicable factors.</w:t>
            </w:r>
          </w:p>
          <w:p w:rsidR="00000000" w:rsidP="000F7D77">
            <w:pPr>
              <w:pStyle w:val="List2"/>
              <w:rPr>
                <w:lang w:val="en-NZ"/>
              </w:rPr>
            </w:pPr>
            <w:r w:rsidRPr="000F7D77">
              <w:t>1.3.</w:t>
            </w:r>
            <w:r w:rsidRPr="000F7D77">
              <w:tab/>
              <w:t>The work area is prepared for installation of pipework and pipework assemblies.</w:t>
            </w:r>
          </w:p>
        </w:tc>
      </w:tr>
      <w:tr w:rsidTr="00C11B97">
        <w:tblPrEx>
          <w:tblW w:w="0" w:type="auto"/>
          <w:tblLayout w:type="fixed"/>
          <w:tblCellMar>
            <w:left w:w="62" w:type="dxa"/>
            <w:right w:w="62" w:type="dxa"/>
          </w:tblCellMar>
          <w:tblLook w:val="0000"/>
        </w:tblPrEx>
        <w:tc>
          <w:tcPr>
            <w:tcW w:w="24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7D77">
            <w:pPr>
              <w:pStyle w:val="List"/>
              <w:rPr>
                <w:lang w:val="en-NZ"/>
              </w:rPr>
            </w:pPr>
            <w:r w:rsidRPr="000F7D77">
              <w:t>2.</w:t>
            </w:r>
            <w:r w:rsidRPr="000F7D77">
              <w:tab/>
              <w:t>Prepare pipework and pipework assemblies for assembly</w:t>
            </w:r>
          </w:p>
        </w:tc>
        <w:tc>
          <w:tcPr>
            <w:tcW w:w="60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F7D77" w:rsidP="000F7D77">
            <w:pPr>
              <w:pStyle w:val="List2"/>
            </w:pPr>
            <w:r w:rsidRPr="000F7D77">
              <w:t>2.1.</w:t>
            </w:r>
            <w:r w:rsidRPr="000F7D77">
              <w:tab/>
              <w:t xml:space="preserve">Pipework is cleaned </w:t>
            </w:r>
            <w:r w:rsidRPr="000F7D77">
              <w:t>to standard operating procedures.</w:t>
            </w:r>
          </w:p>
          <w:p w:rsidR="00000000" w:rsidRPr="000F7D77" w:rsidP="000F7D77">
            <w:pPr>
              <w:pStyle w:val="List2"/>
            </w:pPr>
            <w:r w:rsidRPr="000F7D77">
              <w:t>2.2.</w:t>
            </w:r>
            <w:r w:rsidRPr="000F7D77">
              <w:tab/>
              <w:t>Pipework and assemblies are purged to standard operating procedures.</w:t>
            </w:r>
          </w:p>
          <w:p w:rsidR="00000000" w:rsidP="000F7D77">
            <w:pPr>
              <w:pStyle w:val="List2"/>
              <w:rPr>
                <w:lang w:val="en-NZ"/>
              </w:rPr>
            </w:pPr>
            <w:r w:rsidRPr="000F7D77">
              <w:t>2.3.</w:t>
            </w:r>
            <w:r w:rsidRPr="000F7D77">
              <w:tab/>
              <w:t>Pipework and assemblies are capped/sealed.</w:t>
            </w:r>
          </w:p>
        </w:tc>
      </w:tr>
      <w:tr w:rsidTr="00C11B97">
        <w:tblPrEx>
          <w:tblW w:w="0" w:type="auto"/>
          <w:tblLayout w:type="fixed"/>
          <w:tblCellMar>
            <w:left w:w="62" w:type="dxa"/>
            <w:right w:w="62" w:type="dxa"/>
          </w:tblCellMar>
          <w:tblLook w:val="0000"/>
        </w:tblPrEx>
        <w:tc>
          <w:tcPr>
            <w:tcW w:w="24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7D77">
            <w:pPr>
              <w:pStyle w:val="List"/>
              <w:rPr>
                <w:lang w:val="en-NZ"/>
              </w:rPr>
            </w:pPr>
            <w:r w:rsidRPr="000F7D77">
              <w:t>3.</w:t>
            </w:r>
            <w:r w:rsidRPr="000F7D77">
              <w:tab/>
              <w:t>Install pipework and assemblies</w:t>
            </w:r>
          </w:p>
        </w:tc>
        <w:tc>
          <w:tcPr>
            <w:tcW w:w="60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F7D77" w:rsidP="000F7D77">
            <w:pPr>
              <w:pStyle w:val="List2"/>
            </w:pPr>
            <w:r w:rsidRPr="000F7D77">
              <w:t>3.1.</w:t>
            </w:r>
            <w:r w:rsidRPr="000F7D77">
              <w:tab/>
              <w:t>Enclosures/hangers/support systems are installed without da</w:t>
            </w:r>
            <w:r w:rsidRPr="000F7D77">
              <w:t>mage or distortion to the surrounding environment or other services.</w:t>
            </w:r>
          </w:p>
          <w:p w:rsidR="00000000" w:rsidRPr="000F7D77" w:rsidP="000F7D77">
            <w:pPr>
              <w:pStyle w:val="List2"/>
            </w:pPr>
            <w:r w:rsidRPr="000F7D77">
              <w:t>3.2.</w:t>
            </w:r>
            <w:r w:rsidRPr="000F7D77">
              <w:tab/>
              <w:t>Pipework and assemblies are installed without damage or distortion to pipework, assemblies or surrounding environment or other services.</w:t>
            </w:r>
          </w:p>
          <w:p w:rsidR="00000000" w:rsidRPr="000F7D77" w:rsidP="000F7D77">
            <w:pPr>
              <w:pStyle w:val="List2"/>
            </w:pPr>
            <w:r w:rsidRPr="000F7D77">
              <w:t>3.3.</w:t>
            </w:r>
            <w:r w:rsidRPr="000F7D77">
              <w:tab/>
              <w:t>Pipework is leak tested to standard oper</w:t>
            </w:r>
            <w:r w:rsidRPr="000F7D77">
              <w:t>ating procedures.</w:t>
            </w:r>
          </w:p>
          <w:p w:rsidR="00000000" w:rsidRPr="000F7D77" w:rsidP="000F7D77">
            <w:pPr>
              <w:pStyle w:val="List2"/>
            </w:pPr>
            <w:r w:rsidRPr="000F7D77">
              <w:t>3.4.</w:t>
            </w:r>
            <w:r w:rsidRPr="000F7D77">
              <w:tab/>
              <w:t>All ancillary devices and materials are installed to specification according to standard operating procedures.</w:t>
            </w:r>
          </w:p>
        </w:tc>
      </w:tr>
    </w:tbl>
    <w:p w:rsidR="00C11B97" w:rsidP="000F7D77">
      <w:pPr>
        <w:pStyle w:val="BodyText"/>
      </w:pPr>
    </w:p>
    <w:p w:rsidR="00C11B97" w:rsidP="000F7D77">
      <w:pPr>
        <w:pStyle w:val="BodyText"/>
      </w:pPr>
    </w:p>
    <w:p w:rsidR="00000000" w:rsidRPr="000F7D77" w:rsidP="000F7D77">
      <w:pPr>
        <w:pStyle w:val="Heading1"/>
      </w:pPr>
      <w:bookmarkStart w:id="9" w:name="O_260791"/>
      <w:bookmarkEnd w:id="9"/>
      <w:r w:rsidRPr="000F7D77">
        <w:t>Required Skills and Knowledge</w:t>
      </w:r>
    </w:p>
    <w:tbl>
      <w:tblPr>
        <w:tblW w:w="0" w:type="auto"/>
        <w:tblLayout w:type="fixed"/>
        <w:tblCellMar>
          <w:left w:w="62" w:type="dxa"/>
          <w:right w:w="62" w:type="dxa"/>
        </w:tblCellMar>
        <w:tblLook w:val="0000"/>
      </w:tblPr>
      <w:tblGrid>
        <w:gridCol w:w="8522"/>
      </w:tblGrid>
      <w:tr w:rsidTr="00C11B97">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0F7D77">
            <w:pPr>
              <w:pStyle w:val="BodyText"/>
              <w:rPr>
                <w:lang w:val="en-NZ"/>
              </w:rPr>
            </w:pPr>
            <w:r w:rsidRPr="000F7D77">
              <w:rPr>
                <w:rStyle w:val="SpecialBold"/>
              </w:rPr>
              <w:t>REQUIRED SKILLS AND KNOWLEDGE</w:t>
            </w:r>
          </w:p>
        </w:tc>
      </w:tr>
      <w:tr w:rsidTr="00C11B97">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0F7D77">
            <w:pPr>
              <w:pStyle w:val="BodyText"/>
              <w:rPr>
                <w:lang w:val="en-NZ"/>
              </w:rPr>
            </w:pPr>
            <w:r w:rsidRPr="000F7D77">
              <w:t>This section describes the skills and knowledge required for this unit.</w:t>
            </w:r>
          </w:p>
        </w:tc>
      </w:tr>
      <w:tr w:rsidTr="00C11B9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7D77">
            <w:pPr>
              <w:pStyle w:val="BodyText"/>
              <w:rPr>
                <w:lang w:val="en-NZ"/>
              </w:rPr>
            </w:pPr>
            <w:r w:rsidRPr="000F7D77">
              <w:rPr>
                <w:rStyle w:val="SpecialBold"/>
              </w:rPr>
              <w:t>Required skills</w:t>
            </w:r>
          </w:p>
        </w:tc>
      </w:tr>
      <w:tr w:rsidTr="00C11B9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F7D77" w:rsidP="000F7D77">
            <w:pPr>
              <w:pStyle w:val="BodyText"/>
            </w:pPr>
            <w:r w:rsidRPr="000F7D77">
              <w:t>Look for evidence that confirms skills in:</w:t>
            </w:r>
          </w:p>
          <w:p w:rsidR="00000000" w:rsidRPr="000F7D77" w:rsidP="000F7D77">
            <w:pPr>
              <w:pStyle w:val="ListBullet"/>
            </w:pPr>
            <w:r w:rsidRPr="000F7D77">
              <w:t>interpreting and following information on specifications, standard operating procedures and other applicable reference doc</w:t>
            </w:r>
            <w:r w:rsidRPr="000F7D77">
              <w:t>uments</w:t>
            </w:r>
          </w:p>
          <w:p w:rsidR="00000000" w:rsidRPr="000F7D77" w:rsidP="000F7D77">
            <w:pPr>
              <w:pStyle w:val="ListBullet"/>
            </w:pPr>
            <w:r w:rsidRPr="000F7D77">
              <w:t>planning and sequencing installation</w:t>
            </w:r>
          </w:p>
          <w:p w:rsidR="00000000" w:rsidRPr="000F7D77" w:rsidP="000F7D77">
            <w:pPr>
              <w:pStyle w:val="ListBullet"/>
            </w:pPr>
            <w:r w:rsidRPr="000F7D77">
              <w:t>preparing the site</w:t>
            </w:r>
          </w:p>
          <w:p w:rsidR="00000000" w:rsidRPr="000F7D77" w:rsidP="000F7D77">
            <w:pPr>
              <w:pStyle w:val="ListBullet"/>
            </w:pPr>
            <w:r w:rsidRPr="000F7D77">
              <w:t>preparing joining surfaces</w:t>
            </w:r>
          </w:p>
          <w:p w:rsidR="00000000" w:rsidRPr="000F7D77" w:rsidP="000F7D77">
            <w:pPr>
              <w:pStyle w:val="ListBullet"/>
            </w:pPr>
            <w:r w:rsidRPr="000F7D77">
              <w:t>purging pipework and assembly</w:t>
            </w:r>
          </w:p>
          <w:p w:rsidR="00000000" w:rsidRPr="000F7D77" w:rsidP="000F7D77">
            <w:pPr>
              <w:pStyle w:val="ListBullet"/>
            </w:pPr>
            <w:r w:rsidRPr="000F7D77">
              <w:t>capping and sealing pipework and assembly</w:t>
            </w:r>
          </w:p>
          <w:p w:rsidR="00000000" w:rsidRPr="000F7D77" w:rsidP="000F7D77">
            <w:pPr>
              <w:pStyle w:val="ListBullet"/>
            </w:pPr>
            <w:r w:rsidRPr="000F7D77">
              <w:t>installing enclosure/hanging /supporting assemblies</w:t>
            </w:r>
          </w:p>
          <w:p w:rsidR="00000000" w:rsidRPr="000F7D77" w:rsidP="000F7D77">
            <w:pPr>
              <w:pStyle w:val="ListBullet"/>
            </w:pPr>
            <w:r w:rsidRPr="000F7D77">
              <w:t>assembling and installing pipework and ancillaries</w:t>
            </w:r>
          </w:p>
          <w:p w:rsidR="00000000" w:rsidP="000F7D77">
            <w:pPr>
              <w:pStyle w:val="ListBullet"/>
              <w:rPr>
                <w:lang w:val="en-NZ"/>
              </w:rPr>
            </w:pPr>
            <w:r w:rsidRPr="000F7D77">
              <w:t>testing installed pipework and rectifying leaks</w:t>
            </w:r>
          </w:p>
        </w:tc>
      </w:tr>
      <w:tr w:rsidTr="00C11B9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7D77">
            <w:pPr>
              <w:pStyle w:val="BodyText"/>
              <w:rPr>
                <w:lang w:val="en-NZ"/>
              </w:rPr>
            </w:pPr>
            <w:r w:rsidRPr="000F7D77">
              <w:rPr>
                <w:rStyle w:val="SpecialBold"/>
              </w:rPr>
              <w:t>Required knowledge</w:t>
            </w:r>
          </w:p>
        </w:tc>
      </w:tr>
      <w:tr w:rsidTr="00C11B9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F7D77" w:rsidP="000F7D77">
            <w:pPr>
              <w:pStyle w:val="BodyText"/>
            </w:pPr>
            <w:r w:rsidRPr="000F7D77">
              <w:t>Look for evidence that confirms knowledge of:</w:t>
            </w:r>
          </w:p>
          <w:p w:rsidR="00000000" w:rsidRPr="000F7D77" w:rsidP="000F7D77">
            <w:pPr>
              <w:pStyle w:val="ListBullet"/>
            </w:pPr>
            <w:r w:rsidRPr="000F7D77">
              <w:t>installation techniques</w:t>
            </w:r>
          </w:p>
          <w:p w:rsidR="00000000" w:rsidRPr="000F7D77" w:rsidP="000F7D77">
            <w:pPr>
              <w:pStyle w:val="ListBullet"/>
            </w:pPr>
            <w:r w:rsidRPr="000F7D77">
              <w:t>site and safety requirements</w:t>
            </w:r>
          </w:p>
          <w:p w:rsidR="00000000" w:rsidRPr="000F7D77" w:rsidP="000F7D77">
            <w:pPr>
              <w:pStyle w:val="ListBullet"/>
            </w:pPr>
            <w:r w:rsidRPr="000F7D77">
              <w:t>cleaning procedures and the applicat</w:t>
            </w:r>
            <w:r w:rsidRPr="000F7D77">
              <w:t>ions and precautions for using solvents/cleaning material</w:t>
            </w:r>
          </w:p>
          <w:p w:rsidR="00000000" w:rsidRPr="000F7D77" w:rsidP="000F7D77">
            <w:pPr>
              <w:pStyle w:val="ListBullet"/>
            </w:pPr>
            <w:r w:rsidRPr="000F7D77">
              <w:t>purging techniques, applications and precautions</w:t>
            </w:r>
          </w:p>
          <w:p w:rsidR="00000000" w:rsidRPr="000F7D77" w:rsidP="000F7D77">
            <w:pPr>
              <w:pStyle w:val="ListBullet"/>
            </w:pPr>
            <w:r w:rsidRPr="000F7D77">
              <w:t>capping/sealing pipework and assembly methods</w:t>
            </w:r>
          </w:p>
          <w:p w:rsidR="00000000" w:rsidRPr="000F7D77" w:rsidP="000F7D77">
            <w:pPr>
              <w:pStyle w:val="ListBullet"/>
            </w:pPr>
            <w:r w:rsidRPr="000F7D77">
              <w:t>identification of location/layout of pipework and assemblies a</w:t>
            </w:r>
            <w:r w:rsidRPr="000F7D77">
              <w:t>nd application and characteristics of enclosure/hanging/supporting systems</w:t>
            </w:r>
          </w:p>
          <w:p w:rsidR="00000000" w:rsidRPr="000F7D77" w:rsidP="000F7D77">
            <w:pPr>
              <w:pStyle w:val="ListBullet"/>
            </w:pPr>
            <w:r w:rsidRPr="000F7D77">
              <w:t>pipework, ancillary installation and joining procedures</w:t>
            </w:r>
          </w:p>
          <w:p w:rsidR="00000000" w:rsidRPr="000F7D77" w:rsidP="000F7D77">
            <w:pPr>
              <w:pStyle w:val="ListBullet"/>
            </w:pPr>
            <w:r w:rsidRPr="000F7D77">
              <w:t>leak testing applications and uses</w:t>
            </w:r>
          </w:p>
          <w:p w:rsidR="00000000" w:rsidRPr="000F7D77" w:rsidP="000F7D77">
            <w:pPr>
              <w:pStyle w:val="ListBullet"/>
            </w:pPr>
            <w:r w:rsidRPr="000F7D77">
              <w:t>regulations and legislative requirements</w:t>
            </w:r>
          </w:p>
          <w:p w:rsidR="00000000" w:rsidRPr="000F7D77" w:rsidP="000F7D77">
            <w:pPr>
              <w:pStyle w:val="ListBullet"/>
            </w:pPr>
            <w:r w:rsidRPr="000F7D77">
              <w:t>hazards and control measures</w:t>
            </w:r>
          </w:p>
          <w:p w:rsidR="00000000" w:rsidRPr="000F7D77" w:rsidP="000F7D77">
            <w:pPr>
              <w:pStyle w:val="ListBullet"/>
            </w:pPr>
            <w:r w:rsidRPr="000F7D77">
              <w:t xml:space="preserve">use and application </w:t>
            </w:r>
            <w:r w:rsidRPr="000F7D77">
              <w:t>of personal protective equipment</w:t>
            </w:r>
          </w:p>
          <w:p w:rsidR="00000000" w:rsidRPr="000F7D77" w:rsidP="000F7D77">
            <w:pPr>
              <w:pStyle w:val="ListBullet"/>
            </w:pPr>
            <w:r w:rsidRPr="000F7D77">
              <w:t>safe work practices and procedures</w:t>
            </w:r>
          </w:p>
        </w:tc>
      </w:tr>
    </w:tbl>
    <w:p w:rsidR="00C11B97" w:rsidP="000F7D77">
      <w:pPr>
        <w:pStyle w:val="BodyText"/>
      </w:pPr>
    </w:p>
    <w:p w:rsidR="00C11B97" w:rsidP="000F7D77">
      <w:pPr>
        <w:pStyle w:val="BodyText"/>
      </w:pPr>
    </w:p>
    <w:p w:rsidR="00000000" w:rsidRPr="000F7D77" w:rsidP="000F7D77">
      <w:pPr>
        <w:pStyle w:val="AllowPageBreak"/>
      </w:pPr>
    </w:p>
    <w:p w:rsidR="00000000" w:rsidRPr="000F7D77" w:rsidP="000F7D77">
      <w:pPr>
        <w:pStyle w:val="Heading1"/>
      </w:pPr>
      <w:bookmarkStart w:id="10" w:name="O_244825"/>
      <w:bookmarkEnd w:id="10"/>
      <w:r w:rsidRPr="000F7D77">
        <w:t>Evidence Guide</w:t>
      </w:r>
    </w:p>
    <w:tbl>
      <w:tblPr>
        <w:tblW w:w="9570" w:type="dxa"/>
        <w:tblLayout w:type="fixed"/>
        <w:tblCellMar>
          <w:left w:w="62" w:type="dxa"/>
          <w:right w:w="62" w:type="dxa"/>
        </w:tblCellMar>
        <w:tblLook w:val="0000"/>
      </w:tblPr>
      <w:tblGrid>
        <w:gridCol w:w="3908"/>
        <w:gridCol w:w="5662"/>
      </w:tblGrid>
      <w:tr w:rsidTr="00C11B97">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7D77">
            <w:pPr>
              <w:pStyle w:val="BodyText"/>
              <w:rPr>
                <w:lang w:val="en-NZ"/>
              </w:rPr>
            </w:pPr>
            <w:r w:rsidRPr="000F7D77">
              <w:rPr>
                <w:rStyle w:val="SpecialBold"/>
              </w:rPr>
              <w:t>EVIDENCE GUIDE</w:t>
            </w:r>
          </w:p>
        </w:tc>
      </w:tr>
      <w:tr w:rsidTr="00C11B97">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7D77">
            <w:pPr>
              <w:pStyle w:val="BodyText"/>
              <w:rPr>
                <w:lang w:val="en-NZ"/>
              </w:rPr>
            </w:pPr>
            <w:r w:rsidRPr="000F7D77">
              <w:t>The evidence guide provides advice on assessment and must be read in conjunction with the performance criteria, required skills and knowledge, range statement and the Assessment Guidelines for the Training Package.</w:t>
            </w:r>
          </w:p>
        </w:tc>
      </w:tr>
      <w:tr w:rsidTr="00C11B9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7D77">
            <w:pPr>
              <w:pStyle w:val="BodyText"/>
              <w:rPr>
                <w:lang w:val="en-NZ"/>
              </w:rPr>
            </w:pPr>
            <w:r w:rsidRPr="000F7D77">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7D77">
            <w:pPr>
              <w:pStyle w:val="BodyText"/>
              <w:rPr>
                <w:lang w:val="en-NZ"/>
              </w:rPr>
            </w:pPr>
            <w:r w:rsidRPr="000F7D77">
              <w:t>A p</w:t>
            </w:r>
            <w:r w:rsidRPr="000F7D77">
              <w:t>erson who demonstrates competency in this unit must be able to install pipework and pipework assemblies in accordance with standard operating procedures. Competency in this unit cannot be claimed until all prerequisites have been satisfied.</w:t>
            </w:r>
          </w:p>
        </w:tc>
      </w:tr>
      <w:tr w:rsidTr="00C11B9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7D77">
            <w:pPr>
              <w:pStyle w:val="BodyText"/>
              <w:rPr>
                <w:lang w:val="en-NZ"/>
              </w:rPr>
            </w:pPr>
            <w:r w:rsidRPr="000F7D77">
              <w:rPr>
                <w:rStyle w:val="SpecialBold"/>
              </w:rPr>
              <w:t>Critical aspec</w:t>
            </w:r>
            <w:r w:rsidRPr="000F7D77">
              <w:rPr>
                <w:rStyle w:val="SpecialBold"/>
              </w:rPr>
              <w:t>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7D77">
            <w:pPr>
              <w:pStyle w:val="BodyText"/>
              <w:rPr>
                <w:lang w:val="en-NZ"/>
              </w:rPr>
            </w:pPr>
            <w:r w:rsidRPr="000F7D77">
              <w:t xml:space="preserve">Assessors must be satisfied that the candidate can competently and consistently perform all elements of the unit as specified by the criteria, including required knowledge, and </w:t>
            </w:r>
            <w:r w:rsidRPr="000F7D77">
              <w:t>be capable of applying the competency in new and different situations and contexts.</w:t>
            </w:r>
          </w:p>
        </w:tc>
      </w:tr>
      <w:tr w:rsidTr="00C11B9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7D77">
            <w:pPr>
              <w:pStyle w:val="BodyText"/>
              <w:rPr>
                <w:lang w:val="en-NZ"/>
              </w:rPr>
            </w:pPr>
            <w:r w:rsidRPr="000F7D77">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F7D77" w:rsidP="000F7D77">
            <w:pPr>
              <w:pStyle w:val="BodyText"/>
            </w:pPr>
            <w:r w:rsidRPr="000F7D77">
              <w:t>This unit may be assessed on the job, off the job or a combination of both on and off the job. Where assessment occurs off</w:t>
            </w:r>
            <w:r w:rsidRPr="000F7D77">
              <w:t xml:space="preserve"> the job, that is the candidate is not in productive work, then an appropriate simulation must be used where the range of conditions reflects realistic workplace situations. The competencies covered by this unit would be demonstrated by an individual worki</w:t>
            </w:r>
            <w:r w:rsidRPr="000F7D77">
              <w:t xml:space="preserve">ng alone or as part of a team. The assessment environment should not disadvantage the candidate. </w:t>
            </w:r>
          </w:p>
          <w:p w:rsidR="00000000" w:rsidP="000F7D77">
            <w:pPr>
              <w:pStyle w:val="BodyText"/>
              <w:rPr>
                <w:lang w:val="en-NZ"/>
              </w:rPr>
            </w:pPr>
            <w:r w:rsidRPr="000F7D77">
              <w:t>This unit could be assessed in conjunction with any other units addressing the safety, quality, communication, materials handling, recording and reporting ass</w:t>
            </w:r>
            <w:r w:rsidRPr="000F7D77">
              <w:t>ociated with installing pipework and pipework assemblies or other units requiring the exercise of the skills and knowledge covered by this unit.</w:t>
            </w:r>
          </w:p>
        </w:tc>
      </w:tr>
      <w:tr w:rsidTr="00C11B9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7D77">
            <w:pPr>
              <w:pStyle w:val="BodyText"/>
              <w:rPr>
                <w:lang w:val="en-NZ"/>
              </w:rPr>
            </w:pPr>
            <w:r w:rsidRPr="000F7D77">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7D77">
            <w:pPr>
              <w:pStyle w:val="BodyText"/>
              <w:rPr>
                <w:lang w:val="en-NZ"/>
              </w:rPr>
            </w:pPr>
            <w:r w:rsidRPr="000F7D77">
              <w:t>Assessors should gather a range of evidence that is valid, sufficient, current and authen</w:t>
            </w:r>
            <w:r w:rsidRPr="000F7D77">
              <w:t>tic. Evidence can be gathered through a variety of ways including direct observation, supervisor's reports, project work, samples and questioning. Questioning techniques should not require language, literacy and numeracy skills beyond those required in thi</w:t>
            </w:r>
            <w:r w:rsidRPr="000F7D77">
              <w:t>s unit of competency. The candidate must have access to all tools, equipment, materials and documentation required. The candidate must be permitted to refer to any relevant workplace procedures, product and manufacturing specifications, codes, standards, m</w:t>
            </w:r>
            <w:r w:rsidRPr="000F7D77">
              <w:t>anuals and reference materials.</w:t>
            </w:r>
          </w:p>
        </w:tc>
      </w:tr>
      <w:tr w:rsidTr="00C11B9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7D77">
            <w:pPr>
              <w:pStyle w:val="BodyText"/>
              <w:rPr>
                <w:lang w:val="en-NZ"/>
              </w:rPr>
            </w:pPr>
            <w:r w:rsidRPr="000F7D77">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F7D77" w:rsidP="000F7D77">
            <w:pPr>
              <w:pStyle w:val="BodyText"/>
            </w:pPr>
          </w:p>
        </w:tc>
      </w:tr>
    </w:tbl>
    <w:p w:rsidR="00C11B97" w:rsidP="000F7D77">
      <w:pPr>
        <w:pStyle w:val="BodyText"/>
      </w:pPr>
    </w:p>
    <w:p w:rsidR="00C11B97" w:rsidP="000F7D77">
      <w:pPr>
        <w:pStyle w:val="BodyText"/>
      </w:pPr>
    </w:p>
    <w:p w:rsidR="00000000" w:rsidRPr="000F7D77" w:rsidP="000F7D77">
      <w:pPr>
        <w:pStyle w:val="Heading1"/>
      </w:pPr>
      <w:bookmarkStart w:id="11" w:name="O_252808"/>
      <w:bookmarkEnd w:id="11"/>
      <w:r w:rsidRPr="000F7D77">
        <w:t>Range Statement</w:t>
      </w:r>
    </w:p>
    <w:tbl>
      <w:tblPr>
        <w:tblW w:w="0" w:type="auto"/>
        <w:tblLayout w:type="fixed"/>
        <w:tblCellMar>
          <w:left w:w="62" w:type="dxa"/>
          <w:right w:w="62" w:type="dxa"/>
        </w:tblCellMar>
        <w:tblLook w:val="0000"/>
      </w:tblPr>
      <w:tblGrid>
        <w:gridCol w:w="3519"/>
        <w:gridCol w:w="5003"/>
      </w:tblGrid>
      <w:tr w:rsidTr="00C11B97">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7D77">
            <w:pPr>
              <w:pStyle w:val="BodyText"/>
              <w:rPr>
                <w:lang w:val="en-NZ"/>
              </w:rPr>
            </w:pPr>
            <w:r w:rsidRPr="000F7D77">
              <w:rPr>
                <w:rStyle w:val="SpecialBold"/>
              </w:rPr>
              <w:t>RANGE STATEMENT</w:t>
            </w:r>
          </w:p>
        </w:tc>
      </w:tr>
      <w:tr w:rsidTr="00C11B97">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7D77">
            <w:pPr>
              <w:pStyle w:val="BodyText"/>
              <w:rPr>
                <w:lang w:val="en-NZ"/>
              </w:rPr>
            </w:pPr>
            <w:r w:rsidRPr="000F7D77">
              <w:t>The range statement relates to the unit of competency as a whole. It allows for different work environments and situations that may affect performance. Bold italicised wording, if used in the performance criteria, is detailed below. Essential operating con</w:t>
            </w:r>
            <w:r w:rsidRPr="000F7D77">
              <w:t>ditions that may be present with training and assessment (depending on the work situation, needs of the candidate, accessibility of the item, and local industry and regional contexts) may also be included.</w:t>
            </w:r>
          </w:p>
        </w:tc>
      </w:tr>
      <w:tr w:rsidTr="00C11B97">
        <w:tblPrEx>
          <w:tblW w:w="0" w:type="auto"/>
          <w:tblLayout w:type="fixed"/>
          <w:tblCellMar>
            <w:left w:w="62" w:type="dxa"/>
            <w:right w:w="62" w:type="dxa"/>
          </w:tblCellMar>
          <w:tblLook w:val="0000"/>
        </w:tblPrEx>
        <w:tc>
          <w:tcPr>
            <w:tcW w:w="35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7D77">
            <w:pPr>
              <w:pStyle w:val="BodyText"/>
              <w:rPr>
                <w:lang w:val="en-NZ"/>
              </w:rPr>
            </w:pPr>
            <w:r w:rsidRPr="000F7D77">
              <w:rPr>
                <w:rStyle w:val="SpecialBold"/>
              </w:rPr>
              <w:t>Pipework and pipework assemblies</w:t>
            </w:r>
          </w:p>
        </w:tc>
        <w:tc>
          <w:tcPr>
            <w:tcW w:w="50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F7D77" w:rsidP="000F7D77">
            <w:pPr>
              <w:pStyle w:val="ListBullet"/>
            </w:pPr>
            <w:r w:rsidRPr="000F7D77">
              <w:t>Ferrous, non-f</w:t>
            </w:r>
            <w:r w:rsidRPr="000F7D77">
              <w:t>errous, plastic, etc.</w:t>
            </w:r>
          </w:p>
          <w:p w:rsidR="00000000" w:rsidRPr="000F7D77" w:rsidP="000F7D77">
            <w:pPr>
              <w:pStyle w:val="ListBullet"/>
            </w:pPr>
            <w:r w:rsidRPr="000F7D77">
              <w:t>Variety of sizes and or wall thickness</w:t>
            </w:r>
          </w:p>
          <w:p w:rsidR="00000000" w:rsidP="000F7D77">
            <w:pPr>
              <w:pStyle w:val="ListBullet"/>
              <w:rPr>
                <w:lang w:val="en-NZ"/>
              </w:rPr>
            </w:pPr>
            <w:r w:rsidRPr="000F7D77">
              <w:t>Variety of joining systems such as collars, unions, flanges, etc.</w:t>
            </w:r>
          </w:p>
        </w:tc>
      </w:tr>
      <w:tr w:rsidTr="00C11B97">
        <w:tblPrEx>
          <w:tblW w:w="0" w:type="auto"/>
          <w:tblLayout w:type="fixed"/>
          <w:tblCellMar>
            <w:left w:w="62" w:type="dxa"/>
            <w:right w:w="62" w:type="dxa"/>
          </w:tblCellMar>
          <w:tblLook w:val="0000"/>
        </w:tblPrEx>
        <w:tc>
          <w:tcPr>
            <w:tcW w:w="35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7D77">
            <w:pPr>
              <w:pStyle w:val="BodyText"/>
              <w:rPr>
                <w:lang w:val="en-NZ"/>
              </w:rPr>
            </w:pPr>
            <w:r w:rsidRPr="000F7D77">
              <w:rPr>
                <w:rStyle w:val="SpecialBold"/>
              </w:rPr>
              <w:t>Enclosures</w:t>
            </w:r>
          </w:p>
        </w:tc>
        <w:tc>
          <w:tcPr>
            <w:tcW w:w="50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7D77">
            <w:pPr>
              <w:pStyle w:val="BodyText"/>
              <w:rPr>
                <w:lang w:val="en-NZ"/>
              </w:rPr>
            </w:pPr>
            <w:r w:rsidRPr="000F7D77">
              <w:t>Metal and PVC</w:t>
            </w:r>
          </w:p>
        </w:tc>
      </w:tr>
      <w:tr w:rsidTr="00C11B97">
        <w:tblPrEx>
          <w:tblW w:w="0" w:type="auto"/>
          <w:tblLayout w:type="fixed"/>
          <w:tblCellMar>
            <w:left w:w="62" w:type="dxa"/>
            <w:right w:w="62" w:type="dxa"/>
          </w:tblCellMar>
          <w:tblLook w:val="0000"/>
        </w:tblPrEx>
        <w:tc>
          <w:tcPr>
            <w:tcW w:w="35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7D77">
            <w:pPr>
              <w:pStyle w:val="BodyText"/>
              <w:rPr>
                <w:lang w:val="en-NZ"/>
              </w:rPr>
            </w:pPr>
            <w:r w:rsidRPr="000F7D77">
              <w:rPr>
                <w:rStyle w:val="SpecialBold"/>
              </w:rPr>
              <w:t>Hangers and support systems</w:t>
            </w:r>
          </w:p>
        </w:tc>
        <w:tc>
          <w:tcPr>
            <w:tcW w:w="50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7D77">
            <w:pPr>
              <w:pStyle w:val="BodyText"/>
              <w:rPr>
                <w:lang w:val="en-NZ"/>
              </w:rPr>
            </w:pPr>
            <w:r w:rsidRPr="000F7D77">
              <w:t>Pipe/tube bundle support, ties, unistrut, trays, ladder racks, ducts etc.</w:t>
            </w:r>
          </w:p>
        </w:tc>
      </w:tr>
      <w:tr w:rsidTr="00C11B97">
        <w:tblPrEx>
          <w:tblW w:w="0" w:type="auto"/>
          <w:tblLayout w:type="fixed"/>
          <w:tblCellMar>
            <w:left w:w="62" w:type="dxa"/>
            <w:right w:w="62" w:type="dxa"/>
          </w:tblCellMar>
          <w:tblLook w:val="0000"/>
        </w:tblPrEx>
        <w:tc>
          <w:tcPr>
            <w:tcW w:w="35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7D77">
            <w:pPr>
              <w:pStyle w:val="BodyText"/>
              <w:rPr>
                <w:lang w:val="en-NZ"/>
              </w:rPr>
            </w:pPr>
            <w:r w:rsidRPr="000F7D77">
              <w:rPr>
                <w:rStyle w:val="SpecialBold"/>
              </w:rPr>
              <w:t>Leak test</w:t>
            </w:r>
          </w:p>
        </w:tc>
        <w:tc>
          <w:tcPr>
            <w:tcW w:w="50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7D77">
            <w:pPr>
              <w:pStyle w:val="BodyText"/>
              <w:rPr>
                <w:lang w:val="en-NZ"/>
              </w:rPr>
            </w:pPr>
            <w:r w:rsidRPr="000F7D77">
              <w:t>Soapy water, water immersion, compressed air</w:t>
            </w:r>
          </w:p>
        </w:tc>
      </w:tr>
      <w:tr w:rsidTr="00C11B97">
        <w:tblPrEx>
          <w:tblW w:w="0" w:type="auto"/>
          <w:tblLayout w:type="fixed"/>
          <w:tblCellMar>
            <w:left w:w="62" w:type="dxa"/>
            <w:right w:w="62" w:type="dxa"/>
          </w:tblCellMar>
          <w:tblLook w:val="0000"/>
        </w:tblPrEx>
        <w:tc>
          <w:tcPr>
            <w:tcW w:w="35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7D77">
            <w:pPr>
              <w:pStyle w:val="BodyText"/>
              <w:rPr>
                <w:lang w:val="en-NZ"/>
              </w:rPr>
            </w:pPr>
            <w:r w:rsidRPr="000F7D77">
              <w:rPr>
                <w:rStyle w:val="SpecialBold"/>
              </w:rPr>
              <w:t>Ancillary devices and materials</w:t>
            </w:r>
          </w:p>
        </w:tc>
        <w:tc>
          <w:tcPr>
            <w:tcW w:w="50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7D77">
            <w:pPr>
              <w:pStyle w:val="BodyText"/>
              <w:rPr>
                <w:lang w:val="en-NZ"/>
              </w:rPr>
            </w:pPr>
            <w:r w:rsidRPr="000F7D77">
              <w:t>Insulation materials, valve control systems, etc.</w:t>
            </w:r>
          </w:p>
        </w:tc>
      </w:tr>
      <w:tr w:rsidTr="00C11B97">
        <w:tblPrEx>
          <w:tblW w:w="0" w:type="auto"/>
          <w:tblLayout w:type="fixed"/>
          <w:tblCellMar>
            <w:left w:w="62" w:type="dxa"/>
            <w:right w:w="62" w:type="dxa"/>
          </w:tblCellMar>
          <w:tblLook w:val="0000"/>
        </w:tblPrEx>
        <w:tc>
          <w:tcPr>
            <w:tcW w:w="35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7D77">
            <w:pPr>
              <w:pStyle w:val="BodyText"/>
              <w:rPr>
                <w:lang w:val="en-NZ"/>
              </w:rPr>
            </w:pPr>
            <w:r w:rsidRPr="000F7D77">
              <w:rPr>
                <w:rStyle w:val="SpecialBold"/>
              </w:rPr>
              <w:t>Legislation and regulations</w:t>
            </w:r>
          </w:p>
        </w:tc>
        <w:tc>
          <w:tcPr>
            <w:tcW w:w="50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F7D77" w:rsidP="000F7D77">
            <w:pPr>
              <w:pStyle w:val="BodyText"/>
            </w:pPr>
            <w:r w:rsidRPr="000F7D77">
              <w:t>Building regulations, gas/fluid pipeline regulations</w:t>
            </w:r>
          </w:p>
        </w:tc>
      </w:tr>
    </w:tbl>
    <w:p w:rsidR="00C11B97" w:rsidP="000F7D77">
      <w:pPr>
        <w:pStyle w:val="BodyText"/>
      </w:pPr>
    </w:p>
    <w:p w:rsidR="00C11B97" w:rsidP="000F7D77">
      <w:pPr>
        <w:pStyle w:val="BodyText"/>
      </w:pPr>
    </w:p>
    <w:p w:rsidR="00000000" w:rsidRPr="000F7D77" w:rsidP="000F7D77">
      <w:pPr>
        <w:pStyle w:val="Heading1"/>
      </w:pPr>
      <w:bookmarkStart w:id="12" w:name="O_211340"/>
      <w:bookmarkEnd w:id="12"/>
      <w:r w:rsidRPr="000F7D77">
        <w:t>Unit Sector(s)</w:t>
      </w:r>
    </w:p>
    <w:tbl>
      <w:tblPr>
        <w:tblW w:w="0" w:type="auto"/>
        <w:tblLayout w:type="fixed"/>
        <w:tblCellMar>
          <w:left w:w="62" w:type="dxa"/>
          <w:right w:w="62" w:type="dxa"/>
        </w:tblCellMar>
        <w:tblLook w:val="0000"/>
      </w:tblPr>
      <w:tblGrid>
        <w:gridCol w:w="2645"/>
        <w:gridCol w:w="5877"/>
      </w:tblGrid>
      <w:tr w:rsidTr="00C11B97">
        <w:tblPrEx>
          <w:tblW w:w="0" w:type="auto"/>
          <w:tblLayout w:type="fixed"/>
          <w:tblCellMar>
            <w:left w:w="62" w:type="dxa"/>
            <w:right w:w="62" w:type="dxa"/>
          </w:tblCellMar>
          <w:tblLook w:val="0000"/>
        </w:tblPrEx>
        <w:trPr>
          <w:tblHeader/>
        </w:trPr>
        <w:tc>
          <w:tcPr>
            <w:tcW w:w="26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7D77">
            <w:pPr>
              <w:pStyle w:val="BodyText"/>
              <w:rPr>
                <w:lang w:val="en-NZ"/>
              </w:rPr>
            </w:pPr>
            <w:r w:rsidRPr="000F7D77">
              <w:rPr>
                <w:rStyle w:val="SpecialBold"/>
              </w:rPr>
              <w:t>Unit sector</w:t>
            </w:r>
          </w:p>
        </w:tc>
        <w:tc>
          <w:tcPr>
            <w:tcW w:w="58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F7D77" w:rsidP="000F7D77">
            <w:pPr>
              <w:pStyle w:val="BodyText"/>
            </w:pPr>
          </w:p>
        </w:tc>
      </w:tr>
    </w:tbl>
    <w:p w:rsidR="00C11B97" w:rsidP="000F7D77">
      <w:pPr>
        <w:pStyle w:val="BodyText"/>
      </w:pPr>
    </w:p>
    <w:p w:rsidR="00C11B97" w:rsidP="000F7D77">
      <w:pPr>
        <w:pStyle w:val="BodyText"/>
      </w:pPr>
    </w:p>
    <w:p w:rsidR="00000000" w:rsidRPr="000F7D77" w:rsidP="000F7D77">
      <w:pPr>
        <w:pStyle w:val="Heading1"/>
      </w:pPr>
      <w:bookmarkStart w:id="13" w:name="O_211337"/>
      <w:bookmarkEnd w:id="13"/>
      <w:r w:rsidRPr="000F7D77">
        <w:t>Co-requisite units</w:t>
      </w:r>
    </w:p>
    <w:tbl>
      <w:tblPr>
        <w:tblW w:w="0" w:type="auto"/>
        <w:tblLayout w:type="fixed"/>
        <w:tblCellMar>
          <w:left w:w="62" w:type="dxa"/>
          <w:right w:w="62" w:type="dxa"/>
        </w:tblCellMar>
        <w:tblLook w:val="0000"/>
      </w:tblPr>
      <w:tblGrid>
        <w:gridCol w:w="2632"/>
        <w:gridCol w:w="1376"/>
        <w:gridCol w:w="4514"/>
      </w:tblGrid>
      <w:tr w:rsidTr="00C11B97">
        <w:tblPrEx>
          <w:tblW w:w="0" w:type="auto"/>
          <w:tblLayout w:type="fixed"/>
          <w:tblCellMar>
            <w:left w:w="62" w:type="dxa"/>
            <w:right w:w="62" w:type="dxa"/>
          </w:tblCellMar>
          <w:tblLook w:val="0000"/>
        </w:tblPrEx>
        <w:trPr>
          <w:tblHeader/>
        </w:trPr>
        <w:tc>
          <w:tcPr>
            <w:tcW w:w="26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7D77">
            <w:pPr>
              <w:pStyle w:val="BodyText"/>
              <w:rPr>
                <w:lang w:val="en-NZ"/>
              </w:rPr>
            </w:pPr>
            <w:r w:rsidRPr="000F7D77">
              <w:rPr>
                <w:rStyle w:val="SpecialBold"/>
              </w:rPr>
              <w:t>Co-requisite units</w:t>
            </w:r>
          </w:p>
        </w:tc>
        <w:tc>
          <w:tcPr>
            <w:tcW w:w="589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7D77">
            <w:pPr>
              <w:pStyle w:val="BodyText"/>
              <w:rPr>
                <w:lang w:val="en-NZ"/>
              </w:rPr>
            </w:pPr>
          </w:p>
        </w:tc>
      </w:tr>
      <w:tr w:rsidTr="00C11B97">
        <w:tblPrEx>
          <w:tblW w:w="0" w:type="auto"/>
          <w:tblLayout w:type="fixed"/>
          <w:tblCellMar>
            <w:left w:w="62" w:type="dxa"/>
            <w:right w:w="62" w:type="dxa"/>
          </w:tblCellMar>
          <w:tblLook w:val="0000"/>
        </w:tblPrEx>
        <w:tc>
          <w:tcPr>
            <w:tcW w:w="26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7D77">
            <w:pPr>
              <w:pStyle w:val="BodyText"/>
              <w:rPr>
                <w:lang w:val="en-NZ"/>
              </w:rPr>
            </w:pPr>
          </w:p>
        </w:tc>
      </w:tr>
      <w:tr w:rsidTr="00C11B97">
        <w:tblPrEx>
          <w:tblW w:w="0" w:type="auto"/>
          <w:tblLayout w:type="fixed"/>
          <w:tblCellMar>
            <w:left w:w="62" w:type="dxa"/>
            <w:right w:w="62" w:type="dxa"/>
          </w:tblCellMar>
          <w:tblLook w:val="0000"/>
        </w:tblPrEx>
        <w:tc>
          <w:tcPr>
            <w:tcW w:w="26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F7D77" w:rsidP="000F7D77">
            <w:pPr>
              <w:pStyle w:val="BodyText"/>
            </w:pPr>
          </w:p>
        </w:tc>
      </w:tr>
    </w:tbl>
    <w:p w:rsidR="00C11B97" w:rsidP="000F7D77">
      <w:pPr>
        <w:pStyle w:val="BodyText"/>
      </w:pPr>
    </w:p>
    <w:p w:rsidR="00C11B97" w:rsidP="000F7D77">
      <w:pPr>
        <w:pStyle w:val="BodyText"/>
      </w:pPr>
    </w:p>
    <w:p w:rsidR="00000000" w:rsidRPr="000F7D77" w:rsidP="000F7D77">
      <w:pPr>
        <w:pStyle w:val="Heading1"/>
      </w:pPr>
      <w:bookmarkStart w:id="14" w:name="O_211339"/>
      <w:bookmarkEnd w:id="14"/>
      <w:r w:rsidRPr="000F7D77">
        <w:t>Competency field</w:t>
      </w:r>
    </w:p>
    <w:tbl>
      <w:tblPr>
        <w:tblW w:w="0" w:type="auto"/>
        <w:tblLayout w:type="fixed"/>
        <w:tblCellMar>
          <w:left w:w="62" w:type="dxa"/>
          <w:right w:w="62" w:type="dxa"/>
        </w:tblCellMar>
        <w:tblLook w:val="0000"/>
      </w:tblPr>
      <w:tblGrid>
        <w:gridCol w:w="2767"/>
        <w:gridCol w:w="5755"/>
      </w:tblGrid>
      <w:tr w:rsidTr="00C11B97">
        <w:tblPrEx>
          <w:tblW w:w="0" w:type="auto"/>
          <w:tblLayout w:type="fixed"/>
          <w:tblCellMar>
            <w:left w:w="62" w:type="dxa"/>
            <w:right w:w="62" w:type="dxa"/>
          </w:tblCellMar>
          <w:tblLook w:val="0000"/>
        </w:tblPrEx>
        <w:trPr>
          <w:tblHeader/>
        </w:trPr>
        <w:tc>
          <w:tcPr>
            <w:tcW w:w="27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7D77">
            <w:pPr>
              <w:pStyle w:val="BodyText"/>
              <w:rPr>
                <w:lang w:val="en-NZ"/>
              </w:rPr>
            </w:pPr>
            <w:r w:rsidRPr="000F7D77">
              <w:rPr>
                <w:rStyle w:val="SpecialBold"/>
              </w:rPr>
              <w:t>Competency field</w:t>
            </w:r>
          </w:p>
        </w:tc>
        <w:tc>
          <w:tcPr>
            <w:tcW w:w="57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F7D77" w:rsidP="000F7D77">
            <w:pPr>
              <w:pStyle w:val="BodyText"/>
            </w:pPr>
            <w:r w:rsidRPr="000F7D77">
              <w:t>Installation and commissioning</w:t>
            </w:r>
          </w:p>
        </w:tc>
      </w:tr>
    </w:tbl>
    <w:p w:rsidR="00C11B97" w:rsidP="000F7D77">
      <w:pPr>
        <w:pStyle w:val="BodyText"/>
      </w:pPr>
    </w:p>
    <w:p w:rsidR="00C11B97" w:rsidP="000F7D77">
      <w:pPr>
        <w:pStyle w:val="BodyText"/>
      </w:pPr>
    </w:p>
    <w:p w:rsidR="00000000" w:rsidRPr="000F7D77" w:rsidP="000F7D77"/>
    <w:sectPr w:rsidSect="000F7D7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7D7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11B97" w:rsidP="00C11B9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7D7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1B97" w:rsidP="000F7D7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C11B97" w:rsidP="000F7D7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C11B97" w:rsidP="000F7D7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7D7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11B97" w:rsidP="00C11B97">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7D7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1B97" w:rsidP="000F7D77">
    <w:pPr>
      <w:pStyle w:val="Header"/>
      <w:framePr w:wrap="around"/>
    </w:pPr>
    <w:r>
      <w:fldChar w:fldCharType="begin"/>
    </w:r>
    <w:r>
      <w:instrText xml:space="preserve"> TITLE   \* MERGEFORMAT </w:instrText>
    </w:r>
    <w:r>
      <w:fldChar w:fldCharType="separate"/>
    </w:r>
    <w:r>
      <w:t>MEM10010B Install pipework and pipework assemblies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C11B97" w:rsidP="000F7D77">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51627FE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3D4E27E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F7D77"/>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0F7D77"/>
    <w:pPr>
      <w:spacing w:before="360" w:after="60"/>
      <w:outlineLvl w:val="0"/>
    </w:pPr>
    <w:rPr>
      <w:sz w:val="32"/>
    </w:rPr>
  </w:style>
  <w:style w:type="paragraph" w:styleId="Heading2">
    <w:name w:val="heading 2"/>
    <w:basedOn w:val="HeadingBase"/>
    <w:next w:val="BodyText"/>
    <w:link w:val="Heading2Char"/>
    <w:qFormat/>
    <w:rsid w:val="000F7D77"/>
    <w:pPr>
      <w:keepLines/>
      <w:spacing w:before="240" w:after="120"/>
      <w:outlineLvl w:val="1"/>
    </w:pPr>
    <w:rPr>
      <w:sz w:val="28"/>
      <w:szCs w:val="40"/>
    </w:rPr>
  </w:style>
  <w:style w:type="paragraph" w:styleId="Heading3">
    <w:name w:val="heading 3"/>
    <w:basedOn w:val="HeadingBase"/>
    <w:next w:val="BodyText"/>
    <w:link w:val="Heading3Char"/>
    <w:qFormat/>
    <w:rsid w:val="000F7D77"/>
    <w:pPr>
      <w:spacing w:before="180" w:after="120"/>
      <w:outlineLvl w:val="2"/>
    </w:pPr>
    <w:rPr>
      <w:spacing w:val="-10"/>
      <w:kern w:val="32"/>
    </w:rPr>
  </w:style>
  <w:style w:type="paragraph" w:styleId="Heading4">
    <w:name w:val="heading 4"/>
    <w:basedOn w:val="HeadingBase"/>
    <w:next w:val="BodyText"/>
    <w:link w:val="Heading4Char"/>
    <w:qFormat/>
    <w:rsid w:val="000F7D77"/>
    <w:pPr>
      <w:spacing w:before="160" w:after="120"/>
      <w:outlineLvl w:val="3"/>
    </w:pPr>
    <w:rPr>
      <w:sz w:val="22"/>
    </w:rPr>
  </w:style>
  <w:style w:type="paragraph" w:styleId="Heading5">
    <w:name w:val="heading 5"/>
    <w:basedOn w:val="HeadingBase"/>
    <w:next w:val="Normal"/>
    <w:link w:val="Heading5Char"/>
    <w:qFormat/>
    <w:rsid w:val="000F7D77"/>
    <w:pPr>
      <w:spacing w:before="80"/>
      <w:outlineLvl w:val="4"/>
    </w:pPr>
    <w:rPr>
      <w:color w:val="918585"/>
      <w:sz w:val="20"/>
    </w:rPr>
  </w:style>
  <w:style w:type="paragraph" w:styleId="Heading6">
    <w:name w:val="heading 6"/>
    <w:basedOn w:val="HeadingBase"/>
    <w:next w:val="Normal"/>
    <w:link w:val="Heading6Char"/>
    <w:qFormat/>
    <w:rsid w:val="000F7D77"/>
    <w:pPr>
      <w:spacing w:before="60"/>
      <w:outlineLvl w:val="5"/>
    </w:pPr>
    <w:rPr>
      <w:color w:val="918585"/>
      <w:sz w:val="20"/>
    </w:rPr>
  </w:style>
  <w:style w:type="paragraph" w:styleId="Heading7">
    <w:name w:val="heading 7"/>
    <w:basedOn w:val="Normal"/>
    <w:next w:val="Normal"/>
    <w:link w:val="Heading7Char"/>
    <w:qFormat/>
    <w:rsid w:val="000F7D77"/>
    <w:pPr>
      <w:ind w:left="720"/>
      <w:outlineLvl w:val="6"/>
    </w:pPr>
    <w:rPr>
      <w:i/>
    </w:rPr>
  </w:style>
  <w:style w:type="paragraph" w:styleId="Heading8">
    <w:name w:val="heading 8"/>
    <w:basedOn w:val="Normal"/>
    <w:next w:val="Normal"/>
    <w:link w:val="Heading8Char"/>
    <w:qFormat/>
    <w:rsid w:val="000F7D77"/>
    <w:pPr>
      <w:ind w:left="720"/>
      <w:outlineLvl w:val="7"/>
    </w:pPr>
    <w:rPr>
      <w:i/>
    </w:rPr>
  </w:style>
  <w:style w:type="paragraph" w:styleId="Heading9">
    <w:name w:val="heading 9"/>
    <w:basedOn w:val="Normal"/>
    <w:next w:val="Normal"/>
    <w:link w:val="Heading9Char"/>
    <w:qFormat/>
    <w:rsid w:val="000F7D77"/>
    <w:pPr>
      <w:ind w:left="720"/>
      <w:outlineLvl w:val="8"/>
    </w:pPr>
    <w:rPr>
      <w:i/>
    </w:rPr>
  </w:style>
  <w:style w:type="character" w:default="1" w:styleId="DefaultParagraphFont">
    <w:name w:val="Default Paragraph Font"/>
    <w:uiPriority w:val="1"/>
    <w:unhideWhenUsed/>
    <w:rsid w:val="000F7D7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F7D77"/>
  </w:style>
  <w:style w:type="character" w:customStyle="1" w:styleId="Heading1Char">
    <w:name w:val="Heading 1 Char"/>
    <w:basedOn w:val="DefaultParagraphFont"/>
    <w:link w:val="Heading1"/>
    <w:rsid w:val="000F7D77"/>
    <w:rPr>
      <w:rFonts w:ascii="Times New Roman" w:eastAsia="Times New Roman" w:hAnsi="Times New Roman" w:cs="Times New Roman"/>
      <w:b/>
      <w:sz w:val="32"/>
      <w:szCs w:val="20"/>
      <w:lang w:eastAsia="en-US"/>
    </w:rPr>
  </w:style>
  <w:style w:type="paragraph" w:styleId="BodyText">
    <w:name w:val="Body Text"/>
    <w:basedOn w:val="Normal"/>
    <w:link w:val="BodyTextChar"/>
    <w:rsid w:val="000F7D7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F7D77"/>
    <w:rPr>
      <w:rFonts w:ascii="Times New Roman" w:eastAsia="Times New Roman" w:hAnsi="Times New Roman" w:cs="Times New Roman"/>
      <w:sz w:val="24"/>
      <w:lang w:val="en-US" w:eastAsia="en-US"/>
    </w:rPr>
  </w:style>
  <w:style w:type="paragraph" w:styleId="Footer">
    <w:name w:val="footer"/>
    <w:basedOn w:val="Normal"/>
    <w:link w:val="FooterChar"/>
    <w:rsid w:val="000F7D7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F7D77"/>
    <w:rPr>
      <w:rFonts w:ascii="Times New Roman" w:eastAsia="Times New Roman" w:hAnsi="Times New Roman" w:cs="Times New Roman"/>
      <w:sz w:val="16"/>
      <w:lang w:val="en-US" w:eastAsia="en-US"/>
    </w:rPr>
  </w:style>
  <w:style w:type="paragraph" w:styleId="List">
    <w:name w:val="List"/>
    <w:basedOn w:val="BodyText"/>
    <w:next w:val="BodyText"/>
    <w:rsid w:val="000F7D77"/>
    <w:pPr>
      <w:tabs>
        <w:tab w:val="left" w:pos="340"/>
      </w:tabs>
      <w:spacing w:before="60" w:after="60"/>
      <w:ind w:left="340" w:hanging="340"/>
    </w:pPr>
  </w:style>
  <w:style w:type="paragraph" w:styleId="ListBullet">
    <w:name w:val="List Bullet"/>
    <w:basedOn w:val="List"/>
    <w:rsid w:val="000F7D77"/>
    <w:pPr>
      <w:numPr>
        <w:numId w:val="12"/>
      </w:numPr>
      <w:tabs>
        <w:tab w:val="clear" w:pos="340"/>
      </w:tabs>
      <w:spacing w:before="40" w:after="40"/>
    </w:pPr>
  </w:style>
  <w:style w:type="character" w:customStyle="1" w:styleId="SpecialBold">
    <w:name w:val="Special Bold"/>
    <w:basedOn w:val="DefaultParagraphFont"/>
    <w:rsid w:val="000F7D77"/>
    <w:rPr>
      <w:b/>
      <w:spacing w:val="0"/>
    </w:rPr>
  </w:style>
  <w:style w:type="paragraph" w:styleId="Header">
    <w:name w:val="header"/>
    <w:basedOn w:val="Normal"/>
    <w:link w:val="HeaderChar"/>
    <w:rsid w:val="000F7D7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F7D77"/>
    <w:rPr>
      <w:rFonts w:ascii="Times New Roman" w:eastAsia="Times New Roman" w:hAnsi="Times New Roman" w:cs="Times New Roman"/>
      <w:sz w:val="16"/>
      <w:szCs w:val="20"/>
      <w:lang w:val="en-GB" w:eastAsia="en-US"/>
    </w:rPr>
  </w:style>
  <w:style w:type="paragraph" w:customStyle="1" w:styleId="SuperHeading">
    <w:name w:val="SuperHeading"/>
    <w:basedOn w:val="Normal"/>
    <w:rsid w:val="000F7D77"/>
    <w:pPr>
      <w:spacing w:before="240" w:after="120"/>
      <w:outlineLvl w:val="0"/>
    </w:pPr>
    <w:rPr>
      <w:rFonts w:ascii="Times New Roman" w:hAnsi="Times New Roman"/>
      <w:b/>
      <w:sz w:val="28"/>
    </w:rPr>
  </w:style>
  <w:style w:type="paragraph" w:customStyle="1" w:styleId="AllowPageBreak">
    <w:name w:val="AllowPageBreak"/>
    <w:rsid w:val="000F7D77"/>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0F7D77"/>
    <w:pPr>
      <w:tabs>
        <w:tab w:val="left" w:pos="680"/>
      </w:tabs>
      <w:spacing w:before="60" w:after="60"/>
      <w:ind w:left="680" w:hanging="340"/>
    </w:pPr>
  </w:style>
  <w:style w:type="character" w:customStyle="1" w:styleId="Heading2Char">
    <w:name w:val="Heading 2 Char"/>
    <w:basedOn w:val="DefaultParagraphFont"/>
    <w:link w:val="Heading2"/>
    <w:rsid w:val="000F7D7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F7D7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F7D7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F7D7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F7D7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F7D77"/>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0F7D77"/>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0F7D77"/>
    <w:rPr>
      <w:rFonts w:ascii="Courier New" w:eastAsia="Times New Roman" w:hAnsi="Courier New" w:cs="Times New Roman"/>
      <w:i/>
      <w:szCs w:val="20"/>
      <w:lang w:val="en-US" w:eastAsia="en-US"/>
    </w:rPr>
  </w:style>
  <w:style w:type="paragraph" w:customStyle="1" w:styleId="HeadingBase">
    <w:name w:val="Heading Base"/>
    <w:rsid w:val="000F7D7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F7D77"/>
    <w:pPr>
      <w:tabs>
        <w:tab w:val="right" w:leader="dot" w:pos="9072"/>
      </w:tabs>
      <w:ind w:left="567"/>
    </w:pPr>
    <w:rPr>
      <w:szCs w:val="22"/>
    </w:rPr>
  </w:style>
  <w:style w:type="paragraph" w:customStyle="1" w:styleId="TOCBase">
    <w:name w:val="TOC Base"/>
    <w:rsid w:val="000F7D7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F7D77"/>
    <w:pPr>
      <w:tabs>
        <w:tab w:val="right" w:leader="dot" w:pos="9072"/>
      </w:tabs>
      <w:spacing w:before="40" w:after="40"/>
      <w:ind w:left="284"/>
    </w:pPr>
    <w:rPr>
      <w:rFonts w:ascii="Times New Roman" w:hAnsi="Times New Roman"/>
    </w:rPr>
  </w:style>
  <w:style w:type="paragraph" w:styleId="TOC1">
    <w:name w:val="toc 1"/>
    <w:basedOn w:val="TOCBase"/>
    <w:next w:val="Normal"/>
    <w:rsid w:val="000F7D7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F7D77"/>
    <w:pPr>
      <w:spacing w:before="5040"/>
      <w:jc w:val="center"/>
    </w:pPr>
    <w:rPr>
      <w:sz w:val="48"/>
      <w:szCs w:val="72"/>
      <w:lang w:val="en-US"/>
    </w:rPr>
  </w:style>
  <w:style w:type="character" w:customStyle="1" w:styleId="TitleChar">
    <w:name w:val="Title Char"/>
    <w:basedOn w:val="DefaultParagraphFont"/>
    <w:link w:val="Title"/>
    <w:rsid w:val="000F7D7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F7D77"/>
    <w:pPr>
      <w:tabs>
        <w:tab w:val="left" w:pos="3600"/>
        <w:tab w:val="left" w:pos="3958"/>
      </w:tabs>
    </w:pPr>
  </w:style>
  <w:style w:type="paragraph" w:customStyle="1" w:styleId="Note">
    <w:name w:val="Note"/>
    <w:basedOn w:val="BodyText"/>
    <w:rsid w:val="000F7D7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F7D77"/>
    <w:pPr>
      <w:framePr w:wrap="auto" w:hAnchor="text" w:y="6049"/>
    </w:pPr>
    <w:rPr>
      <w:color w:val="000000"/>
      <w:sz w:val="40"/>
    </w:rPr>
  </w:style>
  <w:style w:type="paragraph" w:customStyle="1" w:styleId="TOCTitle">
    <w:name w:val="TOCTitle"/>
    <w:basedOn w:val="Heading1"/>
    <w:rsid w:val="000F7D77"/>
    <w:pPr>
      <w:spacing w:after="240"/>
      <w:jc w:val="center"/>
      <w:outlineLvl w:val="9"/>
    </w:pPr>
    <w:rPr>
      <w:caps/>
    </w:rPr>
  </w:style>
  <w:style w:type="paragraph" w:customStyle="1" w:styleId="Version">
    <w:name w:val="Version"/>
    <w:rsid w:val="000F7D7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F7D77"/>
    <w:pPr>
      <w:numPr>
        <w:numId w:val="13"/>
      </w:numPr>
      <w:tabs>
        <w:tab w:val="clear" w:pos="680"/>
      </w:tabs>
    </w:pPr>
  </w:style>
  <w:style w:type="paragraph" w:styleId="Index1">
    <w:name w:val="index 1"/>
    <w:basedOn w:val="Normal"/>
    <w:next w:val="Normal"/>
    <w:semiHidden/>
    <w:rsid w:val="000F7D77"/>
    <w:pPr>
      <w:keepNext w:val="0"/>
      <w:tabs>
        <w:tab w:val="right" w:pos="4176"/>
      </w:tabs>
      <w:ind w:left="198" w:hanging="198"/>
    </w:pPr>
    <w:rPr>
      <w:rFonts w:ascii="Garamond" w:hAnsi="Garamond"/>
    </w:rPr>
  </w:style>
  <w:style w:type="paragraph" w:styleId="IndexHeading">
    <w:name w:val="index heading"/>
    <w:basedOn w:val="Normal"/>
    <w:next w:val="Index1"/>
    <w:semiHidden/>
    <w:rsid w:val="000F7D77"/>
    <w:pPr>
      <w:spacing w:before="120" w:after="120"/>
    </w:pPr>
    <w:rPr>
      <w:rFonts w:ascii="Arial" w:hAnsi="Arial"/>
      <w:b/>
      <w:color w:val="918585"/>
      <w:sz w:val="24"/>
    </w:rPr>
  </w:style>
  <w:style w:type="paragraph" w:customStyle="1" w:styleId="Chapter">
    <w:name w:val="Chapter"/>
    <w:basedOn w:val="Normal"/>
    <w:rsid w:val="000F7D77"/>
    <w:pPr>
      <w:spacing w:before="240"/>
    </w:pPr>
    <w:rPr>
      <w:rFonts w:ascii="Times New Roman" w:hAnsi="Times New Roman"/>
      <w:smallCaps/>
      <w:spacing w:val="80"/>
      <w:sz w:val="28"/>
    </w:rPr>
  </w:style>
  <w:style w:type="paragraph" w:customStyle="1" w:styleId="InChapter">
    <w:name w:val="InChapter"/>
    <w:basedOn w:val="Heading3"/>
    <w:rsid w:val="000F7D77"/>
    <w:pPr>
      <w:spacing w:after="240"/>
      <w:outlineLvl w:val="9"/>
    </w:pPr>
    <w:rPr>
      <w:noProof/>
    </w:rPr>
  </w:style>
  <w:style w:type="paragraph" w:styleId="Index2">
    <w:name w:val="index 2"/>
    <w:basedOn w:val="Normal"/>
    <w:next w:val="Normal"/>
    <w:semiHidden/>
    <w:rsid w:val="000F7D77"/>
    <w:pPr>
      <w:tabs>
        <w:tab w:val="right" w:pos="4176"/>
      </w:tabs>
      <w:ind w:left="568" w:hanging="284"/>
    </w:pPr>
    <w:rPr>
      <w:rFonts w:ascii="Garamond" w:hAnsi="Garamond"/>
    </w:rPr>
  </w:style>
  <w:style w:type="paragraph" w:customStyle="1" w:styleId="Byline">
    <w:name w:val="Byline"/>
    <w:rsid w:val="000F7D7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F7D77"/>
    <w:pPr>
      <w:tabs>
        <w:tab w:val="clear" w:pos="3600"/>
        <w:tab w:val="clear" w:pos="3958"/>
      </w:tabs>
      <w:jc w:val="right"/>
    </w:pPr>
  </w:style>
  <w:style w:type="character" w:styleId="Emphasis">
    <w:name w:val="Emphasis"/>
    <w:basedOn w:val="DefaultParagraphFont"/>
    <w:qFormat/>
    <w:rsid w:val="000F7D77"/>
    <w:rPr>
      <w:i/>
    </w:rPr>
  </w:style>
  <w:style w:type="paragraph" w:styleId="Caption">
    <w:name w:val="caption"/>
    <w:basedOn w:val="BodyText"/>
    <w:next w:val="Normal"/>
    <w:qFormat/>
    <w:rsid w:val="000F7D77"/>
    <w:pPr>
      <w:framePr w:w="2268" w:hSpace="181" w:vSpace="181" w:wrap="around" w:vAnchor="text" w:hAnchor="page" w:x="1135" w:y="285" w:anchorLock="1"/>
    </w:pPr>
    <w:rPr>
      <w:i/>
    </w:rPr>
  </w:style>
  <w:style w:type="paragraph" w:customStyle="1" w:styleId="MiniTOCTitle">
    <w:name w:val="MiniTOCTitle"/>
    <w:basedOn w:val="Heading4"/>
    <w:rsid w:val="000F7D77"/>
    <w:pPr>
      <w:spacing w:before="240"/>
      <w:outlineLvl w:val="9"/>
    </w:pPr>
    <w:rPr>
      <w:noProof/>
      <w:sz w:val="24"/>
    </w:rPr>
  </w:style>
  <w:style w:type="paragraph" w:customStyle="1" w:styleId="MiniTOCItem">
    <w:name w:val="MiniTOCItem"/>
    <w:basedOn w:val="ListBullet"/>
    <w:rsid w:val="000F7D77"/>
    <w:pPr>
      <w:numPr>
        <w:numId w:val="0"/>
      </w:numPr>
      <w:tabs>
        <w:tab w:val="right" w:leader="dot" w:pos="6521"/>
      </w:tabs>
      <w:spacing w:before="0" w:after="0"/>
    </w:pPr>
  </w:style>
  <w:style w:type="paragraph" w:customStyle="1" w:styleId="TOFTitle">
    <w:name w:val="TOFTitle"/>
    <w:basedOn w:val="TOCTitle"/>
    <w:rsid w:val="000F7D77"/>
  </w:style>
  <w:style w:type="paragraph" w:styleId="TableofFigures">
    <w:name w:val="table of figures"/>
    <w:basedOn w:val="Normal"/>
    <w:next w:val="Normal"/>
    <w:semiHidden/>
    <w:rsid w:val="000F7D77"/>
    <w:pPr>
      <w:tabs>
        <w:tab w:val="right" w:leader="dot" w:pos="9072"/>
      </w:tabs>
      <w:ind w:left="970" w:hanging="403"/>
    </w:pPr>
    <w:rPr>
      <w:rFonts w:ascii="Times New Roman" w:hAnsi="Times New Roman"/>
      <w:b/>
    </w:rPr>
  </w:style>
  <w:style w:type="paragraph" w:styleId="ListNumber">
    <w:name w:val="List Number"/>
    <w:basedOn w:val="List"/>
    <w:rsid w:val="000F7D77"/>
    <w:pPr>
      <w:numPr>
        <w:numId w:val="10"/>
      </w:numPr>
    </w:pPr>
  </w:style>
  <w:style w:type="character" w:customStyle="1" w:styleId="WingdingSymbols">
    <w:name w:val="Wingding Symbols"/>
    <w:rsid w:val="000F7D77"/>
    <w:rPr>
      <w:rFonts w:ascii="Wingdings" w:hAnsi="Wingdings"/>
    </w:rPr>
  </w:style>
  <w:style w:type="paragraph" w:customStyle="1" w:styleId="TableHeading">
    <w:name w:val="Table Heading"/>
    <w:basedOn w:val="HeadingBase"/>
    <w:rsid w:val="000F7D77"/>
    <w:pPr>
      <w:keepLines/>
      <w:pBdr>
        <w:bottom w:val="single" w:sz="6" w:space="1" w:color="918585"/>
      </w:pBdr>
      <w:spacing w:before="240"/>
    </w:pPr>
  </w:style>
  <w:style w:type="character" w:customStyle="1" w:styleId="HotSpot">
    <w:name w:val="HotSpot"/>
    <w:rsid w:val="000F7D77"/>
    <w:rPr>
      <w:color w:val="0033CC"/>
      <w:u w:val="none"/>
    </w:rPr>
  </w:style>
  <w:style w:type="paragraph" w:customStyle="1" w:styleId="BodyTextRight">
    <w:name w:val="Body Text Right"/>
    <w:basedOn w:val="BodyText"/>
    <w:rsid w:val="000F7D77"/>
    <w:pPr>
      <w:spacing w:before="0" w:after="0"/>
      <w:jc w:val="right"/>
    </w:pPr>
  </w:style>
  <w:style w:type="paragraph" w:styleId="Index3">
    <w:name w:val="index 3"/>
    <w:basedOn w:val="ListNumber2"/>
    <w:next w:val="Normal"/>
    <w:semiHidden/>
    <w:rsid w:val="000F7D77"/>
    <w:pPr>
      <w:numPr>
        <w:numId w:val="0"/>
      </w:numPr>
      <w:tabs>
        <w:tab w:val="right" w:leader="dot" w:pos="4176"/>
      </w:tabs>
    </w:pPr>
  </w:style>
  <w:style w:type="paragraph" w:styleId="ListNumber2">
    <w:name w:val="List Number 2"/>
    <w:basedOn w:val="List2"/>
    <w:rsid w:val="000F7D77"/>
    <w:pPr>
      <w:numPr>
        <w:numId w:val="9"/>
      </w:numPr>
      <w:tabs>
        <w:tab w:val="clear" w:pos="1060"/>
      </w:tabs>
    </w:pPr>
  </w:style>
  <w:style w:type="paragraph" w:customStyle="1" w:styleId="MarginNote">
    <w:name w:val="Margin Note"/>
    <w:basedOn w:val="BodyText"/>
    <w:rsid w:val="000F7D7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F7D7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F7D77"/>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0F7D77"/>
    <w:rPr>
      <w:sz w:val="32"/>
    </w:rPr>
  </w:style>
  <w:style w:type="paragraph" w:customStyle="1" w:styleId="HeadingProcedure">
    <w:name w:val="Heading Procedure"/>
    <w:basedOn w:val="HeadingBase"/>
    <w:next w:val="Normal"/>
    <w:rsid w:val="000F7D77"/>
    <w:pPr>
      <w:tabs>
        <w:tab w:val="left" w:pos="0"/>
      </w:tabs>
      <w:spacing w:before="120" w:after="60"/>
    </w:pPr>
    <w:rPr>
      <w:i/>
      <w:color w:val="918585"/>
      <w:sz w:val="22"/>
    </w:rPr>
  </w:style>
  <w:style w:type="paragraph" w:customStyle="1" w:styleId="TableBodyText">
    <w:name w:val="Table Body Text"/>
    <w:basedOn w:val="BodyText"/>
    <w:rsid w:val="000F7D77"/>
    <w:pPr>
      <w:spacing w:before="60" w:after="60"/>
    </w:pPr>
  </w:style>
  <w:style w:type="paragraph" w:styleId="ListContinue">
    <w:name w:val="List Continue"/>
    <w:basedOn w:val="List"/>
    <w:rsid w:val="000F7D77"/>
    <w:pPr>
      <w:ind w:firstLine="0"/>
    </w:pPr>
  </w:style>
  <w:style w:type="paragraph" w:customStyle="1" w:styleId="ListNote">
    <w:name w:val="List Note"/>
    <w:basedOn w:val="List"/>
    <w:rsid w:val="000F7D77"/>
    <w:pPr>
      <w:pBdr>
        <w:top w:val="single" w:sz="6" w:space="2" w:color="918585"/>
        <w:bottom w:val="single" w:sz="6" w:space="2" w:color="918585"/>
      </w:pBdr>
      <w:tabs>
        <w:tab w:val="left" w:pos="1021"/>
      </w:tabs>
      <w:ind w:firstLine="0"/>
    </w:pPr>
  </w:style>
  <w:style w:type="paragraph" w:customStyle="1" w:styleId="Warning">
    <w:name w:val="Warning"/>
    <w:basedOn w:val="BodyText"/>
    <w:rsid w:val="000F7D77"/>
    <w:pPr>
      <w:shd w:val="clear" w:color="auto" w:fill="D9D9D9"/>
      <w:tabs>
        <w:tab w:val="left" w:pos="992"/>
      </w:tabs>
      <w:ind w:left="119" w:right="119"/>
    </w:pPr>
    <w:rPr>
      <w:sz w:val="20"/>
    </w:rPr>
  </w:style>
  <w:style w:type="paragraph" w:customStyle="1" w:styleId="MarginIcons">
    <w:name w:val="Margin Icons"/>
    <w:basedOn w:val="BodyText"/>
    <w:rsid w:val="000F7D7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F7D77"/>
    <w:rPr>
      <w:rFonts w:ascii="Courier New" w:hAnsi="Courier New"/>
    </w:rPr>
  </w:style>
  <w:style w:type="paragraph" w:customStyle="1" w:styleId="NoteBullet">
    <w:name w:val="Note Bullet"/>
    <w:basedOn w:val="Note"/>
    <w:rsid w:val="000F7D77"/>
    <w:pPr>
      <w:tabs>
        <w:tab w:val="clear" w:pos="680"/>
      </w:tabs>
      <w:spacing w:before="60" w:after="60"/>
    </w:pPr>
  </w:style>
  <w:style w:type="paragraph" w:customStyle="1" w:styleId="SubHeading2">
    <w:name w:val="SubHeading2"/>
    <w:basedOn w:val="HeadingBase"/>
    <w:rsid w:val="000F7D77"/>
    <w:pPr>
      <w:spacing w:before="240" w:after="60"/>
    </w:pPr>
    <w:rPr>
      <w:sz w:val="20"/>
    </w:rPr>
  </w:style>
  <w:style w:type="paragraph" w:customStyle="1" w:styleId="SubHeading1">
    <w:name w:val="SubHeading1"/>
    <w:basedOn w:val="HeadingBase"/>
    <w:rsid w:val="000F7D77"/>
    <w:pPr>
      <w:spacing w:before="240" w:after="60"/>
    </w:pPr>
    <w:rPr>
      <w:color w:val="918585"/>
      <w:sz w:val="22"/>
    </w:rPr>
  </w:style>
  <w:style w:type="paragraph" w:customStyle="1" w:styleId="SideHeading">
    <w:name w:val="Side Heading"/>
    <w:basedOn w:val="HeadingBase"/>
    <w:rsid w:val="000F7D7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F7D77"/>
    <w:pPr>
      <w:tabs>
        <w:tab w:val="num" w:pos="360"/>
      </w:tabs>
    </w:pPr>
  </w:style>
  <w:style w:type="paragraph" w:styleId="PlainText">
    <w:name w:val="Plain Text"/>
    <w:basedOn w:val="Normal"/>
    <w:link w:val="PlainTextChar"/>
    <w:rsid w:val="000F7D77"/>
    <w:rPr>
      <w:sz w:val="20"/>
    </w:rPr>
  </w:style>
  <w:style w:type="character" w:customStyle="1" w:styleId="PlainTextChar">
    <w:name w:val="Plain Text Char"/>
    <w:basedOn w:val="DefaultParagraphFont"/>
    <w:link w:val="PlainText"/>
    <w:rsid w:val="000F7D77"/>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0F7D77"/>
    <w:rPr>
      <w:b/>
      <w:smallCaps/>
    </w:rPr>
  </w:style>
  <w:style w:type="paragraph" w:customStyle="1" w:styleId="TableListNumber">
    <w:name w:val="Table List Number"/>
    <w:basedOn w:val="ListNumber"/>
    <w:rsid w:val="000F7D77"/>
    <w:pPr>
      <w:numPr>
        <w:numId w:val="0"/>
      </w:numPr>
    </w:pPr>
  </w:style>
  <w:style w:type="paragraph" w:styleId="TOC4">
    <w:name w:val="toc 4"/>
    <w:basedOn w:val="TOCBase"/>
    <w:next w:val="Normal"/>
    <w:semiHidden/>
    <w:rsid w:val="000F7D77"/>
    <w:pPr>
      <w:tabs>
        <w:tab w:val="right" w:leader="dot" w:pos="9071"/>
      </w:tabs>
      <w:ind w:left="1701"/>
    </w:pPr>
  </w:style>
  <w:style w:type="paragraph" w:customStyle="1" w:styleId="ListAlpha">
    <w:name w:val="List Alpha"/>
    <w:basedOn w:val="List"/>
    <w:rsid w:val="000F7D77"/>
    <w:pPr>
      <w:numPr>
        <w:numId w:val="8"/>
      </w:numPr>
    </w:pPr>
  </w:style>
  <w:style w:type="paragraph" w:customStyle="1" w:styleId="ListAlpha2">
    <w:name w:val="List Alpha 2"/>
    <w:basedOn w:val="List2"/>
    <w:rsid w:val="000F7D77"/>
    <w:pPr>
      <w:numPr>
        <w:numId w:val="7"/>
      </w:numPr>
    </w:pPr>
  </w:style>
  <w:style w:type="paragraph" w:styleId="List3">
    <w:name w:val="List 3"/>
    <w:basedOn w:val="BodyText"/>
    <w:rsid w:val="000F7D77"/>
    <w:pPr>
      <w:tabs>
        <w:tab w:val="left" w:pos="1021"/>
      </w:tabs>
      <w:spacing w:before="60" w:after="60"/>
      <w:ind w:left="1020" w:hanging="340"/>
    </w:pPr>
  </w:style>
  <w:style w:type="paragraph" w:styleId="List4">
    <w:name w:val="List 4"/>
    <w:basedOn w:val="BodyText"/>
    <w:rsid w:val="000F7D77"/>
    <w:pPr>
      <w:tabs>
        <w:tab w:val="left" w:pos="1361"/>
      </w:tabs>
      <w:spacing w:before="60" w:after="60"/>
      <w:ind w:left="1361" w:hanging="340"/>
    </w:pPr>
  </w:style>
  <w:style w:type="paragraph" w:styleId="List5">
    <w:name w:val="List 5"/>
    <w:basedOn w:val="BodyText"/>
    <w:rsid w:val="000F7D77"/>
    <w:pPr>
      <w:tabs>
        <w:tab w:val="left" w:pos="1701"/>
      </w:tabs>
      <w:spacing w:before="60" w:after="60"/>
      <w:ind w:left="1701" w:hanging="340"/>
    </w:pPr>
  </w:style>
  <w:style w:type="paragraph" w:styleId="ListBullet3">
    <w:name w:val="List Bullet 3"/>
    <w:basedOn w:val="List3"/>
    <w:rsid w:val="000F7D77"/>
    <w:pPr>
      <w:numPr>
        <w:numId w:val="14"/>
      </w:numPr>
      <w:tabs>
        <w:tab w:val="clear" w:pos="1021"/>
      </w:tabs>
      <w:ind w:left="1037" w:hanging="357"/>
    </w:pPr>
  </w:style>
  <w:style w:type="paragraph" w:styleId="ListBullet4">
    <w:name w:val="List Bullet 4"/>
    <w:basedOn w:val="List4"/>
    <w:rsid w:val="000F7D77"/>
    <w:pPr>
      <w:numPr>
        <w:numId w:val="2"/>
      </w:numPr>
    </w:pPr>
  </w:style>
  <w:style w:type="paragraph" w:styleId="ListBullet5">
    <w:name w:val="List Bullet 5"/>
    <w:basedOn w:val="List5"/>
    <w:rsid w:val="000F7D77"/>
    <w:pPr>
      <w:numPr>
        <w:numId w:val="3"/>
      </w:numPr>
    </w:pPr>
  </w:style>
  <w:style w:type="paragraph" w:styleId="ListContinue2">
    <w:name w:val="List Continue 2"/>
    <w:basedOn w:val="List2"/>
    <w:rsid w:val="000F7D77"/>
    <w:pPr>
      <w:ind w:firstLine="0"/>
    </w:pPr>
  </w:style>
  <w:style w:type="paragraph" w:styleId="ListContinue3">
    <w:name w:val="List Continue 3"/>
    <w:basedOn w:val="List3"/>
    <w:rsid w:val="000F7D77"/>
    <w:pPr>
      <w:ind w:left="1021" w:firstLine="0"/>
    </w:pPr>
  </w:style>
  <w:style w:type="paragraph" w:styleId="ListContinue4">
    <w:name w:val="List Continue 4"/>
    <w:basedOn w:val="List4"/>
    <w:rsid w:val="000F7D77"/>
    <w:pPr>
      <w:ind w:firstLine="0"/>
    </w:pPr>
  </w:style>
  <w:style w:type="paragraph" w:styleId="ListContinue5">
    <w:name w:val="List Continue 5"/>
    <w:basedOn w:val="List5"/>
    <w:rsid w:val="000F7D77"/>
    <w:pPr>
      <w:ind w:firstLine="0"/>
    </w:pPr>
  </w:style>
  <w:style w:type="paragraph" w:styleId="ListNumber3">
    <w:name w:val="List Number 3"/>
    <w:basedOn w:val="List3"/>
    <w:rsid w:val="000F7D77"/>
    <w:pPr>
      <w:numPr>
        <w:numId w:val="4"/>
      </w:numPr>
    </w:pPr>
  </w:style>
  <w:style w:type="paragraph" w:styleId="ListNumber4">
    <w:name w:val="List Number 4"/>
    <w:basedOn w:val="List4"/>
    <w:rsid w:val="000F7D77"/>
    <w:pPr>
      <w:numPr>
        <w:numId w:val="5"/>
      </w:numPr>
    </w:pPr>
  </w:style>
  <w:style w:type="paragraph" w:styleId="ListNumber5">
    <w:name w:val="List Number 5"/>
    <w:basedOn w:val="List5"/>
    <w:rsid w:val="000F7D77"/>
    <w:pPr>
      <w:numPr>
        <w:numId w:val="6"/>
      </w:numPr>
    </w:pPr>
  </w:style>
  <w:style w:type="paragraph" w:styleId="BlockText">
    <w:name w:val="Block Text"/>
    <w:basedOn w:val="Normal"/>
    <w:rsid w:val="000F7D77"/>
    <w:pPr>
      <w:spacing w:after="120"/>
      <w:ind w:left="1440" w:right="1440"/>
    </w:pPr>
  </w:style>
  <w:style w:type="character" w:customStyle="1" w:styleId="Subscript">
    <w:name w:val="Subscript"/>
    <w:basedOn w:val="DefaultParagraphFont"/>
    <w:rsid w:val="000F7D77"/>
    <w:rPr>
      <w:sz w:val="16"/>
      <w:vertAlign w:val="subscript"/>
    </w:rPr>
  </w:style>
  <w:style w:type="character" w:customStyle="1" w:styleId="Superscript">
    <w:name w:val="Superscript"/>
    <w:basedOn w:val="DefaultParagraphFont"/>
    <w:rsid w:val="000F7D77"/>
    <w:rPr>
      <w:sz w:val="16"/>
      <w:vertAlign w:val="superscript"/>
    </w:rPr>
  </w:style>
  <w:style w:type="character" w:customStyle="1" w:styleId="Symbols">
    <w:name w:val="Symbols"/>
    <w:basedOn w:val="DefaultParagraphFont"/>
    <w:rsid w:val="000F7D77"/>
    <w:rPr>
      <w:rFonts w:ascii="Symbol" w:hAnsi="Symbol"/>
    </w:rPr>
  </w:style>
  <w:style w:type="character" w:customStyle="1" w:styleId="MenuOptions">
    <w:name w:val="Menu Options"/>
    <w:basedOn w:val="DefaultParagraphFont"/>
    <w:rsid w:val="000F7D77"/>
    <w:rPr>
      <w:rFonts w:ascii="Arial Narrow" w:hAnsi="Arial Narrow"/>
      <w:smallCaps/>
    </w:rPr>
  </w:style>
  <w:style w:type="character" w:customStyle="1" w:styleId="Buttons">
    <w:name w:val="Buttons"/>
    <w:basedOn w:val="DefaultParagraphFont"/>
    <w:rsid w:val="000F7D77"/>
    <w:rPr>
      <w:b/>
    </w:rPr>
  </w:style>
  <w:style w:type="character" w:customStyle="1" w:styleId="Underlined">
    <w:name w:val="Underlined"/>
    <w:basedOn w:val="DefaultParagraphFont"/>
    <w:rsid w:val="000F7D77"/>
    <w:rPr>
      <w:u w:val="single"/>
    </w:rPr>
  </w:style>
  <w:style w:type="paragraph" w:customStyle="1" w:styleId="TableBodyTextRight">
    <w:name w:val="Table Body Text Right"/>
    <w:basedOn w:val="TableBodyText"/>
    <w:rsid w:val="000F7D77"/>
    <w:pPr>
      <w:widowControl w:val="0"/>
      <w:autoSpaceDE w:val="0"/>
      <w:autoSpaceDN w:val="0"/>
      <w:adjustRightInd w:val="0"/>
      <w:jc w:val="right"/>
    </w:pPr>
    <w:rPr>
      <w:rFonts w:cs="Arial"/>
      <w:szCs w:val="18"/>
    </w:rPr>
  </w:style>
  <w:style w:type="paragraph" w:customStyle="1" w:styleId="CopyrightText">
    <w:name w:val="Copyright Text"/>
    <w:basedOn w:val="BodyText"/>
    <w:rsid w:val="000F7D77"/>
    <w:rPr>
      <w:sz w:val="18"/>
    </w:rPr>
  </w:style>
  <w:style w:type="paragraph" w:customStyle="1" w:styleId="BodySmallRight">
    <w:name w:val="Body Small Right"/>
    <w:basedOn w:val="BodyTextRight"/>
    <w:rsid w:val="000F7D77"/>
    <w:rPr>
      <w:sz w:val="18"/>
      <w:szCs w:val="18"/>
    </w:rPr>
  </w:style>
  <w:style w:type="paragraph" w:customStyle="1" w:styleId="MarginEdition">
    <w:name w:val="Margin Edition"/>
    <w:basedOn w:val="MarginNote"/>
    <w:rsid w:val="000F7D77"/>
    <w:pPr>
      <w:spacing w:before="0" w:after="0"/>
    </w:pPr>
    <w:rPr>
      <w:rFonts w:ascii="Times New Roman" w:hAnsi="Times New Roman"/>
      <w:color w:val="999999"/>
    </w:rPr>
  </w:style>
  <w:style w:type="paragraph" w:customStyle="1" w:styleId="Spacer">
    <w:name w:val="Spacer"/>
    <w:basedOn w:val="Normal"/>
    <w:rsid w:val="000F7D77"/>
    <w:rPr>
      <w:sz w:val="2"/>
      <w:szCs w:val="2"/>
    </w:rPr>
  </w:style>
  <w:style w:type="character" w:customStyle="1" w:styleId="Small">
    <w:name w:val="Small"/>
    <w:basedOn w:val="DefaultParagraphFont"/>
    <w:rsid w:val="000F7D77"/>
    <w:rPr>
      <w:sz w:val="16"/>
    </w:rPr>
  </w:style>
  <w:style w:type="paragraph" w:customStyle="1" w:styleId="WideTable">
    <w:name w:val="Wide Table"/>
    <w:basedOn w:val="Normal"/>
    <w:rsid w:val="000F7D77"/>
    <w:pPr>
      <w:ind w:left="-1418"/>
    </w:pPr>
    <w:rPr>
      <w:sz w:val="2"/>
      <w:szCs w:val="2"/>
    </w:rPr>
  </w:style>
  <w:style w:type="character" w:styleId="PageNumber">
    <w:name w:val="page number"/>
    <w:basedOn w:val="DefaultParagraphFont"/>
    <w:rsid w:val="000F7D77"/>
  </w:style>
  <w:style w:type="paragraph" w:styleId="Quote">
    <w:name w:val="Quote"/>
    <w:basedOn w:val="Heading1"/>
    <w:link w:val="QuoteChar"/>
    <w:qFormat/>
    <w:rsid w:val="000F7D77"/>
    <w:rPr>
      <w:b w:val="0"/>
      <w:sz w:val="72"/>
      <w:szCs w:val="72"/>
      <w:lang w:val="en-NZ"/>
    </w:rPr>
  </w:style>
  <w:style w:type="character" w:customStyle="1" w:styleId="QuoteChar">
    <w:name w:val="Quote Char"/>
    <w:basedOn w:val="DefaultParagraphFont"/>
    <w:link w:val="Quote"/>
    <w:rsid w:val="000F7D7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F7D77"/>
    <w:pPr>
      <w:pageBreakBefore/>
    </w:pPr>
  </w:style>
  <w:style w:type="paragraph" w:customStyle="1" w:styleId="Border">
    <w:name w:val="Border"/>
    <w:basedOn w:val="Normal"/>
    <w:qFormat/>
    <w:rsid w:val="000F7D7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F7D77"/>
    <w:rPr>
      <w:b/>
      <w:bCs/>
      <w:i/>
      <w:iCs/>
      <w:color w:val="auto"/>
    </w:rPr>
  </w:style>
  <w:style w:type="paragraph" w:styleId="IntenseQuote">
    <w:name w:val="Intense Quote"/>
    <w:basedOn w:val="Normal"/>
    <w:next w:val="Normal"/>
    <w:link w:val="IntenseQuoteChar"/>
    <w:uiPriority w:val="30"/>
    <w:qFormat/>
    <w:rsid w:val="000F7D7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F7D77"/>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0F7D77"/>
    <w:rPr>
      <w:smallCaps/>
      <w:color w:val="auto"/>
      <w:u w:val="single"/>
    </w:rPr>
  </w:style>
  <w:style w:type="character" w:styleId="IntenseReference">
    <w:name w:val="Intense Reference"/>
    <w:basedOn w:val="DefaultParagraphFont"/>
    <w:uiPriority w:val="32"/>
    <w:qFormat/>
    <w:rsid w:val="000F7D77"/>
    <w:rPr>
      <w:b/>
      <w:bCs/>
      <w:smallCaps/>
      <w:color w:val="auto"/>
      <w:spacing w:val="5"/>
      <w:u w:val="single"/>
    </w:rPr>
  </w:style>
  <w:style w:type="paragraph" w:customStyle="1" w:styleId="2ColumnHeading">
    <w:name w:val="2Column Heading"/>
    <w:basedOn w:val="BodyText"/>
    <w:qFormat/>
    <w:rsid w:val="000F7D77"/>
    <w:pPr>
      <w:spacing w:after="60"/>
      <w:ind w:left="-2268"/>
    </w:pPr>
    <w:rPr>
      <w:b/>
    </w:rPr>
  </w:style>
  <w:style w:type="paragraph" w:customStyle="1" w:styleId="Heading1TOC">
    <w:name w:val="Heading1 TOC"/>
    <w:basedOn w:val="Normal"/>
    <w:qFormat/>
    <w:rsid w:val="000F7D77"/>
    <w:pPr>
      <w:spacing w:before="240" w:after="120"/>
    </w:pPr>
    <w:rPr>
      <w:rFonts w:ascii="Times New Roman" w:hAnsi="Times New Roman"/>
      <w:b/>
      <w:sz w:val="32"/>
    </w:rPr>
  </w:style>
  <w:style w:type="paragraph" w:customStyle="1" w:styleId="Heading2TOC">
    <w:name w:val="Heading2 TOC"/>
    <w:basedOn w:val="Normal"/>
    <w:qFormat/>
    <w:rsid w:val="000F7D77"/>
    <w:pPr>
      <w:spacing w:before="240" w:after="60"/>
    </w:pPr>
    <w:rPr>
      <w:rFonts w:ascii="Times New Roman" w:hAnsi="Times New Roman"/>
      <w:b/>
      <w:sz w:val="28"/>
    </w:rPr>
  </w:style>
  <w:style w:type="character" w:customStyle="1" w:styleId="Underline">
    <w:name w:val="Underline"/>
    <w:basedOn w:val="DefaultParagraphFont"/>
    <w:qFormat/>
    <w:rsid w:val="000F7D77"/>
    <w:rPr>
      <w:u w:val="single"/>
    </w:rPr>
  </w:style>
  <w:style w:type="character" w:customStyle="1" w:styleId="BoldandItalics">
    <w:name w:val="Bold and Italics"/>
    <w:qFormat/>
    <w:rsid w:val="000F7D77"/>
    <w:rPr>
      <w:b/>
      <w:i/>
      <w:u w:val="none"/>
    </w:rPr>
  </w:style>
  <w:style w:type="paragraph" w:styleId="BalloonText">
    <w:name w:val="Balloon Text"/>
    <w:basedOn w:val="Normal"/>
    <w:link w:val="BalloonTextChar"/>
    <w:rsid w:val="000F7D77"/>
    <w:rPr>
      <w:rFonts w:ascii="Tahoma" w:hAnsi="Tahoma" w:cs="Tahoma"/>
      <w:sz w:val="16"/>
      <w:szCs w:val="16"/>
    </w:rPr>
  </w:style>
  <w:style w:type="character" w:customStyle="1" w:styleId="BalloonTextChar">
    <w:name w:val="Balloon Text Char"/>
    <w:basedOn w:val="DefaultParagraphFont"/>
    <w:link w:val="BalloonText"/>
    <w:rsid w:val="000F7D77"/>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0F7D7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F7D77"/>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1073</Words>
  <Characters>6813</Characters>
  <Application>Microsoft Office Word</Application>
  <DocSecurity>0</DocSecurity>
  <Lines>253</Lines>
  <Paragraphs>116</Paragraphs>
  <ScaleCrop>false</ScaleCrop>
  <Company>Author-it Software Corporation Ltd.</Company>
  <LinksUpToDate>false</LinksUpToDate>
  <CharactersWithSpaces>7796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MEM10010B Install pipework and pipework assemblies</dc:title>
  <dc:subject>Approved</dc:subject>
  <dc:creator>Manufacturing Skills Australia</dc:creator>
  <cp:keywords>Release: 1</cp:keywords>
  <dc:description>Copyright © 1996-2007 Author-it Software Corporation Ltd., all rights reserved.</dc:description>
  <cp:lastModifiedBy>Windows User</cp:lastModifiedBy>
  <cp:revision>3</cp:revision>
  <dcterms:created xsi:type="dcterms:W3CDTF">2012-05-27T01:41:00Z</dcterms:created>
  <dcterms:modified xsi:type="dcterms:W3CDTF">2012-05-27T01:41:00Z</dcterms:modified>
</cp:coreProperties>
</file>