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3E5" w:rsidP="00A123E5">
      <w:pPr>
        <w:pStyle w:val="Title"/>
      </w:pPr>
      <w:bookmarkStart w:id="0" w:name="_GoBack"/>
      <w:bookmarkEnd w:id="0"/>
      <w:r>
        <w:fldChar w:fldCharType="begin"/>
      </w:r>
      <w:r>
        <w:instrText xml:space="preserve"> TITLE   \* MERGEFORMAT </w:instrText>
      </w:r>
      <w:r>
        <w:fldChar w:fldCharType="separate"/>
      </w:r>
      <w:r>
        <w:t>MEM10008B Undertake commissioning procedures for plant and/or equipment</w:t>
      </w:r>
      <w:r>
        <w:fldChar w:fldCharType="end"/>
      </w:r>
    </w:p>
    <w:p w:rsidR="00A123E5" w:rsidP="00A123E5">
      <w:pPr>
        <w:pStyle w:val="Version"/>
        <w:sectPr w:rsidSect="00BE1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4A9" w:rsidP="00BE14A9">
      <w:pPr>
        <w:pStyle w:val="SuperHeading"/>
      </w:pPr>
      <w:r w:rsidRPr="00BE14A9">
        <w:t>MEM10008B Undertake commissioning procedures for plant and/or equipment</w:t>
      </w:r>
    </w:p>
    <w:p w:rsidR="00000000" w:rsidRPr="00BE14A9" w:rsidP="00BE14A9">
      <w:pPr>
        <w:pStyle w:val="Heading1"/>
      </w:pPr>
      <w:bookmarkStart w:id="1" w:name="O_272126"/>
      <w:bookmarkEnd w:id="1"/>
      <w:r w:rsidRPr="00BE14A9">
        <w:t>Modification History</w:t>
      </w:r>
    </w:p>
    <w:p w:rsidR="00000000" w:rsidRPr="00BE14A9" w:rsidP="00BE14A9">
      <w:pPr>
        <w:pStyle w:val="BodyText"/>
      </w:pPr>
      <w:r w:rsidRPr="00BE14A9">
        <w:t>Not Applicable</w:t>
      </w:r>
    </w:p>
    <w:p w:rsidR="00000000" w:rsidRPr="00BE14A9" w:rsidP="00BE14A9">
      <w:pPr>
        <w:pStyle w:val="AllowPageBreak"/>
      </w:pPr>
    </w:p>
    <w:p w:rsidR="00000000" w:rsidRPr="00BE14A9" w:rsidP="00BE14A9">
      <w:pPr>
        <w:pStyle w:val="Heading1"/>
      </w:pPr>
      <w:bookmarkStart w:id="2" w:name="O_211320"/>
      <w:bookmarkEnd w:id="2"/>
      <w:r w:rsidRPr="00BE14A9">
        <w:t>Unit Descriptor</w:t>
      </w:r>
    </w:p>
    <w:tbl>
      <w:tblPr>
        <w:tblW w:w="0" w:type="auto"/>
        <w:tblLayout w:type="fixed"/>
        <w:tblCellMar>
          <w:left w:w="62" w:type="dxa"/>
          <w:right w:w="62" w:type="dxa"/>
        </w:tblCellMar>
        <w:tblLook w:val="0000"/>
      </w:tblPr>
      <w:tblGrid>
        <w:gridCol w:w="2654"/>
        <w:gridCol w:w="5868"/>
      </w:tblGrid>
      <w:tr w:rsidTr="00A123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Unit desc</w:t>
            </w:r>
            <w:r w:rsidRPr="00BE14A9">
              <w:rPr>
                <w:rStyle w:val="SpecialBold"/>
              </w:rPr>
              <w:t>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This unit covers undertaking commissioning work on internally or externally located plant and/or equipment.</w:t>
            </w:r>
          </w:p>
        </w:tc>
      </w:tr>
    </w:tbl>
    <w:p w:rsidR="00A123E5" w:rsidP="00BE14A9">
      <w:pPr>
        <w:pStyle w:val="BodyText"/>
      </w:pPr>
    </w:p>
    <w:p w:rsidR="00A123E5" w:rsidP="00BE14A9">
      <w:pPr>
        <w:pStyle w:val="BodyText"/>
      </w:pPr>
    </w:p>
    <w:p w:rsidR="00000000" w:rsidRPr="00BE14A9" w:rsidP="00BE14A9">
      <w:pPr>
        <w:pStyle w:val="Heading1"/>
      </w:pPr>
      <w:bookmarkStart w:id="3" w:name="O_211324"/>
      <w:bookmarkEnd w:id="3"/>
      <w:r w:rsidRPr="00BE14A9">
        <w:t>Application of the Unit</w:t>
      </w:r>
    </w:p>
    <w:tbl>
      <w:tblPr>
        <w:tblW w:w="0" w:type="auto"/>
        <w:tblLayout w:type="fixed"/>
        <w:tblCellMar>
          <w:left w:w="62" w:type="dxa"/>
          <w:right w:w="62" w:type="dxa"/>
        </w:tblCellMar>
        <w:tblLook w:val="0000"/>
      </w:tblPr>
      <w:tblGrid>
        <w:gridCol w:w="2734"/>
        <w:gridCol w:w="5788"/>
      </w:tblGrid>
      <w:tr w:rsidTr="00A123E5">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 xml:space="preserve">This unit applies to commissioning work undertaken on internally or externally located plant and/or equipment that is new, or replaced, or has been extensively modified (by people usually outside of the commissioning individual or team). </w:t>
            </w:r>
          </w:p>
          <w:p w:rsidR="00000000" w:rsidRPr="00BE14A9" w:rsidP="00BE14A9">
            <w:pPr>
              <w:pStyle w:val="BodyText"/>
            </w:pPr>
            <w:r w:rsidRPr="00BE14A9">
              <w:t>Technical difficu</w:t>
            </w:r>
            <w:r w:rsidRPr="00BE14A9">
              <w:t xml:space="preserve">lties are resolved in consultation with appropriate technical advisers. All work is undertaken to specifications supplied via engineering drawings and data sheets, written and verbal instructions, regulatory and legislative requirements. </w:t>
            </w:r>
          </w:p>
          <w:p w:rsidR="00000000" w:rsidRPr="00BE14A9" w:rsidP="00BE14A9">
            <w:pPr>
              <w:pStyle w:val="BodyText"/>
            </w:pPr>
            <w:r w:rsidRPr="00BE14A9">
              <w:t>Additional specia</w:t>
            </w:r>
            <w:r w:rsidRPr="00BE14A9">
              <w:t>lisation units may be required for some specialist applications e.g. fluid power, instrumentation and PLC etc.</w:t>
            </w:r>
          </w:p>
          <w:p w:rsidR="00000000" w:rsidRPr="00BE14A9" w:rsidP="00BE14A9">
            <w:pPr>
              <w:pStyle w:val="BodyText"/>
            </w:pPr>
            <w:r w:rsidRPr="00BE14A9">
              <w:t xml:space="preserve">This unit is not intended to be used by maintenance personnel completing their own work, including return to service work. </w:t>
            </w:r>
          </w:p>
          <w:p w:rsidR="00000000" w:rsidRPr="00BE14A9" w:rsidP="00BE14A9">
            <w:pPr>
              <w:pStyle w:val="BodyText"/>
            </w:pPr>
            <w:r w:rsidRPr="00BE14A9">
              <w:t xml:space="preserve">These activities are </w:t>
            </w:r>
            <w:r w:rsidRPr="00BE14A9">
              <w:t>covered in Unit MEM18004B (Maintain and overhaul mechanical equipment, and/or Unit MEM09011B (Apply basic engineering design concepts), and/or Unit MEM18006C (Repair and fit engineering components), and/or MEM18048B (Fault find and repair/rectify basic ele</w:t>
            </w:r>
            <w:r w:rsidRPr="00BE14A9">
              <w:t>ctrical circuits), and/or MEM18054B (Fault find, test and calibrate instrumentation systems and equipment).</w:t>
            </w:r>
          </w:p>
          <w:p w:rsidR="00000000" w:rsidRPr="00BE14A9" w:rsidP="00BE14A9">
            <w:pPr>
              <w:pStyle w:val="BodyText"/>
            </w:pPr>
            <w:r w:rsidRPr="00BE14A9">
              <w:t>If reports are required, Unit MEM16010B (Write reports) should also be selected.</w:t>
            </w:r>
          </w:p>
          <w:p w:rsidR="00000000" w:rsidRPr="00BE14A9" w:rsidP="00BE14A9">
            <w:pPr>
              <w:pStyle w:val="BodyText"/>
            </w:pPr>
          </w:p>
          <w:p w:rsidR="00000000" w:rsidRPr="00BE14A9" w:rsidP="00BE14A9">
            <w:pPr>
              <w:pStyle w:val="BodyText"/>
            </w:pPr>
            <w:r w:rsidRPr="00BE14A9">
              <w:rPr>
                <w:rStyle w:val="SpecialBold"/>
              </w:rPr>
              <w:t>Band</w:t>
            </w:r>
            <w:r w:rsidRPr="00BE14A9">
              <w:t>:</w:t>
            </w:r>
            <w:r w:rsidRPr="00BE14A9">
              <w:tab/>
            </w:r>
            <w:r w:rsidRPr="00BE14A9">
              <w:rPr>
                <w:rStyle w:val="SpecialBold"/>
              </w:rPr>
              <w:t>B</w:t>
            </w:r>
          </w:p>
          <w:p w:rsidR="00000000" w:rsidRPr="00BE14A9" w:rsidP="00BE14A9">
            <w:pPr>
              <w:pStyle w:val="BodyText"/>
            </w:pPr>
            <w:r w:rsidRPr="00BE14A9">
              <w:rPr>
                <w:rStyle w:val="SpecialBold"/>
              </w:rPr>
              <w:t>Unit Weight</w:t>
            </w:r>
            <w:r w:rsidRPr="00BE14A9">
              <w:t>:</w:t>
            </w:r>
            <w:r w:rsidRPr="00BE14A9">
              <w:tab/>
            </w:r>
            <w:r w:rsidRPr="00BE14A9">
              <w:rPr>
                <w:rStyle w:val="SpecialBold"/>
              </w:rPr>
              <w:t>4</w:t>
            </w:r>
          </w:p>
        </w:tc>
      </w:tr>
    </w:tbl>
    <w:p w:rsidR="00A123E5" w:rsidP="00BE14A9">
      <w:pPr>
        <w:pStyle w:val="BodyText"/>
      </w:pPr>
    </w:p>
    <w:p w:rsidR="00A123E5" w:rsidP="00BE14A9">
      <w:pPr>
        <w:pStyle w:val="BodyText"/>
      </w:pPr>
    </w:p>
    <w:p w:rsidR="00000000" w:rsidRPr="00BE14A9" w:rsidP="00BE14A9">
      <w:pPr>
        <w:pStyle w:val="Heading1"/>
      </w:pPr>
      <w:bookmarkStart w:id="4" w:name="O_280386"/>
      <w:bookmarkEnd w:id="4"/>
      <w:r w:rsidRPr="00BE14A9">
        <w:t>Licensing/Regulatory Information</w:t>
      </w:r>
    </w:p>
    <w:p w:rsidR="00000000" w:rsidRPr="00BE14A9" w:rsidP="00BE14A9">
      <w:pPr>
        <w:pStyle w:val="BodyText"/>
      </w:pPr>
      <w:r w:rsidRPr="00BE14A9">
        <w:t>Not Applicable</w:t>
      </w:r>
    </w:p>
    <w:p w:rsidR="00000000" w:rsidRPr="00BE14A9" w:rsidP="00BE14A9">
      <w:pPr>
        <w:pStyle w:val="AllowPageBreak"/>
      </w:pPr>
    </w:p>
    <w:p w:rsidR="00000000" w:rsidRPr="00BE14A9" w:rsidP="00BE14A9">
      <w:pPr>
        <w:pStyle w:val="Heading1"/>
      </w:pPr>
      <w:bookmarkStart w:id="5" w:name="O_211322"/>
      <w:bookmarkEnd w:id="5"/>
      <w:r w:rsidRPr="00BE14A9">
        <w:t>Pre-Requisites</w:t>
      </w:r>
    </w:p>
    <w:tbl>
      <w:tblPr>
        <w:tblW w:w="0" w:type="auto"/>
        <w:tblLayout w:type="fixed"/>
        <w:tblCellMar>
          <w:left w:w="62" w:type="dxa"/>
          <w:right w:w="62" w:type="dxa"/>
        </w:tblCellMar>
        <w:tblLook w:val="0000"/>
      </w:tblPr>
      <w:tblGrid>
        <w:gridCol w:w="2658"/>
        <w:gridCol w:w="2207"/>
        <w:gridCol w:w="3657"/>
      </w:tblGrid>
      <w:tr w:rsidTr="00A123E5">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Prerequisite units</w:t>
            </w:r>
          </w:p>
        </w:tc>
        <w:tc>
          <w:tcPr>
            <w:tcW w:w="58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MEM09002B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Interpret technical drawing</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MEM10006B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Install machine/plant</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MEM12023A</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engineering measurements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MEM18001C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hand tools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power tools/hand held operations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MEM18003C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tools for precision work</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MEM18006C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Repair and fit engineering components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MEM18009B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levelling and alignment of machines and engineering components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MEM18055B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Dismantle, replace and assemble engineering components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MEM09002B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Interpret technical drawing</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electrical/electronic measurement</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MEM12023A</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engineering measurements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MEM18001C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hand tools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power tools/hand held operations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MEM18055B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Dismantle, replace and assemble engineering components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MEM18086B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Test, recover, evacuate and charge refrigeration systems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MEM18090B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Maintain and repair industrial refrigeration systems and components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Pa</w:t>
            </w:r>
            <w:r w:rsidRPr="00BE14A9">
              <w:rPr>
                <w:rStyle w:val="SpecialBold"/>
              </w:rPr>
              <w:t>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MEM09002B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Interpret technical drawing</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electrical/electronic measurement</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MEM12023A</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engineering measurements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MEM18001C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hand tools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power tools/hand held operations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MEM18055B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Dismantle, replace and assemble engineering components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MEM18089B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Maintain and repair central air handling systems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Path 4</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MEM09002B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Interpret technical drawing</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MEM10002B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Terminate and connect electrical wiring</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MEM10003B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Install and test electrical wiring and circuits up to 1000 volts a.c. and 1500 volts d.c.</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electrical/electronic measurement</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MEM12023A</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Perform engineering measurements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MEM18001C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hand tools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MEM18002B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Use power tools/hand held operations</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MEM18049C</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Disconnect/reconnect fixed wired equipment up to 1000 volts a.c. and 1500 volts d.c.</w:t>
            </w:r>
          </w:p>
        </w:tc>
      </w:tr>
      <w:tr w:rsidTr="00A123E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MEM18055B</w:t>
            </w:r>
          </w:p>
        </w:tc>
        <w:tc>
          <w:tcPr>
            <w:tcW w:w="3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Dismantle, replace and assemble engineering components</w:t>
            </w:r>
          </w:p>
        </w:tc>
      </w:tr>
    </w:tbl>
    <w:p w:rsidR="00A123E5" w:rsidP="00BE14A9">
      <w:pPr>
        <w:pStyle w:val="BodyText"/>
      </w:pPr>
    </w:p>
    <w:p w:rsidR="00A123E5" w:rsidP="00BE14A9">
      <w:pPr>
        <w:pStyle w:val="BodyText"/>
      </w:pPr>
    </w:p>
    <w:p w:rsidR="00000000" w:rsidRPr="00BE14A9" w:rsidP="00BE14A9">
      <w:pPr>
        <w:pStyle w:val="Heading1"/>
      </w:pPr>
      <w:bookmarkStart w:id="6" w:name="O_211321"/>
      <w:bookmarkEnd w:id="6"/>
      <w:r w:rsidRPr="00BE14A9">
        <w:t>Employability Skills Information</w:t>
      </w:r>
    </w:p>
    <w:tbl>
      <w:tblPr>
        <w:tblW w:w="0" w:type="auto"/>
        <w:tblLayout w:type="fixed"/>
        <w:tblCellMar>
          <w:left w:w="62" w:type="dxa"/>
          <w:right w:w="62" w:type="dxa"/>
        </w:tblCellMar>
        <w:tblLook w:val="0000"/>
      </w:tblPr>
      <w:tblGrid>
        <w:gridCol w:w="2791"/>
        <w:gridCol w:w="5731"/>
      </w:tblGrid>
      <w:tr w:rsidTr="00A123E5">
        <w:tblPrEx>
          <w:tblW w:w="0" w:type="auto"/>
          <w:tblLayout w:type="fixed"/>
          <w:tblCellMar>
            <w:left w:w="62" w:type="dxa"/>
            <w:right w:w="62" w:type="dxa"/>
          </w:tblCellMar>
          <w:tblLook w:val="0000"/>
        </w:tblPrEx>
        <w:trPr>
          <w:tblHeader/>
        </w:trPr>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Employability skills</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This unit contains employability skills.</w:t>
            </w:r>
          </w:p>
        </w:tc>
      </w:tr>
    </w:tbl>
    <w:p w:rsidR="00A123E5" w:rsidP="00BE14A9">
      <w:pPr>
        <w:pStyle w:val="BodyText"/>
      </w:pPr>
    </w:p>
    <w:p w:rsidR="00A123E5" w:rsidP="00BE14A9">
      <w:pPr>
        <w:pStyle w:val="BodyText"/>
      </w:pPr>
    </w:p>
    <w:p w:rsidR="00000000" w:rsidRPr="00BE14A9" w:rsidP="00BE14A9">
      <w:pPr>
        <w:pStyle w:val="Heading1"/>
      </w:pPr>
      <w:bookmarkStart w:id="7" w:name="O_290172"/>
      <w:bookmarkEnd w:id="7"/>
      <w:r w:rsidRPr="00BE14A9">
        <w:t>Elements and Performance Criteria Pre-Content</w:t>
      </w:r>
    </w:p>
    <w:tbl>
      <w:tblPr>
        <w:tblW w:w="0" w:type="auto"/>
        <w:tblLayout w:type="fixed"/>
        <w:tblCellMar>
          <w:left w:w="62" w:type="dxa"/>
          <w:right w:w="62" w:type="dxa"/>
        </w:tblCellMar>
        <w:tblLook w:val="0000"/>
      </w:tblPr>
      <w:tblGrid>
        <w:gridCol w:w="2419"/>
        <w:gridCol w:w="6103"/>
      </w:tblGrid>
      <w:tr w:rsidTr="00A123E5">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Elements describe the essential outcomes of a unit of competency.</w:t>
            </w:r>
          </w:p>
        </w:tc>
        <w:tc>
          <w:tcPr>
            <w:tcW w:w="6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Performance criteria describe the performance needed to demons</w:t>
            </w:r>
            <w:r w:rsidRPr="00BE14A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E14A9" w:rsidP="00BE14A9">
      <w:pPr>
        <w:pStyle w:val="BodyText"/>
      </w:pPr>
    </w:p>
    <w:p w:rsidR="00000000" w:rsidRPr="00BE14A9" w:rsidP="00BE14A9">
      <w:pPr>
        <w:pStyle w:val="AllowPageBreak"/>
      </w:pPr>
    </w:p>
    <w:p w:rsidR="00000000" w:rsidRPr="00BE14A9" w:rsidP="00BE14A9">
      <w:pPr>
        <w:pStyle w:val="Heading1"/>
      </w:pPr>
      <w:bookmarkStart w:id="8" w:name="O_236839"/>
      <w:bookmarkEnd w:id="8"/>
      <w:r w:rsidRPr="00BE14A9">
        <w:t>Elements and Performance Criteria</w:t>
      </w:r>
    </w:p>
    <w:tbl>
      <w:tblPr>
        <w:tblW w:w="0" w:type="auto"/>
        <w:tblLayout w:type="fixed"/>
        <w:tblCellMar>
          <w:left w:w="62" w:type="dxa"/>
          <w:right w:w="62" w:type="dxa"/>
        </w:tblCellMar>
        <w:tblLook w:val="0000"/>
      </w:tblPr>
      <w:tblGrid>
        <w:gridCol w:w="2419"/>
        <w:gridCol w:w="6103"/>
      </w:tblGrid>
      <w:tr w:rsidTr="00A123E5">
        <w:tblPrEx>
          <w:tblW w:w="0" w:type="auto"/>
          <w:tblLayout w:type="fixed"/>
          <w:tblCellMar>
            <w:left w:w="62" w:type="dxa"/>
            <w:right w:w="62" w:type="dxa"/>
          </w:tblCellMar>
          <w:tblLook w:val="0000"/>
        </w:tblPrEx>
        <w:trPr>
          <w:tblHeader/>
        </w:trPr>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rPr>
                <w:rStyle w:val="SpecialBold"/>
              </w:rPr>
              <w:t>ELEMENT</w:t>
            </w:r>
          </w:p>
        </w:tc>
        <w:tc>
          <w:tcPr>
            <w:tcW w:w="6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PERFORMANCE CRITERIA</w:t>
            </w:r>
          </w:p>
        </w:tc>
      </w:tr>
      <w:tr w:rsidTr="00A123E5">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List"/>
              <w:rPr>
                <w:lang w:val="en-NZ"/>
              </w:rPr>
            </w:pPr>
            <w:r w:rsidRPr="00BE14A9">
              <w:t>1.</w:t>
            </w:r>
            <w:r w:rsidRPr="00BE14A9">
              <w:tab/>
              <w:t xml:space="preserve">Plan commissioning procedure </w:t>
            </w:r>
          </w:p>
        </w:tc>
        <w:tc>
          <w:tcPr>
            <w:tcW w:w="6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List2"/>
              <w:rPr>
                <w:lang w:val="en-NZ"/>
              </w:rPr>
            </w:pPr>
            <w:r w:rsidRPr="00BE14A9">
              <w:t>1.1.</w:t>
            </w:r>
            <w:r w:rsidRPr="00BE14A9">
              <w:tab/>
              <w:t>Commissioning procedure is undertaken and approvals are obtained in accordance with standard operating procedures.</w:t>
            </w:r>
          </w:p>
        </w:tc>
      </w:tr>
      <w:tr w:rsidTr="00A123E5">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List"/>
              <w:rPr>
                <w:lang w:val="en-NZ"/>
              </w:rPr>
            </w:pPr>
            <w:r w:rsidRPr="00BE14A9">
              <w:t>2.</w:t>
            </w:r>
            <w:r w:rsidRPr="00BE14A9">
              <w:tab/>
              <w:t>Assess system performance</w:t>
            </w:r>
          </w:p>
        </w:tc>
        <w:tc>
          <w:tcPr>
            <w:tcW w:w="6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List2"/>
            </w:pPr>
            <w:r w:rsidRPr="00BE14A9">
              <w:t>2.1.</w:t>
            </w:r>
            <w:r w:rsidRPr="00BE14A9">
              <w:tab/>
              <w:t>Correct measuring/test devices are used.</w:t>
            </w:r>
          </w:p>
          <w:p w:rsidR="00000000" w:rsidRPr="00BE14A9" w:rsidP="00BE14A9">
            <w:pPr>
              <w:pStyle w:val="List2"/>
            </w:pPr>
            <w:r w:rsidRPr="00BE14A9">
              <w:t>2.2.</w:t>
            </w:r>
            <w:r w:rsidRPr="00BE14A9">
              <w:tab/>
              <w:t>All necessary measurements/readings are taken at appropriate points.</w:t>
            </w:r>
          </w:p>
          <w:p w:rsidR="00000000" w:rsidP="00BE14A9">
            <w:pPr>
              <w:pStyle w:val="List2"/>
              <w:rPr>
                <w:lang w:val="en-NZ"/>
              </w:rPr>
            </w:pPr>
            <w:r w:rsidRPr="00BE14A9">
              <w:t>2.3.</w:t>
            </w:r>
            <w:r w:rsidRPr="00BE14A9">
              <w:tab/>
              <w:t>All variances from specifications are recorded to standard operating procedures.</w:t>
            </w:r>
          </w:p>
        </w:tc>
      </w:tr>
      <w:tr w:rsidTr="00A123E5">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List"/>
              <w:rPr>
                <w:lang w:val="en-NZ"/>
              </w:rPr>
            </w:pPr>
            <w:r w:rsidRPr="00BE14A9">
              <w:t>3.</w:t>
            </w:r>
            <w:r w:rsidRPr="00BE14A9">
              <w:tab/>
              <w:t>Adjust plant</w:t>
            </w:r>
          </w:p>
        </w:tc>
        <w:tc>
          <w:tcPr>
            <w:tcW w:w="6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List2"/>
            </w:pPr>
            <w:r w:rsidRPr="00BE14A9">
              <w:t>3.1.</w:t>
            </w:r>
            <w:r w:rsidRPr="00BE14A9">
              <w:tab/>
              <w:t xml:space="preserve">Plant/system performance is </w:t>
            </w:r>
            <w:r w:rsidRPr="00BE14A9">
              <w:t>adjusted to design and operational specifications utilising appropriate and correct techniques.</w:t>
            </w:r>
          </w:p>
          <w:p w:rsidR="00000000" w:rsidP="00BE14A9">
            <w:pPr>
              <w:pStyle w:val="List2"/>
              <w:rPr>
                <w:lang w:val="en-NZ"/>
              </w:rPr>
            </w:pPr>
            <w:r w:rsidRPr="00BE14A9">
              <w:t>3.2.</w:t>
            </w:r>
            <w:r w:rsidRPr="00BE14A9">
              <w:tab/>
              <w:t>Technical difficulties are resolved in consultation with appropriate technical advisers.</w:t>
            </w:r>
          </w:p>
        </w:tc>
      </w:tr>
      <w:tr w:rsidTr="00A123E5">
        <w:tblPrEx>
          <w:tblW w:w="0" w:type="auto"/>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List"/>
              <w:rPr>
                <w:lang w:val="en-NZ"/>
              </w:rPr>
            </w:pPr>
            <w:r w:rsidRPr="00BE14A9">
              <w:t>4.</w:t>
            </w:r>
            <w:r w:rsidRPr="00BE14A9">
              <w:tab/>
              <w:t>Make reports</w:t>
            </w:r>
          </w:p>
        </w:tc>
        <w:tc>
          <w:tcPr>
            <w:tcW w:w="6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List2"/>
            </w:pPr>
            <w:r w:rsidRPr="00BE14A9">
              <w:t>4.1.</w:t>
            </w:r>
            <w:r w:rsidRPr="00BE14A9">
              <w:tab/>
            </w:r>
            <w:r w:rsidRPr="00BE14A9">
              <w:t>Report/logs are produced on completed system/plant/machinery/status/performance as required in accordance with standard operating procedures.</w:t>
            </w:r>
          </w:p>
        </w:tc>
      </w:tr>
    </w:tbl>
    <w:p w:rsidR="00A123E5" w:rsidP="00BE14A9">
      <w:pPr>
        <w:pStyle w:val="BodyText"/>
      </w:pPr>
    </w:p>
    <w:p w:rsidR="00A123E5" w:rsidP="00BE14A9">
      <w:pPr>
        <w:pStyle w:val="BodyText"/>
      </w:pPr>
    </w:p>
    <w:p w:rsidR="00000000" w:rsidRPr="00BE14A9" w:rsidP="00BE14A9">
      <w:pPr>
        <w:pStyle w:val="Heading1"/>
      </w:pPr>
      <w:bookmarkStart w:id="9" w:name="O_260789"/>
      <w:bookmarkEnd w:id="9"/>
      <w:r w:rsidRPr="00BE14A9">
        <w:t>Required Skills and Knowledge</w:t>
      </w:r>
    </w:p>
    <w:tbl>
      <w:tblPr>
        <w:tblW w:w="0" w:type="auto"/>
        <w:tblLayout w:type="fixed"/>
        <w:tblCellMar>
          <w:left w:w="62" w:type="dxa"/>
          <w:right w:w="62" w:type="dxa"/>
        </w:tblCellMar>
        <w:tblLook w:val="0000"/>
      </w:tblPr>
      <w:tblGrid>
        <w:gridCol w:w="8522"/>
      </w:tblGrid>
      <w:tr w:rsidTr="00A123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REQUIRED SKILLS AND KNOWLEDGE</w:t>
            </w:r>
          </w:p>
        </w:tc>
      </w:tr>
      <w:tr w:rsidTr="00A123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This section describes the skills and knowledge required for this unit.</w:t>
            </w:r>
          </w:p>
        </w:tc>
      </w:tr>
      <w:tr w:rsidTr="00A1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Required skills</w:t>
            </w:r>
          </w:p>
        </w:tc>
      </w:tr>
      <w:tr w:rsidTr="00A1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Look for evidence that confirms skills in:</w:t>
            </w:r>
          </w:p>
          <w:p w:rsidR="00000000" w:rsidRPr="00BE14A9" w:rsidP="00BE14A9">
            <w:pPr>
              <w:pStyle w:val="ListBullet"/>
            </w:pPr>
            <w:r w:rsidRPr="00BE14A9">
              <w:t>obtaining work approvals and permits</w:t>
            </w:r>
          </w:p>
          <w:p w:rsidR="00000000" w:rsidRPr="00BE14A9" w:rsidP="00BE14A9">
            <w:pPr>
              <w:pStyle w:val="ListBullet"/>
            </w:pPr>
            <w:r w:rsidRPr="00BE14A9">
              <w:t>selecting measuring/testing devices</w:t>
            </w:r>
          </w:p>
          <w:p w:rsidR="00000000" w:rsidRPr="00BE14A9" w:rsidP="00BE14A9">
            <w:pPr>
              <w:pStyle w:val="ListBullet"/>
            </w:pPr>
            <w:r w:rsidRPr="00BE14A9">
              <w:t>safely taking measurements/readings</w:t>
            </w:r>
          </w:p>
          <w:p w:rsidR="00000000" w:rsidRPr="00BE14A9" w:rsidP="00BE14A9">
            <w:pPr>
              <w:pStyle w:val="ListBullet"/>
            </w:pPr>
            <w:r w:rsidRPr="00BE14A9">
              <w:t>recording variations in machine/plant performance from specification</w:t>
            </w:r>
          </w:p>
          <w:p w:rsidR="00000000" w:rsidRPr="00BE14A9" w:rsidP="00BE14A9">
            <w:pPr>
              <w:pStyle w:val="ListBullet"/>
            </w:pPr>
            <w:r w:rsidRPr="00BE14A9">
              <w:t>making appropriate adjustments to machine/plant</w:t>
            </w:r>
          </w:p>
          <w:p w:rsidR="00000000" w:rsidRPr="00BE14A9" w:rsidP="00BE14A9">
            <w:pPr>
              <w:pStyle w:val="ListBullet"/>
            </w:pPr>
            <w:r w:rsidRPr="00BE14A9">
              <w:t>completing short reports using relevant technical terminology</w:t>
            </w:r>
          </w:p>
          <w:p w:rsidR="00000000" w:rsidRPr="00BE14A9" w:rsidP="00BE14A9">
            <w:pPr>
              <w:pStyle w:val="ListBullet"/>
            </w:pPr>
            <w:r w:rsidRPr="00BE14A9">
              <w:t xml:space="preserve">reading, interpreting and following information on written job instructions, </w:t>
            </w:r>
            <w:r w:rsidRPr="00BE14A9">
              <w:t>specifications, manufacturer documents, commissioning procedures, charts, lists, drawings and other applicable reference documents</w:t>
            </w:r>
          </w:p>
          <w:p w:rsidR="00000000" w:rsidRPr="00BE14A9" w:rsidP="00BE14A9">
            <w:pPr>
              <w:pStyle w:val="ListBullet"/>
            </w:pPr>
            <w:r w:rsidRPr="00BE14A9">
              <w:t>planning and sequencing operations</w:t>
            </w:r>
          </w:p>
          <w:p w:rsidR="00000000" w:rsidRPr="00BE14A9" w:rsidP="00BE14A9">
            <w:pPr>
              <w:pStyle w:val="ListBullet"/>
            </w:pPr>
            <w:r w:rsidRPr="00BE14A9">
              <w:t>checking and clarifying task related information</w:t>
            </w:r>
          </w:p>
          <w:p w:rsidR="00000000" w:rsidRPr="00BE14A9" w:rsidP="00BE14A9">
            <w:pPr>
              <w:pStyle w:val="ListBullet"/>
            </w:pPr>
            <w:r w:rsidRPr="00BE14A9">
              <w:t>entering information onto standard workpl</w:t>
            </w:r>
            <w:r w:rsidRPr="00BE14A9">
              <w:t>ace forms and reports</w:t>
            </w:r>
          </w:p>
          <w:p w:rsidR="00000000" w:rsidRPr="00BE14A9" w:rsidP="00BE14A9">
            <w:pPr>
              <w:pStyle w:val="ListBullet"/>
            </w:pPr>
            <w:r w:rsidRPr="00BE14A9">
              <w:t>checking for conformance to specifications</w:t>
            </w:r>
          </w:p>
          <w:p w:rsidR="00000000" w:rsidRPr="00BE14A9" w:rsidP="00BE14A9">
            <w:pPr>
              <w:pStyle w:val="ListBullet"/>
            </w:pPr>
            <w:r w:rsidRPr="00BE14A9">
              <w:t>using precision measurement equipment</w:t>
            </w:r>
          </w:p>
          <w:p w:rsidR="00000000" w:rsidP="00BE14A9">
            <w:pPr>
              <w:pStyle w:val="ListBullet"/>
              <w:rPr>
                <w:lang w:val="en-NZ"/>
              </w:rPr>
            </w:pPr>
            <w:r w:rsidRPr="00BE14A9">
              <w:t>undertaking numerical operations and calculations/formulae within the scope of this unit</w:t>
            </w:r>
          </w:p>
        </w:tc>
      </w:tr>
      <w:tr w:rsidTr="00A1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Required knowledge</w:t>
            </w:r>
          </w:p>
        </w:tc>
      </w:tr>
      <w:tr w:rsidTr="00A1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Look for evidence that confirms knowledge o</w:t>
            </w:r>
            <w:r w:rsidRPr="00BE14A9">
              <w:t>f:</w:t>
            </w:r>
          </w:p>
          <w:p w:rsidR="00000000" w:rsidRPr="00BE14A9" w:rsidP="00BE14A9">
            <w:pPr>
              <w:pStyle w:val="ListBullet"/>
            </w:pPr>
            <w:r w:rsidRPr="00BE14A9">
              <w:t>the sequence of events in the commissioning of the machine/plant</w:t>
            </w:r>
          </w:p>
          <w:p w:rsidR="00000000" w:rsidRPr="00BE14A9" w:rsidP="00BE14A9">
            <w:pPr>
              <w:pStyle w:val="ListBullet"/>
            </w:pPr>
            <w:r w:rsidRPr="00BE14A9">
              <w:t>performance tests appropriate to the machine/plant to be commissioned</w:t>
            </w:r>
          </w:p>
          <w:p w:rsidR="00000000" w:rsidRPr="00BE14A9" w:rsidP="00BE14A9">
            <w:pPr>
              <w:pStyle w:val="ListBullet"/>
            </w:pPr>
            <w:r w:rsidRPr="00BE14A9">
              <w:t>measurements required to ensure conformance to specifications and correct points at which measurements are to be taken</w:t>
            </w:r>
          </w:p>
          <w:p w:rsidR="00000000" w:rsidRPr="00BE14A9" w:rsidP="00BE14A9">
            <w:pPr>
              <w:pStyle w:val="ListBullet"/>
            </w:pPr>
            <w:r w:rsidRPr="00BE14A9">
              <w:t>appropriate adjustments to bring the machine/plant into line with operational specifications based on engineering principles or appropriate technical advice</w:t>
            </w:r>
          </w:p>
          <w:p w:rsidR="00000000" w:rsidRPr="00BE14A9" w:rsidP="00BE14A9">
            <w:pPr>
              <w:pStyle w:val="ListBullet"/>
            </w:pPr>
            <w:r w:rsidRPr="00BE14A9">
              <w:t>reporting requirements relevant to the machine/plant being commissioned</w:t>
            </w:r>
          </w:p>
          <w:p w:rsidR="00000000" w:rsidRPr="00BE14A9" w:rsidP="00BE14A9">
            <w:pPr>
              <w:pStyle w:val="ListBullet"/>
            </w:pPr>
            <w:r w:rsidRPr="00BE14A9">
              <w:t>use and application of per</w:t>
            </w:r>
            <w:r w:rsidRPr="00BE14A9">
              <w:t>sonal protective equipment</w:t>
            </w:r>
          </w:p>
          <w:p w:rsidR="00000000" w:rsidRPr="00BE14A9" w:rsidP="00BE14A9">
            <w:pPr>
              <w:pStyle w:val="ListBullet"/>
            </w:pPr>
            <w:r w:rsidRPr="00BE14A9">
              <w:t>safe work practices and procedures</w:t>
            </w:r>
          </w:p>
          <w:p w:rsidR="00000000" w:rsidRPr="00BE14A9" w:rsidP="00BE14A9">
            <w:pPr>
              <w:pStyle w:val="ListBullet"/>
            </w:pPr>
            <w:r w:rsidRPr="00BE14A9">
              <w:t>relevant hazards and control measures related to the competency</w:t>
            </w:r>
          </w:p>
        </w:tc>
      </w:tr>
    </w:tbl>
    <w:p w:rsidR="00A123E5" w:rsidP="00BE14A9">
      <w:pPr>
        <w:pStyle w:val="BodyText"/>
      </w:pPr>
    </w:p>
    <w:p w:rsidR="00A123E5" w:rsidP="00BE14A9">
      <w:pPr>
        <w:pStyle w:val="BodyText"/>
      </w:pPr>
    </w:p>
    <w:p w:rsidR="00000000" w:rsidRPr="00BE14A9" w:rsidP="00BE14A9">
      <w:pPr>
        <w:pStyle w:val="AllowPageBreak"/>
      </w:pPr>
    </w:p>
    <w:p w:rsidR="00000000" w:rsidRPr="00BE14A9" w:rsidP="00BE14A9">
      <w:pPr>
        <w:pStyle w:val="Heading1"/>
      </w:pPr>
      <w:bookmarkStart w:id="10" w:name="O_244823"/>
      <w:bookmarkEnd w:id="10"/>
      <w:r w:rsidRPr="00BE14A9">
        <w:t>Evidence Guide</w:t>
      </w:r>
    </w:p>
    <w:tbl>
      <w:tblPr>
        <w:tblW w:w="9570" w:type="dxa"/>
        <w:tblLayout w:type="fixed"/>
        <w:tblCellMar>
          <w:left w:w="62" w:type="dxa"/>
          <w:right w:w="62" w:type="dxa"/>
        </w:tblCellMar>
        <w:tblLook w:val="0000"/>
      </w:tblPr>
      <w:tblGrid>
        <w:gridCol w:w="3908"/>
        <w:gridCol w:w="5662"/>
      </w:tblGrid>
      <w:tr w:rsidTr="00A123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EVIDENCE GUIDE</w:t>
            </w:r>
          </w:p>
        </w:tc>
      </w:tr>
      <w:tr w:rsidTr="00A123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The evidence guide provides advice on assessment and must be read in conjunction with the performance criteria, required skills and knowledge, range statement and the Assessment Guidelines for the Training Package.</w:t>
            </w:r>
          </w:p>
        </w:tc>
      </w:tr>
      <w:tr w:rsidTr="00A1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A person who demonstrates competency in this unit must be able to undertake commissioning procedures for plant and/or equipment. Competency in this unit cannot be claimed until all prerequisites have been satisfied.</w:t>
            </w:r>
          </w:p>
        </w:tc>
      </w:tr>
      <w:tr w:rsidTr="00A1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Critical aspects for assessment and evi</w:t>
            </w:r>
            <w:r w:rsidRPr="00BE14A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Assessors must be satisfied that the candidate can competently and consistently perform all elements of the unit as specified by the criteria, including required knowledge, and be capable of applying th</w:t>
            </w:r>
            <w:r w:rsidRPr="00BE14A9">
              <w:t>e competency in new and different situations and contexts.</w:t>
            </w:r>
          </w:p>
        </w:tc>
      </w:tr>
      <w:tr w:rsidTr="00A1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This unit may be assessed on the job, off the job or a combination of both on and off the job. Where assessment occurs off the job, that is the can</w:t>
            </w:r>
            <w:r w:rsidRPr="00BE14A9">
              <w:t xml:space="preserve">didate is not in productive work, then an appropriate simulation must be used where the range of conditions reflects realistic workplace situations. The competencies covered by this unit would be demonstrated by an individual working alone or as part of a </w:t>
            </w:r>
            <w:r w:rsidRPr="00BE14A9">
              <w:t xml:space="preserve">team. The assessment environment should not disadvantage the candidate. </w:t>
            </w:r>
          </w:p>
          <w:p w:rsidR="00000000" w:rsidP="00BE14A9">
            <w:pPr>
              <w:pStyle w:val="BodyText"/>
              <w:rPr>
                <w:lang w:val="en-NZ"/>
              </w:rPr>
            </w:pPr>
            <w:r w:rsidRPr="00BE14A9">
              <w:t xml:space="preserve">This unit could be assessed in conjunction with any other units addressing the safety, quality, communication, materials handling, recording and reporting associated with undertaking </w:t>
            </w:r>
            <w:r w:rsidRPr="00BE14A9">
              <w:t>commissioning procedures for plant and/or equipment or other units requiring the exercise of the skills and knowledge covered by this unit.</w:t>
            </w:r>
          </w:p>
        </w:tc>
      </w:tr>
      <w:tr w:rsidTr="00A1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 xml:space="preserve">Assessors should gather a range of evidence that is valid, sufficient, current and authentic. </w:t>
            </w:r>
            <w:r w:rsidRPr="00BE14A9">
              <w:t>Evidence can be gathered through a variety of ways including direct observation, supervisor's reports, project work, samples and questioning. Questioning techniques should not require language, literacy and numeracy skills beyond those required in this uni</w:t>
            </w:r>
            <w:r w:rsidRPr="00BE14A9">
              <w:t>t of competency. The candidate must have access to all tools, equipment, materials and documentation required. The candidate must be permitted to refer to any relevant workplace procedures, product and manufacturing specifications, codes, standards, manual</w:t>
            </w:r>
            <w:r w:rsidRPr="00BE14A9">
              <w:t>s and reference materials.</w:t>
            </w:r>
          </w:p>
        </w:tc>
      </w:tr>
      <w:tr w:rsidTr="00A1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p>
        </w:tc>
      </w:tr>
    </w:tbl>
    <w:p w:rsidR="00A123E5" w:rsidP="00BE14A9">
      <w:pPr>
        <w:pStyle w:val="BodyText"/>
      </w:pPr>
    </w:p>
    <w:p w:rsidR="00A123E5" w:rsidP="00BE14A9">
      <w:pPr>
        <w:pStyle w:val="BodyText"/>
      </w:pPr>
    </w:p>
    <w:p w:rsidR="00000000" w:rsidRPr="00BE14A9" w:rsidP="00BE14A9">
      <w:pPr>
        <w:pStyle w:val="Heading1"/>
      </w:pPr>
      <w:bookmarkStart w:id="11" w:name="O_252806"/>
      <w:bookmarkEnd w:id="11"/>
      <w:r w:rsidRPr="00BE14A9">
        <w:t>Range Statement</w:t>
      </w:r>
    </w:p>
    <w:tbl>
      <w:tblPr>
        <w:tblW w:w="0" w:type="auto"/>
        <w:tblLayout w:type="fixed"/>
        <w:tblCellMar>
          <w:left w:w="62" w:type="dxa"/>
          <w:right w:w="62" w:type="dxa"/>
        </w:tblCellMar>
        <w:tblLook w:val="0000"/>
      </w:tblPr>
      <w:tblGrid>
        <w:gridCol w:w="3533"/>
        <w:gridCol w:w="4989"/>
      </w:tblGrid>
      <w:tr w:rsidTr="00A123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RANGE STATEMENT</w:t>
            </w:r>
          </w:p>
        </w:tc>
      </w:tr>
      <w:tr w:rsidTr="00A123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The range statement relates to the unit of competency as a whole. It allows for different work environments and situations that may affect performance. Bold italicised wording, if used in the performance criteria, is detailed below. Essential operating con</w:t>
            </w:r>
            <w:r w:rsidRPr="00BE14A9">
              <w:t>ditions that may be present with training and assessment (depending on the work situation, needs of the candidate, accessibility of the item, and local industry and regional contexts) may also be included.</w:t>
            </w:r>
          </w:p>
        </w:tc>
      </w:tr>
      <w:tr w:rsidTr="00A123E5">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t>Plant/system</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Rotating equipment and machinery, p</w:t>
            </w:r>
            <w:r w:rsidRPr="00BE14A9">
              <w:t>roduction equipment, plant and machinery, process equipment, and machine tools etc.</w:t>
            </w:r>
          </w:p>
        </w:tc>
      </w:tr>
    </w:tbl>
    <w:p w:rsidR="00A123E5" w:rsidP="00BE14A9">
      <w:pPr>
        <w:pStyle w:val="BodyText"/>
      </w:pPr>
    </w:p>
    <w:p w:rsidR="00A123E5" w:rsidP="00BE14A9">
      <w:pPr>
        <w:pStyle w:val="BodyText"/>
      </w:pPr>
    </w:p>
    <w:p w:rsidR="00000000" w:rsidRPr="00BE14A9" w:rsidP="00BE14A9">
      <w:pPr>
        <w:pStyle w:val="Heading1"/>
      </w:pPr>
      <w:bookmarkStart w:id="12" w:name="O_211326"/>
      <w:bookmarkEnd w:id="12"/>
      <w:r w:rsidRPr="00BE14A9">
        <w:t>Unit Sector(s)</w:t>
      </w:r>
    </w:p>
    <w:tbl>
      <w:tblPr>
        <w:tblW w:w="0" w:type="auto"/>
        <w:tblLayout w:type="fixed"/>
        <w:tblCellMar>
          <w:left w:w="62" w:type="dxa"/>
          <w:right w:w="62" w:type="dxa"/>
        </w:tblCellMar>
        <w:tblLook w:val="0000"/>
      </w:tblPr>
      <w:tblGrid>
        <w:gridCol w:w="2642"/>
        <w:gridCol w:w="5880"/>
      </w:tblGrid>
      <w:tr w:rsidTr="00A123E5">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Unit sector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p>
        </w:tc>
      </w:tr>
    </w:tbl>
    <w:p w:rsidR="00A123E5" w:rsidP="00BE14A9">
      <w:pPr>
        <w:pStyle w:val="BodyText"/>
      </w:pPr>
    </w:p>
    <w:p w:rsidR="00A123E5" w:rsidP="00BE14A9">
      <w:pPr>
        <w:pStyle w:val="BodyText"/>
      </w:pPr>
    </w:p>
    <w:p w:rsidR="00000000" w:rsidRPr="00BE14A9" w:rsidP="00BE14A9">
      <w:pPr>
        <w:pStyle w:val="Heading1"/>
      </w:pPr>
      <w:bookmarkStart w:id="13" w:name="O_211323"/>
      <w:bookmarkEnd w:id="13"/>
      <w:r w:rsidRPr="00BE14A9">
        <w:t>Co-requisite units</w:t>
      </w:r>
    </w:p>
    <w:tbl>
      <w:tblPr>
        <w:tblW w:w="0" w:type="auto"/>
        <w:tblLayout w:type="fixed"/>
        <w:tblCellMar>
          <w:left w:w="62" w:type="dxa"/>
          <w:right w:w="62" w:type="dxa"/>
        </w:tblCellMar>
        <w:tblLook w:val="0000"/>
      </w:tblPr>
      <w:tblGrid>
        <w:gridCol w:w="2630"/>
        <w:gridCol w:w="1376"/>
        <w:gridCol w:w="4516"/>
      </w:tblGrid>
      <w:tr w:rsidTr="00A123E5">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Co-requisite units</w:t>
            </w:r>
          </w:p>
        </w:tc>
        <w:tc>
          <w:tcPr>
            <w:tcW w:w="58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p>
        </w:tc>
      </w:tr>
      <w:tr w:rsidTr="00A123E5">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p>
        </w:tc>
      </w:tr>
      <w:tr w:rsidTr="00A123E5">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p>
        </w:tc>
      </w:tr>
    </w:tbl>
    <w:p w:rsidR="00A123E5" w:rsidP="00BE14A9">
      <w:pPr>
        <w:pStyle w:val="BodyText"/>
      </w:pPr>
    </w:p>
    <w:p w:rsidR="00A123E5" w:rsidP="00BE14A9">
      <w:pPr>
        <w:pStyle w:val="BodyText"/>
      </w:pPr>
    </w:p>
    <w:p w:rsidR="00000000" w:rsidRPr="00BE14A9" w:rsidP="00BE14A9">
      <w:pPr>
        <w:pStyle w:val="Heading1"/>
      </w:pPr>
      <w:bookmarkStart w:id="14" w:name="O_211325"/>
      <w:bookmarkEnd w:id="14"/>
      <w:r w:rsidRPr="00BE14A9">
        <w:t>Competency field</w:t>
      </w:r>
    </w:p>
    <w:tbl>
      <w:tblPr>
        <w:tblW w:w="0" w:type="auto"/>
        <w:tblLayout w:type="fixed"/>
        <w:tblCellMar>
          <w:left w:w="62" w:type="dxa"/>
          <w:right w:w="62" w:type="dxa"/>
        </w:tblCellMar>
        <w:tblLook w:val="0000"/>
      </w:tblPr>
      <w:tblGrid>
        <w:gridCol w:w="2765"/>
        <w:gridCol w:w="5757"/>
      </w:tblGrid>
      <w:tr w:rsidTr="00A123E5">
        <w:tblPrEx>
          <w:tblW w:w="0" w:type="auto"/>
          <w:tblLayout w:type="fixed"/>
          <w:tblCellMar>
            <w:left w:w="62" w:type="dxa"/>
            <w:right w:w="62" w:type="dxa"/>
          </w:tblCellMar>
          <w:tblLook w:val="0000"/>
        </w:tblPrEx>
        <w:trPr>
          <w:tblHeader/>
        </w:trPr>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A9">
            <w:pPr>
              <w:pStyle w:val="BodyText"/>
              <w:rPr>
                <w:lang w:val="en-NZ"/>
              </w:rPr>
            </w:pPr>
            <w:r w:rsidRPr="00BE14A9">
              <w:rPr>
                <w:rStyle w:val="SpecialBold"/>
              </w:rPr>
              <w:t>Competency field</w:t>
            </w:r>
          </w:p>
        </w:tc>
        <w:tc>
          <w:tcPr>
            <w:tcW w:w="5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A9" w:rsidP="00BE14A9">
            <w:pPr>
              <w:pStyle w:val="BodyText"/>
            </w:pPr>
            <w:r w:rsidRPr="00BE14A9">
              <w:t>Installation and commissioning</w:t>
            </w:r>
          </w:p>
        </w:tc>
      </w:tr>
    </w:tbl>
    <w:p w:rsidR="00A123E5" w:rsidP="00BE14A9">
      <w:pPr>
        <w:pStyle w:val="BodyText"/>
      </w:pPr>
    </w:p>
    <w:p w:rsidR="00A123E5" w:rsidP="00BE14A9">
      <w:pPr>
        <w:pStyle w:val="BodyText"/>
      </w:pPr>
    </w:p>
    <w:p w:rsidR="00000000" w:rsidRPr="00BE14A9" w:rsidP="00BE14A9"/>
    <w:sectPr w:rsidSect="00BE1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3E5" w:rsidP="00A123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3E5" w:rsidP="00BE14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23E5" w:rsidP="00BE1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23E5" w:rsidP="00BE1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A9" w:rsidRPr="00A123E5" w:rsidP="00A123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3E5" w:rsidRPr="002D2AF8" w:rsidP="00BE14A9">
    <w:pPr>
      <w:pStyle w:val="Header"/>
      <w:framePr w:wrap="around"/>
    </w:pPr>
    <w:r>
      <w:fldChar w:fldCharType="begin"/>
    </w:r>
    <w:r>
      <w:instrText xml:space="preserve"> TITLE   \* MERGEFORMAT </w:instrText>
    </w:r>
    <w:r>
      <w:fldChar w:fldCharType="separate"/>
    </w:r>
    <w:r>
      <w:t>MEM10008B Undertake commissioning procedures for plant and/or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123E5" w:rsidP="00BE14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2C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4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4A9"/>
    <w:pPr>
      <w:spacing w:before="360" w:after="60"/>
      <w:outlineLvl w:val="0"/>
    </w:pPr>
    <w:rPr>
      <w:sz w:val="32"/>
    </w:rPr>
  </w:style>
  <w:style w:type="paragraph" w:styleId="Heading2">
    <w:name w:val="heading 2"/>
    <w:basedOn w:val="HeadingBase"/>
    <w:next w:val="BodyText"/>
    <w:link w:val="Heading2Char"/>
    <w:qFormat/>
    <w:rsid w:val="00BE14A9"/>
    <w:pPr>
      <w:keepLines/>
      <w:spacing w:before="240" w:after="120"/>
      <w:outlineLvl w:val="1"/>
    </w:pPr>
    <w:rPr>
      <w:sz w:val="28"/>
      <w:szCs w:val="40"/>
    </w:rPr>
  </w:style>
  <w:style w:type="paragraph" w:styleId="Heading3">
    <w:name w:val="heading 3"/>
    <w:basedOn w:val="HeadingBase"/>
    <w:next w:val="BodyText"/>
    <w:link w:val="Heading3Char"/>
    <w:qFormat/>
    <w:rsid w:val="00BE14A9"/>
    <w:pPr>
      <w:spacing w:before="180" w:after="120"/>
      <w:outlineLvl w:val="2"/>
    </w:pPr>
    <w:rPr>
      <w:spacing w:val="-10"/>
      <w:kern w:val="32"/>
    </w:rPr>
  </w:style>
  <w:style w:type="paragraph" w:styleId="Heading4">
    <w:name w:val="heading 4"/>
    <w:basedOn w:val="HeadingBase"/>
    <w:next w:val="BodyText"/>
    <w:link w:val="Heading4Char"/>
    <w:qFormat/>
    <w:rsid w:val="00BE14A9"/>
    <w:pPr>
      <w:spacing w:before="160" w:after="120"/>
      <w:outlineLvl w:val="3"/>
    </w:pPr>
    <w:rPr>
      <w:sz w:val="22"/>
    </w:rPr>
  </w:style>
  <w:style w:type="paragraph" w:styleId="Heading5">
    <w:name w:val="heading 5"/>
    <w:basedOn w:val="HeadingBase"/>
    <w:next w:val="Normal"/>
    <w:link w:val="Heading5Char"/>
    <w:qFormat/>
    <w:rsid w:val="00BE14A9"/>
    <w:pPr>
      <w:spacing w:before="80"/>
      <w:outlineLvl w:val="4"/>
    </w:pPr>
    <w:rPr>
      <w:color w:val="918585"/>
      <w:sz w:val="20"/>
    </w:rPr>
  </w:style>
  <w:style w:type="paragraph" w:styleId="Heading6">
    <w:name w:val="heading 6"/>
    <w:basedOn w:val="HeadingBase"/>
    <w:next w:val="Normal"/>
    <w:link w:val="Heading6Char"/>
    <w:qFormat/>
    <w:rsid w:val="00BE14A9"/>
    <w:pPr>
      <w:spacing w:before="60"/>
      <w:outlineLvl w:val="5"/>
    </w:pPr>
    <w:rPr>
      <w:color w:val="918585"/>
      <w:sz w:val="20"/>
    </w:rPr>
  </w:style>
  <w:style w:type="paragraph" w:styleId="Heading7">
    <w:name w:val="heading 7"/>
    <w:basedOn w:val="Normal"/>
    <w:next w:val="Normal"/>
    <w:link w:val="Heading7Char"/>
    <w:qFormat/>
    <w:rsid w:val="00BE14A9"/>
    <w:pPr>
      <w:ind w:left="720"/>
      <w:outlineLvl w:val="6"/>
    </w:pPr>
    <w:rPr>
      <w:i/>
    </w:rPr>
  </w:style>
  <w:style w:type="paragraph" w:styleId="Heading8">
    <w:name w:val="heading 8"/>
    <w:basedOn w:val="Normal"/>
    <w:next w:val="Normal"/>
    <w:link w:val="Heading8Char"/>
    <w:qFormat/>
    <w:rsid w:val="00BE14A9"/>
    <w:pPr>
      <w:ind w:left="720"/>
      <w:outlineLvl w:val="7"/>
    </w:pPr>
    <w:rPr>
      <w:i/>
    </w:rPr>
  </w:style>
  <w:style w:type="paragraph" w:styleId="Heading9">
    <w:name w:val="heading 9"/>
    <w:basedOn w:val="Normal"/>
    <w:next w:val="Normal"/>
    <w:link w:val="Heading9Char"/>
    <w:qFormat/>
    <w:rsid w:val="00BE14A9"/>
    <w:pPr>
      <w:ind w:left="720"/>
      <w:outlineLvl w:val="8"/>
    </w:pPr>
    <w:rPr>
      <w:i/>
    </w:rPr>
  </w:style>
  <w:style w:type="character" w:default="1" w:styleId="DefaultParagraphFont">
    <w:name w:val="Default Paragraph Font"/>
    <w:uiPriority w:val="1"/>
    <w:unhideWhenUsed/>
    <w:rsid w:val="00BE1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4A9"/>
  </w:style>
  <w:style w:type="character" w:customStyle="1" w:styleId="Heading1Char">
    <w:name w:val="Heading 1 Char"/>
    <w:basedOn w:val="DefaultParagraphFont"/>
    <w:link w:val="Heading1"/>
    <w:rsid w:val="00BE14A9"/>
    <w:rPr>
      <w:rFonts w:ascii="Times New Roman" w:eastAsia="Times New Roman" w:hAnsi="Times New Roman" w:cs="Times New Roman"/>
      <w:b/>
      <w:sz w:val="32"/>
      <w:szCs w:val="20"/>
      <w:lang w:eastAsia="en-US"/>
    </w:rPr>
  </w:style>
  <w:style w:type="paragraph" w:styleId="BodyText">
    <w:name w:val="Body Text"/>
    <w:basedOn w:val="Normal"/>
    <w:link w:val="BodyTextChar"/>
    <w:rsid w:val="00BE1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4A9"/>
    <w:rPr>
      <w:rFonts w:ascii="Times New Roman" w:eastAsia="Times New Roman" w:hAnsi="Times New Roman" w:cs="Times New Roman"/>
      <w:sz w:val="24"/>
      <w:lang w:eastAsia="en-US"/>
    </w:rPr>
  </w:style>
  <w:style w:type="paragraph" w:styleId="Footer">
    <w:name w:val="footer"/>
    <w:basedOn w:val="Normal"/>
    <w:link w:val="FooterChar"/>
    <w:rsid w:val="00BE1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4A9"/>
    <w:rPr>
      <w:rFonts w:ascii="Times New Roman" w:eastAsia="Times New Roman" w:hAnsi="Times New Roman" w:cs="Times New Roman"/>
      <w:sz w:val="16"/>
      <w:lang w:eastAsia="en-US"/>
    </w:rPr>
  </w:style>
  <w:style w:type="paragraph" w:styleId="List">
    <w:name w:val="List"/>
    <w:basedOn w:val="BodyText"/>
    <w:next w:val="BodyText"/>
    <w:rsid w:val="00BE14A9"/>
    <w:pPr>
      <w:tabs>
        <w:tab w:val="left" w:pos="340"/>
      </w:tabs>
      <w:spacing w:before="60" w:after="60"/>
      <w:ind w:left="340" w:hanging="340"/>
    </w:pPr>
  </w:style>
  <w:style w:type="paragraph" w:styleId="ListBullet">
    <w:name w:val="List Bullet"/>
    <w:basedOn w:val="List"/>
    <w:rsid w:val="00BE14A9"/>
    <w:pPr>
      <w:numPr>
        <w:numId w:val="12"/>
      </w:numPr>
      <w:tabs>
        <w:tab w:val="clear" w:pos="340"/>
      </w:tabs>
      <w:spacing w:before="40" w:after="40"/>
    </w:pPr>
  </w:style>
  <w:style w:type="character" w:customStyle="1" w:styleId="SpecialBold">
    <w:name w:val="Special Bold"/>
    <w:basedOn w:val="DefaultParagraphFont"/>
    <w:rsid w:val="00BE14A9"/>
    <w:rPr>
      <w:b/>
      <w:spacing w:val="0"/>
    </w:rPr>
  </w:style>
  <w:style w:type="paragraph" w:customStyle="1" w:styleId="SuperHeading">
    <w:name w:val="SuperHeading"/>
    <w:basedOn w:val="Normal"/>
    <w:rsid w:val="00BE14A9"/>
    <w:pPr>
      <w:spacing w:before="240" w:after="120"/>
      <w:outlineLvl w:val="0"/>
    </w:pPr>
    <w:rPr>
      <w:rFonts w:ascii="Times New Roman" w:hAnsi="Times New Roman"/>
      <w:b/>
      <w:sz w:val="28"/>
    </w:rPr>
  </w:style>
  <w:style w:type="paragraph" w:customStyle="1" w:styleId="AllowPageBreak">
    <w:name w:val="AllowPageBreak"/>
    <w:rsid w:val="00BE14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4A9"/>
    <w:pPr>
      <w:tabs>
        <w:tab w:val="left" w:pos="680"/>
      </w:tabs>
      <w:spacing w:before="60" w:after="60"/>
      <w:ind w:left="680" w:hanging="340"/>
    </w:pPr>
  </w:style>
  <w:style w:type="character" w:customStyle="1" w:styleId="Heading2Char">
    <w:name w:val="Heading 2 Char"/>
    <w:basedOn w:val="DefaultParagraphFont"/>
    <w:link w:val="Heading2"/>
    <w:rsid w:val="00BE1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4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4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4A9"/>
    <w:rPr>
      <w:rFonts w:ascii="Courier New" w:eastAsia="Times New Roman" w:hAnsi="Courier New" w:cs="Times New Roman"/>
      <w:i/>
      <w:szCs w:val="20"/>
      <w:lang w:eastAsia="en-US"/>
    </w:rPr>
  </w:style>
  <w:style w:type="paragraph" w:customStyle="1" w:styleId="HeadingBase">
    <w:name w:val="Heading Base"/>
    <w:rsid w:val="00BE1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4A9"/>
    <w:pPr>
      <w:tabs>
        <w:tab w:val="right" w:leader="dot" w:pos="9072"/>
      </w:tabs>
      <w:ind w:left="567"/>
    </w:pPr>
    <w:rPr>
      <w:szCs w:val="22"/>
    </w:rPr>
  </w:style>
  <w:style w:type="paragraph" w:customStyle="1" w:styleId="TOCBase">
    <w:name w:val="TOC Base"/>
    <w:rsid w:val="00BE1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4A9"/>
    <w:pPr>
      <w:tabs>
        <w:tab w:val="right" w:leader="dot" w:pos="9072"/>
      </w:tabs>
      <w:spacing w:before="40" w:after="40"/>
      <w:ind w:left="284"/>
    </w:pPr>
    <w:rPr>
      <w:rFonts w:ascii="Times New Roman" w:hAnsi="Times New Roman"/>
    </w:rPr>
  </w:style>
  <w:style w:type="paragraph" w:styleId="TOC1">
    <w:name w:val="toc 1"/>
    <w:basedOn w:val="TOCBase"/>
    <w:next w:val="Normal"/>
    <w:rsid w:val="00BE1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4A9"/>
    <w:pPr>
      <w:spacing w:before="5040"/>
      <w:jc w:val="center"/>
    </w:pPr>
    <w:rPr>
      <w:sz w:val="48"/>
      <w:szCs w:val="72"/>
      <w:lang w:val="en-US"/>
    </w:rPr>
  </w:style>
  <w:style w:type="character" w:customStyle="1" w:styleId="TitleChar">
    <w:name w:val="Title Char"/>
    <w:basedOn w:val="DefaultParagraphFont"/>
    <w:link w:val="Title"/>
    <w:rsid w:val="00BE1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4A9"/>
    <w:pPr>
      <w:tabs>
        <w:tab w:val="left" w:pos="3600"/>
        <w:tab w:val="left" w:pos="3958"/>
      </w:tabs>
    </w:pPr>
  </w:style>
  <w:style w:type="paragraph" w:customStyle="1" w:styleId="Note">
    <w:name w:val="Note"/>
    <w:basedOn w:val="BodyText"/>
    <w:rsid w:val="00BE1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4A9"/>
    <w:pPr>
      <w:framePr w:wrap="auto" w:hAnchor="text" w:y="6049"/>
    </w:pPr>
    <w:rPr>
      <w:color w:val="000000"/>
      <w:sz w:val="40"/>
    </w:rPr>
  </w:style>
  <w:style w:type="paragraph" w:customStyle="1" w:styleId="TOCTitle">
    <w:name w:val="TOCTitle"/>
    <w:basedOn w:val="Heading1"/>
    <w:rsid w:val="00BE14A9"/>
    <w:pPr>
      <w:spacing w:after="240"/>
      <w:jc w:val="center"/>
      <w:outlineLvl w:val="9"/>
    </w:pPr>
    <w:rPr>
      <w:caps/>
    </w:rPr>
  </w:style>
  <w:style w:type="paragraph" w:customStyle="1" w:styleId="Version">
    <w:name w:val="Version"/>
    <w:rsid w:val="00BE14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4A9"/>
    <w:pPr>
      <w:numPr>
        <w:numId w:val="13"/>
      </w:numPr>
      <w:tabs>
        <w:tab w:val="clear" w:pos="680"/>
      </w:tabs>
    </w:pPr>
  </w:style>
  <w:style w:type="paragraph" w:styleId="Index1">
    <w:name w:val="index 1"/>
    <w:basedOn w:val="Normal"/>
    <w:next w:val="Normal"/>
    <w:semiHidden/>
    <w:rsid w:val="00BE14A9"/>
    <w:pPr>
      <w:keepNext w:val="0"/>
      <w:tabs>
        <w:tab w:val="right" w:pos="4176"/>
      </w:tabs>
      <w:ind w:left="198" w:hanging="198"/>
    </w:pPr>
    <w:rPr>
      <w:rFonts w:ascii="Garamond" w:hAnsi="Garamond"/>
    </w:rPr>
  </w:style>
  <w:style w:type="paragraph" w:styleId="IndexHeading">
    <w:name w:val="index heading"/>
    <w:basedOn w:val="Normal"/>
    <w:next w:val="Index1"/>
    <w:semiHidden/>
    <w:rsid w:val="00BE14A9"/>
    <w:pPr>
      <w:spacing w:before="120" w:after="120"/>
    </w:pPr>
    <w:rPr>
      <w:rFonts w:ascii="Arial" w:hAnsi="Arial"/>
      <w:b/>
      <w:color w:val="918585"/>
      <w:sz w:val="24"/>
    </w:rPr>
  </w:style>
  <w:style w:type="paragraph" w:styleId="Header">
    <w:name w:val="header"/>
    <w:basedOn w:val="Normal"/>
    <w:link w:val="HeaderChar"/>
    <w:rsid w:val="00BE1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4A9"/>
    <w:rPr>
      <w:rFonts w:ascii="Times New Roman" w:eastAsia="Times New Roman" w:hAnsi="Times New Roman" w:cs="Times New Roman"/>
      <w:sz w:val="16"/>
      <w:szCs w:val="20"/>
      <w:lang w:val="en-GB" w:eastAsia="en-US"/>
    </w:rPr>
  </w:style>
  <w:style w:type="paragraph" w:customStyle="1" w:styleId="Chapter">
    <w:name w:val="Chapter"/>
    <w:basedOn w:val="Normal"/>
    <w:rsid w:val="00BE14A9"/>
    <w:pPr>
      <w:spacing w:before="240"/>
    </w:pPr>
    <w:rPr>
      <w:rFonts w:ascii="Times New Roman" w:hAnsi="Times New Roman"/>
      <w:smallCaps/>
      <w:spacing w:val="80"/>
      <w:sz w:val="28"/>
    </w:rPr>
  </w:style>
  <w:style w:type="paragraph" w:customStyle="1" w:styleId="InChapter">
    <w:name w:val="InChapter"/>
    <w:basedOn w:val="Heading3"/>
    <w:rsid w:val="00BE14A9"/>
    <w:pPr>
      <w:spacing w:after="240"/>
      <w:outlineLvl w:val="9"/>
    </w:pPr>
    <w:rPr>
      <w:noProof/>
    </w:rPr>
  </w:style>
  <w:style w:type="paragraph" w:styleId="Index2">
    <w:name w:val="index 2"/>
    <w:basedOn w:val="Normal"/>
    <w:next w:val="Normal"/>
    <w:semiHidden/>
    <w:rsid w:val="00BE14A9"/>
    <w:pPr>
      <w:tabs>
        <w:tab w:val="right" w:pos="4176"/>
      </w:tabs>
      <w:ind w:left="568" w:hanging="284"/>
    </w:pPr>
    <w:rPr>
      <w:rFonts w:ascii="Garamond" w:hAnsi="Garamond"/>
    </w:rPr>
  </w:style>
  <w:style w:type="paragraph" w:customStyle="1" w:styleId="Byline">
    <w:name w:val="Byline"/>
    <w:rsid w:val="00BE1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4A9"/>
    <w:pPr>
      <w:tabs>
        <w:tab w:val="clear" w:pos="3600"/>
        <w:tab w:val="clear" w:pos="3958"/>
      </w:tabs>
      <w:jc w:val="right"/>
    </w:pPr>
  </w:style>
  <w:style w:type="character" w:styleId="Emphasis">
    <w:name w:val="Emphasis"/>
    <w:basedOn w:val="DefaultParagraphFont"/>
    <w:qFormat/>
    <w:rsid w:val="00BE14A9"/>
    <w:rPr>
      <w:i/>
    </w:rPr>
  </w:style>
  <w:style w:type="paragraph" w:styleId="Caption">
    <w:name w:val="caption"/>
    <w:basedOn w:val="BodyText"/>
    <w:next w:val="Normal"/>
    <w:qFormat/>
    <w:rsid w:val="00BE14A9"/>
    <w:pPr>
      <w:framePr w:w="2268" w:hSpace="181" w:vSpace="181" w:wrap="around" w:vAnchor="text" w:hAnchor="page" w:x="1135" w:y="285" w:anchorLock="1"/>
    </w:pPr>
    <w:rPr>
      <w:i/>
    </w:rPr>
  </w:style>
  <w:style w:type="paragraph" w:customStyle="1" w:styleId="MiniTOCTitle">
    <w:name w:val="MiniTOCTitle"/>
    <w:basedOn w:val="Heading4"/>
    <w:rsid w:val="00BE14A9"/>
    <w:pPr>
      <w:spacing w:before="240"/>
      <w:outlineLvl w:val="9"/>
    </w:pPr>
    <w:rPr>
      <w:noProof/>
      <w:sz w:val="24"/>
    </w:rPr>
  </w:style>
  <w:style w:type="paragraph" w:customStyle="1" w:styleId="MiniTOCItem">
    <w:name w:val="MiniTOCItem"/>
    <w:basedOn w:val="ListBullet"/>
    <w:rsid w:val="00BE14A9"/>
    <w:pPr>
      <w:numPr>
        <w:numId w:val="0"/>
      </w:numPr>
      <w:tabs>
        <w:tab w:val="right" w:leader="dot" w:pos="6521"/>
      </w:tabs>
      <w:spacing w:before="0" w:after="0"/>
    </w:pPr>
  </w:style>
  <w:style w:type="paragraph" w:customStyle="1" w:styleId="TOFTitle">
    <w:name w:val="TOFTitle"/>
    <w:basedOn w:val="TOCTitle"/>
    <w:rsid w:val="00BE14A9"/>
  </w:style>
  <w:style w:type="paragraph" w:styleId="TableofFigures">
    <w:name w:val="table of figures"/>
    <w:basedOn w:val="Normal"/>
    <w:next w:val="Normal"/>
    <w:semiHidden/>
    <w:rsid w:val="00BE14A9"/>
    <w:pPr>
      <w:tabs>
        <w:tab w:val="right" w:leader="dot" w:pos="9072"/>
      </w:tabs>
      <w:ind w:left="970" w:hanging="403"/>
    </w:pPr>
    <w:rPr>
      <w:rFonts w:ascii="Times New Roman" w:hAnsi="Times New Roman"/>
      <w:b/>
    </w:rPr>
  </w:style>
  <w:style w:type="paragraph" w:styleId="ListNumber">
    <w:name w:val="List Number"/>
    <w:basedOn w:val="List"/>
    <w:rsid w:val="00BE14A9"/>
    <w:pPr>
      <w:numPr>
        <w:numId w:val="10"/>
      </w:numPr>
    </w:pPr>
  </w:style>
  <w:style w:type="character" w:customStyle="1" w:styleId="WingdingSymbols">
    <w:name w:val="Wingding Symbols"/>
    <w:rsid w:val="00BE14A9"/>
    <w:rPr>
      <w:rFonts w:ascii="Wingdings" w:hAnsi="Wingdings"/>
    </w:rPr>
  </w:style>
  <w:style w:type="paragraph" w:customStyle="1" w:styleId="TableHeading">
    <w:name w:val="Table Heading"/>
    <w:basedOn w:val="HeadingBase"/>
    <w:rsid w:val="00BE14A9"/>
    <w:pPr>
      <w:keepLines/>
      <w:pBdr>
        <w:bottom w:val="single" w:sz="6" w:space="1" w:color="918585"/>
      </w:pBdr>
      <w:spacing w:before="240"/>
    </w:pPr>
  </w:style>
  <w:style w:type="character" w:customStyle="1" w:styleId="HotSpot">
    <w:name w:val="HotSpot"/>
    <w:rsid w:val="00BE14A9"/>
    <w:rPr>
      <w:color w:val="0033CC"/>
      <w:u w:val="none"/>
    </w:rPr>
  </w:style>
  <w:style w:type="paragraph" w:customStyle="1" w:styleId="BodyTextRight">
    <w:name w:val="Body Text Right"/>
    <w:basedOn w:val="BodyText"/>
    <w:rsid w:val="00BE14A9"/>
    <w:pPr>
      <w:spacing w:before="0" w:after="0"/>
      <w:jc w:val="right"/>
    </w:pPr>
  </w:style>
  <w:style w:type="paragraph" w:styleId="Index3">
    <w:name w:val="index 3"/>
    <w:basedOn w:val="ListNumber2"/>
    <w:next w:val="Normal"/>
    <w:semiHidden/>
    <w:rsid w:val="00BE14A9"/>
    <w:pPr>
      <w:numPr>
        <w:numId w:val="0"/>
      </w:numPr>
      <w:tabs>
        <w:tab w:val="right" w:leader="dot" w:pos="4176"/>
      </w:tabs>
    </w:pPr>
  </w:style>
  <w:style w:type="paragraph" w:styleId="ListNumber2">
    <w:name w:val="List Number 2"/>
    <w:basedOn w:val="List2"/>
    <w:rsid w:val="00BE14A9"/>
    <w:pPr>
      <w:numPr>
        <w:numId w:val="9"/>
      </w:numPr>
      <w:tabs>
        <w:tab w:val="clear" w:pos="1060"/>
      </w:tabs>
    </w:pPr>
  </w:style>
  <w:style w:type="paragraph" w:customStyle="1" w:styleId="MarginNote">
    <w:name w:val="Margin Note"/>
    <w:basedOn w:val="BodyText"/>
    <w:rsid w:val="00BE1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4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4A9"/>
    <w:rPr>
      <w:sz w:val="32"/>
    </w:rPr>
  </w:style>
  <w:style w:type="paragraph" w:customStyle="1" w:styleId="HeadingProcedure">
    <w:name w:val="Heading Procedure"/>
    <w:basedOn w:val="HeadingBase"/>
    <w:next w:val="Normal"/>
    <w:rsid w:val="00BE14A9"/>
    <w:pPr>
      <w:tabs>
        <w:tab w:val="left" w:pos="0"/>
      </w:tabs>
      <w:spacing w:before="120" w:after="60"/>
    </w:pPr>
    <w:rPr>
      <w:i/>
      <w:color w:val="918585"/>
      <w:sz w:val="22"/>
    </w:rPr>
  </w:style>
  <w:style w:type="paragraph" w:customStyle="1" w:styleId="TableBodyText">
    <w:name w:val="Table Body Text"/>
    <w:basedOn w:val="BodyText"/>
    <w:rsid w:val="00BE14A9"/>
    <w:pPr>
      <w:spacing w:before="60" w:after="60"/>
    </w:pPr>
  </w:style>
  <w:style w:type="paragraph" w:styleId="ListContinue">
    <w:name w:val="List Continue"/>
    <w:basedOn w:val="List"/>
    <w:rsid w:val="00BE14A9"/>
    <w:pPr>
      <w:ind w:firstLine="0"/>
    </w:pPr>
  </w:style>
  <w:style w:type="paragraph" w:customStyle="1" w:styleId="ListNote">
    <w:name w:val="List Note"/>
    <w:basedOn w:val="List"/>
    <w:rsid w:val="00BE14A9"/>
    <w:pPr>
      <w:pBdr>
        <w:top w:val="single" w:sz="6" w:space="2" w:color="918585"/>
        <w:bottom w:val="single" w:sz="6" w:space="2" w:color="918585"/>
      </w:pBdr>
      <w:tabs>
        <w:tab w:val="left" w:pos="1021"/>
      </w:tabs>
      <w:ind w:firstLine="0"/>
    </w:pPr>
  </w:style>
  <w:style w:type="paragraph" w:customStyle="1" w:styleId="Warning">
    <w:name w:val="Warning"/>
    <w:basedOn w:val="BodyText"/>
    <w:rsid w:val="00BE14A9"/>
    <w:pPr>
      <w:shd w:val="clear" w:color="auto" w:fill="D9D9D9"/>
      <w:tabs>
        <w:tab w:val="left" w:pos="992"/>
      </w:tabs>
      <w:ind w:left="119" w:right="119"/>
    </w:pPr>
    <w:rPr>
      <w:sz w:val="20"/>
    </w:rPr>
  </w:style>
  <w:style w:type="paragraph" w:customStyle="1" w:styleId="MarginIcons">
    <w:name w:val="Margin Icons"/>
    <w:basedOn w:val="BodyText"/>
    <w:rsid w:val="00BE1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4A9"/>
    <w:rPr>
      <w:rFonts w:ascii="Courier New" w:hAnsi="Courier New"/>
    </w:rPr>
  </w:style>
  <w:style w:type="paragraph" w:customStyle="1" w:styleId="NoteBullet">
    <w:name w:val="Note Bullet"/>
    <w:basedOn w:val="Note"/>
    <w:rsid w:val="00BE14A9"/>
    <w:pPr>
      <w:tabs>
        <w:tab w:val="clear" w:pos="680"/>
      </w:tabs>
      <w:spacing w:before="60" w:after="60"/>
    </w:pPr>
  </w:style>
  <w:style w:type="paragraph" w:customStyle="1" w:styleId="SubHeading2">
    <w:name w:val="SubHeading2"/>
    <w:basedOn w:val="HeadingBase"/>
    <w:rsid w:val="00BE14A9"/>
    <w:pPr>
      <w:spacing w:before="240" w:after="60"/>
    </w:pPr>
    <w:rPr>
      <w:sz w:val="20"/>
    </w:rPr>
  </w:style>
  <w:style w:type="paragraph" w:customStyle="1" w:styleId="SubHeading1">
    <w:name w:val="SubHeading1"/>
    <w:basedOn w:val="HeadingBase"/>
    <w:rsid w:val="00BE14A9"/>
    <w:pPr>
      <w:spacing w:before="240" w:after="60"/>
    </w:pPr>
    <w:rPr>
      <w:color w:val="918585"/>
      <w:sz w:val="22"/>
    </w:rPr>
  </w:style>
  <w:style w:type="paragraph" w:customStyle="1" w:styleId="SideHeading">
    <w:name w:val="Side Heading"/>
    <w:basedOn w:val="HeadingBase"/>
    <w:rsid w:val="00BE1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4A9"/>
    <w:pPr>
      <w:tabs>
        <w:tab w:val="num" w:pos="360"/>
      </w:tabs>
    </w:pPr>
  </w:style>
  <w:style w:type="paragraph" w:styleId="PlainText">
    <w:name w:val="Plain Text"/>
    <w:basedOn w:val="Normal"/>
    <w:link w:val="PlainTextChar"/>
    <w:rsid w:val="00BE14A9"/>
    <w:rPr>
      <w:sz w:val="20"/>
    </w:rPr>
  </w:style>
  <w:style w:type="character" w:customStyle="1" w:styleId="PlainTextChar">
    <w:name w:val="Plain Text Char"/>
    <w:basedOn w:val="DefaultParagraphFont"/>
    <w:link w:val="PlainText"/>
    <w:rsid w:val="00BE14A9"/>
    <w:rPr>
      <w:rFonts w:ascii="Courier New" w:eastAsia="Times New Roman" w:hAnsi="Courier New" w:cs="Times New Roman"/>
      <w:sz w:val="20"/>
      <w:szCs w:val="20"/>
      <w:lang w:eastAsia="en-US"/>
    </w:rPr>
  </w:style>
  <w:style w:type="character" w:customStyle="1" w:styleId="MenuOption">
    <w:name w:val="Menu Option"/>
    <w:basedOn w:val="DefaultParagraphFont"/>
    <w:rsid w:val="00BE14A9"/>
    <w:rPr>
      <w:b/>
      <w:smallCaps/>
    </w:rPr>
  </w:style>
  <w:style w:type="paragraph" w:customStyle="1" w:styleId="TableListNumber">
    <w:name w:val="Table List Number"/>
    <w:basedOn w:val="ListNumber"/>
    <w:rsid w:val="00BE14A9"/>
    <w:pPr>
      <w:numPr>
        <w:numId w:val="0"/>
      </w:numPr>
    </w:pPr>
  </w:style>
  <w:style w:type="paragraph" w:styleId="TOC4">
    <w:name w:val="toc 4"/>
    <w:basedOn w:val="TOCBase"/>
    <w:next w:val="Normal"/>
    <w:semiHidden/>
    <w:rsid w:val="00BE14A9"/>
    <w:pPr>
      <w:tabs>
        <w:tab w:val="right" w:leader="dot" w:pos="9071"/>
      </w:tabs>
      <w:ind w:left="1701"/>
    </w:pPr>
  </w:style>
  <w:style w:type="paragraph" w:customStyle="1" w:styleId="ListAlpha">
    <w:name w:val="List Alpha"/>
    <w:basedOn w:val="List"/>
    <w:rsid w:val="00BE14A9"/>
    <w:pPr>
      <w:numPr>
        <w:numId w:val="8"/>
      </w:numPr>
    </w:pPr>
  </w:style>
  <w:style w:type="paragraph" w:customStyle="1" w:styleId="ListAlpha2">
    <w:name w:val="List Alpha 2"/>
    <w:basedOn w:val="List2"/>
    <w:rsid w:val="00BE14A9"/>
    <w:pPr>
      <w:numPr>
        <w:numId w:val="7"/>
      </w:numPr>
    </w:pPr>
  </w:style>
  <w:style w:type="paragraph" w:styleId="List3">
    <w:name w:val="List 3"/>
    <w:basedOn w:val="BodyText"/>
    <w:rsid w:val="00BE14A9"/>
    <w:pPr>
      <w:tabs>
        <w:tab w:val="left" w:pos="1021"/>
      </w:tabs>
      <w:spacing w:before="60" w:after="60"/>
      <w:ind w:left="1020" w:hanging="340"/>
    </w:pPr>
  </w:style>
  <w:style w:type="paragraph" w:styleId="List4">
    <w:name w:val="List 4"/>
    <w:basedOn w:val="BodyText"/>
    <w:rsid w:val="00BE14A9"/>
    <w:pPr>
      <w:tabs>
        <w:tab w:val="left" w:pos="1361"/>
      </w:tabs>
      <w:spacing w:before="60" w:after="60"/>
      <w:ind w:left="1361" w:hanging="340"/>
    </w:pPr>
  </w:style>
  <w:style w:type="paragraph" w:styleId="List5">
    <w:name w:val="List 5"/>
    <w:basedOn w:val="BodyText"/>
    <w:rsid w:val="00BE14A9"/>
    <w:pPr>
      <w:tabs>
        <w:tab w:val="left" w:pos="1701"/>
      </w:tabs>
      <w:spacing w:before="60" w:after="60"/>
      <w:ind w:left="1701" w:hanging="340"/>
    </w:pPr>
  </w:style>
  <w:style w:type="paragraph" w:styleId="ListBullet3">
    <w:name w:val="List Bullet 3"/>
    <w:basedOn w:val="List3"/>
    <w:rsid w:val="00BE14A9"/>
    <w:pPr>
      <w:numPr>
        <w:numId w:val="14"/>
      </w:numPr>
      <w:tabs>
        <w:tab w:val="clear" w:pos="1021"/>
      </w:tabs>
      <w:ind w:left="1037" w:hanging="357"/>
    </w:pPr>
  </w:style>
  <w:style w:type="paragraph" w:styleId="ListBullet4">
    <w:name w:val="List Bullet 4"/>
    <w:basedOn w:val="List4"/>
    <w:rsid w:val="00BE14A9"/>
    <w:pPr>
      <w:numPr>
        <w:numId w:val="2"/>
      </w:numPr>
    </w:pPr>
  </w:style>
  <w:style w:type="paragraph" w:styleId="ListBullet5">
    <w:name w:val="List Bullet 5"/>
    <w:basedOn w:val="List5"/>
    <w:rsid w:val="00BE14A9"/>
    <w:pPr>
      <w:numPr>
        <w:numId w:val="3"/>
      </w:numPr>
    </w:pPr>
  </w:style>
  <w:style w:type="paragraph" w:styleId="ListContinue2">
    <w:name w:val="List Continue 2"/>
    <w:basedOn w:val="List2"/>
    <w:rsid w:val="00BE14A9"/>
    <w:pPr>
      <w:ind w:firstLine="0"/>
    </w:pPr>
  </w:style>
  <w:style w:type="paragraph" w:styleId="ListContinue3">
    <w:name w:val="List Continue 3"/>
    <w:basedOn w:val="List3"/>
    <w:rsid w:val="00BE14A9"/>
    <w:pPr>
      <w:ind w:left="1021" w:firstLine="0"/>
    </w:pPr>
  </w:style>
  <w:style w:type="paragraph" w:styleId="ListContinue4">
    <w:name w:val="List Continue 4"/>
    <w:basedOn w:val="List4"/>
    <w:rsid w:val="00BE14A9"/>
    <w:pPr>
      <w:ind w:firstLine="0"/>
    </w:pPr>
  </w:style>
  <w:style w:type="paragraph" w:styleId="ListContinue5">
    <w:name w:val="List Continue 5"/>
    <w:basedOn w:val="List5"/>
    <w:rsid w:val="00BE14A9"/>
    <w:pPr>
      <w:ind w:firstLine="0"/>
    </w:pPr>
  </w:style>
  <w:style w:type="paragraph" w:styleId="ListNumber3">
    <w:name w:val="List Number 3"/>
    <w:basedOn w:val="List3"/>
    <w:rsid w:val="00BE14A9"/>
    <w:pPr>
      <w:numPr>
        <w:numId w:val="4"/>
      </w:numPr>
    </w:pPr>
  </w:style>
  <w:style w:type="paragraph" w:styleId="ListNumber4">
    <w:name w:val="List Number 4"/>
    <w:basedOn w:val="List4"/>
    <w:rsid w:val="00BE14A9"/>
    <w:pPr>
      <w:numPr>
        <w:numId w:val="5"/>
      </w:numPr>
    </w:pPr>
  </w:style>
  <w:style w:type="paragraph" w:styleId="ListNumber5">
    <w:name w:val="List Number 5"/>
    <w:basedOn w:val="List5"/>
    <w:rsid w:val="00BE14A9"/>
    <w:pPr>
      <w:numPr>
        <w:numId w:val="6"/>
      </w:numPr>
    </w:pPr>
  </w:style>
  <w:style w:type="paragraph" w:styleId="BlockText">
    <w:name w:val="Block Text"/>
    <w:basedOn w:val="Normal"/>
    <w:rsid w:val="00BE14A9"/>
    <w:pPr>
      <w:spacing w:after="120"/>
      <w:ind w:left="1440" w:right="1440"/>
    </w:pPr>
  </w:style>
  <w:style w:type="character" w:customStyle="1" w:styleId="Subscript">
    <w:name w:val="Subscript"/>
    <w:basedOn w:val="DefaultParagraphFont"/>
    <w:rsid w:val="00BE14A9"/>
    <w:rPr>
      <w:sz w:val="16"/>
      <w:vertAlign w:val="subscript"/>
    </w:rPr>
  </w:style>
  <w:style w:type="character" w:customStyle="1" w:styleId="Superscript">
    <w:name w:val="Superscript"/>
    <w:basedOn w:val="DefaultParagraphFont"/>
    <w:rsid w:val="00BE14A9"/>
    <w:rPr>
      <w:sz w:val="16"/>
      <w:vertAlign w:val="superscript"/>
    </w:rPr>
  </w:style>
  <w:style w:type="character" w:customStyle="1" w:styleId="Symbols">
    <w:name w:val="Symbols"/>
    <w:basedOn w:val="DefaultParagraphFont"/>
    <w:rsid w:val="00BE14A9"/>
    <w:rPr>
      <w:rFonts w:ascii="Symbol" w:hAnsi="Symbol"/>
    </w:rPr>
  </w:style>
  <w:style w:type="character" w:customStyle="1" w:styleId="MenuOptions">
    <w:name w:val="Menu Options"/>
    <w:basedOn w:val="DefaultParagraphFont"/>
    <w:rsid w:val="00BE14A9"/>
    <w:rPr>
      <w:rFonts w:ascii="Arial Narrow" w:hAnsi="Arial Narrow"/>
      <w:smallCaps/>
    </w:rPr>
  </w:style>
  <w:style w:type="character" w:customStyle="1" w:styleId="Buttons">
    <w:name w:val="Buttons"/>
    <w:basedOn w:val="DefaultParagraphFont"/>
    <w:rsid w:val="00BE14A9"/>
    <w:rPr>
      <w:b/>
    </w:rPr>
  </w:style>
  <w:style w:type="character" w:customStyle="1" w:styleId="Underlined">
    <w:name w:val="Underlined"/>
    <w:basedOn w:val="DefaultParagraphFont"/>
    <w:rsid w:val="00BE14A9"/>
    <w:rPr>
      <w:u w:val="single"/>
    </w:rPr>
  </w:style>
  <w:style w:type="paragraph" w:customStyle="1" w:styleId="TableBodyTextRight">
    <w:name w:val="Table Body Text Right"/>
    <w:basedOn w:val="TableBodyText"/>
    <w:rsid w:val="00BE14A9"/>
    <w:pPr>
      <w:widowControl w:val="0"/>
      <w:autoSpaceDE w:val="0"/>
      <w:autoSpaceDN w:val="0"/>
      <w:adjustRightInd w:val="0"/>
      <w:jc w:val="right"/>
    </w:pPr>
    <w:rPr>
      <w:rFonts w:cs="Arial"/>
      <w:szCs w:val="18"/>
    </w:rPr>
  </w:style>
  <w:style w:type="paragraph" w:customStyle="1" w:styleId="CopyrightText">
    <w:name w:val="Copyright Text"/>
    <w:basedOn w:val="BodyText"/>
    <w:rsid w:val="00BE14A9"/>
    <w:rPr>
      <w:sz w:val="18"/>
    </w:rPr>
  </w:style>
  <w:style w:type="paragraph" w:customStyle="1" w:styleId="BodySmallRight">
    <w:name w:val="Body Small Right"/>
    <w:basedOn w:val="BodyTextRight"/>
    <w:rsid w:val="00BE14A9"/>
    <w:rPr>
      <w:sz w:val="18"/>
      <w:szCs w:val="18"/>
    </w:rPr>
  </w:style>
  <w:style w:type="paragraph" w:customStyle="1" w:styleId="MarginEdition">
    <w:name w:val="Margin Edition"/>
    <w:basedOn w:val="MarginNote"/>
    <w:rsid w:val="00BE14A9"/>
    <w:pPr>
      <w:spacing w:before="0" w:after="0"/>
    </w:pPr>
    <w:rPr>
      <w:rFonts w:ascii="Times New Roman" w:hAnsi="Times New Roman"/>
      <w:color w:val="999999"/>
    </w:rPr>
  </w:style>
  <w:style w:type="paragraph" w:customStyle="1" w:styleId="Spacer">
    <w:name w:val="Spacer"/>
    <w:basedOn w:val="Normal"/>
    <w:rsid w:val="00BE14A9"/>
    <w:rPr>
      <w:sz w:val="2"/>
      <w:szCs w:val="2"/>
    </w:rPr>
  </w:style>
  <w:style w:type="character" w:customStyle="1" w:styleId="Small">
    <w:name w:val="Small"/>
    <w:basedOn w:val="DefaultParagraphFont"/>
    <w:rsid w:val="00BE14A9"/>
    <w:rPr>
      <w:sz w:val="16"/>
    </w:rPr>
  </w:style>
  <w:style w:type="paragraph" w:customStyle="1" w:styleId="WideTable">
    <w:name w:val="Wide Table"/>
    <w:basedOn w:val="Normal"/>
    <w:rsid w:val="00BE14A9"/>
    <w:pPr>
      <w:ind w:left="-1418"/>
    </w:pPr>
    <w:rPr>
      <w:sz w:val="2"/>
      <w:szCs w:val="2"/>
    </w:rPr>
  </w:style>
  <w:style w:type="character" w:styleId="PageNumber">
    <w:name w:val="page number"/>
    <w:basedOn w:val="DefaultParagraphFont"/>
    <w:rsid w:val="00BE14A9"/>
  </w:style>
  <w:style w:type="paragraph" w:styleId="Quote">
    <w:name w:val="Quote"/>
    <w:basedOn w:val="Heading1"/>
    <w:link w:val="QuoteChar"/>
    <w:qFormat/>
    <w:rsid w:val="00BE14A9"/>
    <w:rPr>
      <w:b w:val="0"/>
      <w:sz w:val="72"/>
      <w:szCs w:val="72"/>
      <w:lang w:val="en-NZ"/>
    </w:rPr>
  </w:style>
  <w:style w:type="character" w:customStyle="1" w:styleId="QuoteChar">
    <w:name w:val="Quote Char"/>
    <w:basedOn w:val="DefaultParagraphFont"/>
    <w:link w:val="Quote"/>
    <w:rsid w:val="00BE1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4A9"/>
    <w:pPr>
      <w:pageBreakBefore/>
    </w:pPr>
  </w:style>
  <w:style w:type="paragraph" w:customStyle="1" w:styleId="Border">
    <w:name w:val="Border"/>
    <w:basedOn w:val="Normal"/>
    <w:qFormat/>
    <w:rsid w:val="00BE1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4A9"/>
    <w:rPr>
      <w:b/>
      <w:bCs/>
      <w:i/>
      <w:iCs/>
      <w:color w:val="auto"/>
    </w:rPr>
  </w:style>
  <w:style w:type="paragraph" w:styleId="IntenseQuote">
    <w:name w:val="Intense Quote"/>
    <w:basedOn w:val="Normal"/>
    <w:next w:val="Normal"/>
    <w:link w:val="IntenseQuoteChar"/>
    <w:uiPriority w:val="30"/>
    <w:qFormat/>
    <w:rsid w:val="00BE1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4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4A9"/>
    <w:rPr>
      <w:smallCaps/>
      <w:color w:val="auto"/>
      <w:u w:val="single"/>
    </w:rPr>
  </w:style>
  <w:style w:type="character" w:styleId="IntenseReference">
    <w:name w:val="Intense Reference"/>
    <w:basedOn w:val="DefaultParagraphFont"/>
    <w:uiPriority w:val="32"/>
    <w:qFormat/>
    <w:rsid w:val="00BE14A9"/>
    <w:rPr>
      <w:b/>
      <w:bCs/>
      <w:smallCaps/>
      <w:color w:val="auto"/>
      <w:spacing w:val="5"/>
      <w:u w:val="single"/>
    </w:rPr>
  </w:style>
  <w:style w:type="paragraph" w:customStyle="1" w:styleId="2ColumnHeading">
    <w:name w:val="2Column Heading"/>
    <w:basedOn w:val="BodyText"/>
    <w:qFormat/>
    <w:rsid w:val="00BE14A9"/>
    <w:pPr>
      <w:spacing w:after="60"/>
      <w:ind w:left="-2268"/>
    </w:pPr>
    <w:rPr>
      <w:b/>
    </w:rPr>
  </w:style>
  <w:style w:type="paragraph" w:customStyle="1" w:styleId="Heading1TOC">
    <w:name w:val="Heading1 TOC"/>
    <w:basedOn w:val="Normal"/>
    <w:qFormat/>
    <w:rsid w:val="00BE14A9"/>
    <w:pPr>
      <w:spacing w:before="240" w:after="120"/>
    </w:pPr>
    <w:rPr>
      <w:rFonts w:ascii="Times New Roman" w:hAnsi="Times New Roman"/>
      <w:b/>
      <w:sz w:val="32"/>
    </w:rPr>
  </w:style>
  <w:style w:type="paragraph" w:customStyle="1" w:styleId="Heading2TOC">
    <w:name w:val="Heading2 TOC"/>
    <w:basedOn w:val="Normal"/>
    <w:qFormat/>
    <w:rsid w:val="00BE14A9"/>
    <w:pPr>
      <w:spacing w:before="240" w:after="60"/>
    </w:pPr>
    <w:rPr>
      <w:rFonts w:ascii="Times New Roman" w:hAnsi="Times New Roman"/>
      <w:b/>
      <w:sz w:val="28"/>
    </w:rPr>
  </w:style>
  <w:style w:type="character" w:customStyle="1" w:styleId="Underline">
    <w:name w:val="Underline"/>
    <w:basedOn w:val="DefaultParagraphFont"/>
    <w:qFormat/>
    <w:rsid w:val="00BE14A9"/>
    <w:rPr>
      <w:u w:val="single"/>
    </w:rPr>
  </w:style>
  <w:style w:type="character" w:customStyle="1" w:styleId="BoldandItalics">
    <w:name w:val="Bold and Italics"/>
    <w:qFormat/>
    <w:rsid w:val="00BE14A9"/>
    <w:rPr>
      <w:b/>
      <w:i/>
      <w:u w:val="none"/>
    </w:rPr>
  </w:style>
  <w:style w:type="paragraph" w:styleId="BalloonText">
    <w:name w:val="Balloon Text"/>
    <w:basedOn w:val="Normal"/>
    <w:link w:val="BalloonTextChar"/>
    <w:rsid w:val="00BE14A9"/>
    <w:rPr>
      <w:rFonts w:ascii="Tahoma" w:hAnsi="Tahoma" w:cs="Tahoma"/>
      <w:sz w:val="16"/>
      <w:szCs w:val="16"/>
    </w:rPr>
  </w:style>
  <w:style w:type="character" w:customStyle="1" w:styleId="BalloonTextChar">
    <w:name w:val="Balloon Text Char"/>
    <w:basedOn w:val="DefaultParagraphFont"/>
    <w:link w:val="BalloonText"/>
    <w:rsid w:val="00BE14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4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4A9"/>
    <w:rPr>
      <w:b/>
      <w:color w:val="660033"/>
      <w:spacing w:val="0"/>
    </w:rPr>
  </w:style>
  <w:style w:type="paragraph" w:customStyle="1" w:styleId="Nameditemlist">
    <w:name w:val="Named item list"/>
    <w:basedOn w:val="BodyText"/>
    <w:qFormat/>
    <w:rsid w:val="00BE14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1265</Words>
  <Characters>8354</Characters>
  <Application>Microsoft Office Word</Application>
  <DocSecurity>0</DocSecurity>
  <Lines>347</Lines>
  <Paragraphs>165</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MEM10008B Undertake commissioning procedures for plant and/or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2012-10-05T06:26:00Z</dcterms:created>
  <dcterms:modified xsi:type="dcterms:W3CDTF">2012-10-05T06:26:00Z</dcterms:modified>
</cp:coreProperties>
</file>