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153" w:rsidP="00BE2153">
      <w:pPr>
        <w:pStyle w:val="Title"/>
      </w:pPr>
      <w:bookmarkStart w:id="0" w:name="_GoBack"/>
      <w:bookmarkEnd w:id="0"/>
      <w:r>
        <w:fldChar w:fldCharType="begin"/>
      </w:r>
      <w:r>
        <w:instrText xml:space="preserve"> TITLE   \* MERGEFORMAT </w:instrText>
      </w:r>
      <w:r>
        <w:fldChar w:fldCharType="separate"/>
      </w:r>
      <w:r>
        <w:t>MEM09212A Produce detailed drawings of steel to non-steel connections</w:t>
      </w:r>
      <w:r>
        <w:fldChar w:fldCharType="end"/>
      </w:r>
    </w:p>
    <w:p w:rsidR="00BE2153" w:rsidP="00BE2153">
      <w:pPr>
        <w:pStyle w:val="Version"/>
        <w:sectPr w:rsidSect="00C52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5CD" w:rsidP="00C525CD">
      <w:pPr>
        <w:pStyle w:val="SuperHeading"/>
      </w:pPr>
      <w:r w:rsidRPr="00C525CD">
        <w:t>MEM09212A Produce detailed drawings of steel to non-steel connections</w:t>
      </w:r>
    </w:p>
    <w:p w:rsidR="00000000" w:rsidRPr="00C525CD" w:rsidP="00C525CD">
      <w:pPr>
        <w:pStyle w:val="Heading1"/>
      </w:pPr>
      <w:bookmarkStart w:id="1" w:name="O_476913"/>
      <w:bookmarkEnd w:id="1"/>
      <w:r w:rsidRPr="00C525CD">
        <w:t>Modification History</w:t>
      </w:r>
    </w:p>
    <w:p w:rsidR="00000000" w:rsidRPr="00C525CD" w:rsidP="00C525CD">
      <w:pPr>
        <w:pStyle w:val="BodyText"/>
      </w:pPr>
      <w:r w:rsidRPr="00C525CD">
        <w:t>Release 1 - New unit of competency</w:t>
      </w:r>
    </w:p>
    <w:p w:rsidR="00000000" w:rsidRPr="00C525CD" w:rsidP="00C525CD">
      <w:pPr>
        <w:pStyle w:val="AllowPageBreak"/>
      </w:pPr>
    </w:p>
    <w:p w:rsidR="00000000" w:rsidRPr="00C525CD" w:rsidP="00C525CD">
      <w:pPr>
        <w:pStyle w:val="Heading1"/>
      </w:pPr>
      <w:bookmarkStart w:id="2" w:name="O_476914"/>
      <w:bookmarkEnd w:id="2"/>
      <w:r w:rsidRPr="00C525CD">
        <w:t>Unit Descriptor</w:t>
      </w:r>
    </w:p>
    <w:p w:rsidR="00000000" w:rsidRPr="00C525CD" w:rsidP="00C525CD">
      <w:pPr>
        <w:pStyle w:val="BodyText"/>
      </w:pPr>
      <w:r w:rsidRPr="00C525CD">
        <w:t>This unit of competency covers the skills and knowledge required to pro</w:t>
      </w:r>
      <w:r w:rsidRPr="00C525CD">
        <w:t>duce detailed engineering drawings for connections of non-steel to steel components. Drawings are completed to relevant Australian Standards (AS).</w:t>
      </w:r>
    </w:p>
    <w:p w:rsidR="00000000" w:rsidRPr="00C525CD" w:rsidP="00C525CD">
      <w:pPr>
        <w:pStyle w:val="AllowPageBreak"/>
      </w:pPr>
    </w:p>
    <w:p w:rsidR="00000000" w:rsidRPr="00C525CD" w:rsidP="00C525CD">
      <w:pPr>
        <w:pStyle w:val="Heading1"/>
      </w:pPr>
      <w:bookmarkStart w:id="3" w:name="O_476915"/>
      <w:bookmarkEnd w:id="3"/>
      <w:r w:rsidRPr="00C525CD">
        <w:t>Application of the Unit</w:t>
      </w:r>
    </w:p>
    <w:p w:rsidR="00000000" w:rsidRPr="00C525CD" w:rsidP="00C525CD">
      <w:pPr>
        <w:pStyle w:val="BodyText"/>
      </w:pPr>
      <w:r w:rsidRPr="00C525CD">
        <w:t>This unit is suitable for those working within a drafting work envir</w:t>
      </w:r>
      <w:r w:rsidRPr="00C525CD">
        <w:t>onment. Drawings will usually be carried out with the use of computer-aided design (CAD) systems but may also be done manually. Drawings are produced to AS 1100.101–1992 Technical drawing General principles, from predetermined critical dimensions and speci</w:t>
      </w:r>
      <w:r w:rsidRPr="00C525CD">
        <w:t>fications. If CAD systems are to be used, the unit MEM30031A Operate computer-aided design (CAD) system to produce basic drawing elements, should also be selected.</w:t>
      </w:r>
    </w:p>
    <w:p w:rsidR="00000000" w:rsidRPr="00C525CD" w:rsidP="00C525CD">
      <w:pPr>
        <w:pStyle w:val="BodyText"/>
      </w:pPr>
      <w:r w:rsidRPr="00C525CD">
        <w:t xml:space="preserve">This unit applies to detail drafting work for drawings where steel components are connected </w:t>
      </w:r>
      <w:r w:rsidRPr="00C525CD">
        <w:t>to non-steel components that may include items made from wood, concrete, glass, and so on.</w:t>
      </w:r>
    </w:p>
    <w:p w:rsidR="00000000" w:rsidRPr="00C525CD" w:rsidP="00C525CD">
      <w:pPr>
        <w:pStyle w:val="AllowPageBreak"/>
      </w:pPr>
    </w:p>
    <w:p w:rsidR="00000000" w:rsidRPr="00C525CD" w:rsidP="00C525CD">
      <w:pPr>
        <w:pStyle w:val="Heading1"/>
      </w:pPr>
      <w:bookmarkStart w:id="4" w:name="O_476916"/>
      <w:bookmarkEnd w:id="4"/>
      <w:r w:rsidRPr="00C525CD">
        <w:t>Licensing/Regulatory Information</w:t>
      </w:r>
    </w:p>
    <w:p w:rsidR="00000000" w:rsidRPr="00C525CD" w:rsidP="00C525CD">
      <w:pPr>
        <w:pStyle w:val="BodyText"/>
      </w:pPr>
      <w:r w:rsidRPr="00C525CD">
        <w:t>No licensing, legislative, regulatory or certification requirements apply to this unit at the time of publication.</w:t>
      </w:r>
    </w:p>
    <w:p w:rsidR="00000000" w:rsidRPr="00C525CD" w:rsidP="00C525CD">
      <w:pPr>
        <w:pStyle w:val="AllowPageBreak"/>
      </w:pPr>
    </w:p>
    <w:p w:rsidR="00000000" w:rsidRPr="00C525CD" w:rsidP="00C525CD">
      <w:pPr>
        <w:pStyle w:val="Heading1"/>
      </w:pPr>
      <w:bookmarkStart w:id="5" w:name="O_476917"/>
      <w:bookmarkEnd w:id="5"/>
      <w:r w:rsidRPr="00C525CD">
        <w:t>Pre-Requisites</w:t>
      </w:r>
    </w:p>
    <w:tbl>
      <w:tblPr>
        <w:tblW w:w="0" w:type="auto"/>
        <w:tblLayout w:type="fixed"/>
        <w:tblCellMar>
          <w:left w:w="62" w:type="dxa"/>
          <w:right w:w="62" w:type="dxa"/>
        </w:tblCellMar>
        <w:tblLook w:val="0000"/>
      </w:tblPr>
      <w:tblGrid>
        <w:gridCol w:w="2004"/>
        <w:gridCol w:w="7068"/>
      </w:tblGrid>
      <w:tr w:rsidTr="00C525CD">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MEM09002B</w:t>
            </w:r>
          </w:p>
        </w:tc>
        <w:tc>
          <w:tcPr>
            <w:tcW w:w="7068"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Interpret technical drawing</w:t>
            </w:r>
          </w:p>
        </w:tc>
      </w:tr>
      <w:tr w:rsidTr="00C525CD">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MEM09204A</w:t>
            </w:r>
          </w:p>
        </w:tc>
        <w:tc>
          <w:tcPr>
            <w:tcW w:w="7068" w:type="dxa"/>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Produce basic engineering detail drawings</w:t>
            </w:r>
          </w:p>
        </w:tc>
      </w:tr>
    </w:tbl>
    <w:p w:rsidR="00000000" w:rsidRPr="00C525CD" w:rsidP="00C525CD">
      <w:pPr>
        <w:pStyle w:val="BodyText"/>
      </w:pPr>
    </w:p>
    <w:p w:rsidR="00000000" w:rsidRPr="00C525CD" w:rsidP="00C525CD">
      <w:pPr>
        <w:pStyle w:val="AllowPageBreak"/>
      </w:pPr>
    </w:p>
    <w:p w:rsidR="00000000" w:rsidRPr="00C525CD" w:rsidP="00C525CD">
      <w:pPr>
        <w:pStyle w:val="Heading1"/>
      </w:pPr>
      <w:bookmarkStart w:id="6" w:name="O_476918"/>
      <w:bookmarkEnd w:id="6"/>
      <w:r w:rsidRPr="00C525CD">
        <w:t>Employability Skills Information</w:t>
      </w:r>
    </w:p>
    <w:p w:rsidR="00000000" w:rsidRPr="00C525CD" w:rsidP="00C525CD">
      <w:pPr>
        <w:pStyle w:val="BodyText"/>
      </w:pPr>
      <w:r w:rsidRPr="00C525CD">
        <w:t>This unit contains employability skills.</w:t>
      </w:r>
    </w:p>
    <w:p w:rsidR="00000000" w:rsidRPr="00C525CD" w:rsidP="00C525CD">
      <w:pPr>
        <w:pStyle w:val="AllowPageBreak"/>
      </w:pPr>
    </w:p>
    <w:p w:rsidR="00000000" w:rsidRPr="00C525CD" w:rsidP="00C525CD">
      <w:pPr>
        <w:pStyle w:val="Heading1"/>
      </w:pPr>
      <w:bookmarkStart w:id="7" w:name="O_476919"/>
      <w:bookmarkEnd w:id="7"/>
      <w:r w:rsidRPr="00C525CD">
        <w:t>Element</w:t>
      </w:r>
      <w:r w:rsidRPr="00C525CD">
        <w:t>s and Performance Criteria Pre-Content</w:t>
      </w:r>
    </w:p>
    <w:tbl>
      <w:tblPr>
        <w:tblW w:w="0" w:type="auto"/>
        <w:tblLayout w:type="fixed"/>
        <w:tblCellMar>
          <w:left w:w="62" w:type="dxa"/>
          <w:right w:w="62" w:type="dxa"/>
        </w:tblCellMar>
        <w:tblLook w:val="0000"/>
      </w:tblPr>
      <w:tblGrid>
        <w:gridCol w:w="2640"/>
        <w:gridCol w:w="6380"/>
      </w:tblGrid>
      <w:tr w:rsidTr="00C525C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Performance criteria describe the performance needed to demonstrate achievement of the element. Where bold italicised text is used, further information</w:t>
            </w:r>
            <w:r w:rsidRPr="00C525CD">
              <w:t xml:space="preserve"> is detailed in the required skills and knowledge section and the range statement. Assessment of performance is to be consistent with the evidence guide.</w:t>
            </w:r>
          </w:p>
        </w:tc>
      </w:tr>
    </w:tbl>
    <w:p w:rsidR="00000000" w:rsidRPr="00C525CD" w:rsidP="00C525CD">
      <w:pPr>
        <w:pStyle w:val="BodyText"/>
      </w:pPr>
    </w:p>
    <w:p w:rsidR="00000000" w:rsidRPr="00C525CD" w:rsidP="00C525CD">
      <w:pPr>
        <w:pStyle w:val="AllowPageBreak"/>
      </w:pPr>
    </w:p>
    <w:p w:rsidR="00000000" w:rsidRPr="00C525CD" w:rsidP="00C525CD">
      <w:pPr>
        <w:pStyle w:val="Heading1"/>
      </w:pPr>
      <w:bookmarkStart w:id="8" w:name="O_476920"/>
      <w:bookmarkEnd w:id="8"/>
      <w:r w:rsidRPr="00C525CD">
        <w:t>Elements and Performance Criteria</w:t>
      </w:r>
    </w:p>
    <w:tbl>
      <w:tblPr>
        <w:tblW w:w="0" w:type="auto"/>
        <w:tblLayout w:type="fixed"/>
        <w:tblCellMar>
          <w:left w:w="62" w:type="dxa"/>
          <w:right w:w="62" w:type="dxa"/>
        </w:tblCellMar>
        <w:tblLook w:val="0000"/>
      </w:tblPr>
      <w:tblGrid>
        <w:gridCol w:w="513"/>
        <w:gridCol w:w="2080"/>
        <w:gridCol w:w="692"/>
        <w:gridCol w:w="5772"/>
      </w:tblGrid>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1</w:t>
            </w:r>
          </w:p>
        </w:tc>
        <w:tc>
          <w:tcPr>
            <w:tcW w:w="2080" w:type="dxa"/>
            <w:vMerge w:val="restart"/>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 xml:space="preserve">Determine drawing requirements </w:t>
            </w: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1.1</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Check purpose, scope and information requirements for drawing</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1.2</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Interpret available information relevant to project and work requirements, and identify and address further information needs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1.3</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Identify and prepare equipment required to complete work</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1.4</w:t>
            </w:r>
          </w:p>
        </w:tc>
        <w:tc>
          <w:tcPr>
            <w:tcW w:w="5772" w:type="dxa"/>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Identify and access organisational files, templates and symbols as required for work</w:t>
            </w:r>
          </w:p>
        </w:tc>
      </w:tr>
    </w:tbl>
    <w:p w:rsidR="00000000" w:rsidRPr="00C525CD" w:rsidP="00C525CD">
      <w:pPr>
        <w:pStyle w:val="BodyText"/>
      </w:pPr>
    </w:p>
    <w:tbl>
      <w:tblPr>
        <w:tblW w:w="0" w:type="auto"/>
        <w:tblLayout w:type="fixed"/>
        <w:tblCellMar>
          <w:left w:w="62" w:type="dxa"/>
          <w:right w:w="62" w:type="dxa"/>
        </w:tblCellMar>
        <w:tblLook w:val="0000"/>
      </w:tblPr>
      <w:tblGrid>
        <w:gridCol w:w="513"/>
        <w:gridCol w:w="2080"/>
        <w:gridCol w:w="692"/>
        <w:gridCol w:w="5772"/>
      </w:tblGrid>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w:t>
            </w:r>
          </w:p>
        </w:tc>
        <w:tc>
          <w:tcPr>
            <w:tcW w:w="2080" w:type="dxa"/>
            <w:vMerge w:val="restart"/>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Identify features of components and connections</w:t>
            </w: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2.1</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Identify type and features of components to be deta</w:t>
            </w:r>
            <w:r w:rsidRPr="00C525CD">
              <w:t>iled and determine detailing requirements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2.2</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Identify impact of component material on detailing work and determine appropriate standards and drawing symbols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2.3</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Identify type and features of connections to be detailed from design information and determine detailing requirements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2.4</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Identify any non-standard connections and determine detailing requirements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2.5</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Determine method of general dimensioning of the c</w:t>
            </w:r>
            <w:r w:rsidRPr="00C525CD">
              <w:t>onnection, including datum points and geometric shapes from engineer, sketches or specifications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2.5</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 xml:space="preserve">Determine edge and other clearances for concrete and other non-steel members or components from designer </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2.6</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Determine if surface finish or other information is required to be detailed</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2.7</w:t>
            </w:r>
          </w:p>
        </w:tc>
        <w:tc>
          <w:tcPr>
            <w:tcW w:w="5772" w:type="dxa"/>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Identify materials to prevent electrolysis of dissimilar metals</w:t>
            </w:r>
          </w:p>
        </w:tc>
      </w:tr>
    </w:tbl>
    <w:p w:rsidR="00000000" w:rsidRPr="00C525CD" w:rsidP="00C525CD">
      <w:pPr>
        <w:pStyle w:val="BodyText"/>
      </w:pPr>
    </w:p>
    <w:tbl>
      <w:tblPr>
        <w:tblW w:w="0" w:type="auto"/>
        <w:tblLayout w:type="fixed"/>
        <w:tblCellMar>
          <w:left w:w="62" w:type="dxa"/>
          <w:right w:w="62" w:type="dxa"/>
        </w:tblCellMar>
        <w:tblLook w:val="0000"/>
      </w:tblPr>
      <w:tblGrid>
        <w:gridCol w:w="513"/>
        <w:gridCol w:w="2080"/>
        <w:gridCol w:w="692"/>
        <w:gridCol w:w="5772"/>
      </w:tblGrid>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3</w:t>
            </w:r>
          </w:p>
        </w:tc>
        <w:tc>
          <w:tcPr>
            <w:tcW w:w="2080" w:type="dxa"/>
            <w:vMerge w:val="restart"/>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 xml:space="preserve">Detail steel to non-steel connections </w:t>
            </w:r>
          </w:p>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3.1</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Identify connection types from design information</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3.2</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 xml:space="preserve">Identify reinforcement locations and avoid clashes with other connections </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3.3</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Avoid interference with post-tensioning cables and holding down bolts for upper floor connections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3.5</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Detail steel to non-steel connections according to design information</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3.6</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Identify and apply relevant codes, standards and symbols used for installation drawings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3.7</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Apply workplace occupational health and safety (OHS) and environmental procedures</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3.8</w:t>
            </w:r>
          </w:p>
        </w:tc>
        <w:tc>
          <w:tcPr>
            <w:tcW w:w="5772" w:type="dxa"/>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 xml:space="preserve">Provide measures to counter electrolytic action from dissimilar materials </w:t>
            </w:r>
          </w:p>
        </w:tc>
      </w:tr>
    </w:tbl>
    <w:p w:rsidR="00000000" w:rsidRPr="00C525CD" w:rsidP="00C525CD">
      <w:pPr>
        <w:pStyle w:val="BodyText"/>
      </w:pPr>
    </w:p>
    <w:tbl>
      <w:tblPr>
        <w:tblW w:w="0" w:type="auto"/>
        <w:tblLayout w:type="fixed"/>
        <w:tblCellMar>
          <w:left w:w="62" w:type="dxa"/>
          <w:right w:w="62" w:type="dxa"/>
        </w:tblCellMar>
        <w:tblLook w:val="0000"/>
      </w:tblPr>
      <w:tblGrid>
        <w:gridCol w:w="513"/>
        <w:gridCol w:w="2080"/>
        <w:gridCol w:w="692"/>
        <w:gridCol w:w="5772"/>
      </w:tblGrid>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4</w:t>
            </w:r>
          </w:p>
        </w:tc>
        <w:tc>
          <w:tcPr>
            <w:tcW w:w="2080" w:type="dxa"/>
            <w:vMerge w:val="restart"/>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Complete drawing</w:t>
            </w: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4.1</w:t>
            </w:r>
          </w:p>
        </w:tc>
        <w:tc>
          <w:tcPr>
            <w:tcW w:w="577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Check final drawing to ensure all required specifications, symbols, dimensions, and components are included according to standards and the design specificat</w:t>
            </w:r>
            <w:r w:rsidRPr="00C525CD">
              <w:t xml:space="preserve">ion </w:t>
            </w:r>
          </w:p>
        </w:tc>
      </w:tr>
      <w:tr w:rsidTr="00C525CD">
        <w:tblPrEx>
          <w:tblW w:w="0" w:type="auto"/>
          <w:tblLayout w:type="fixed"/>
          <w:tblCellMar>
            <w:left w:w="62" w:type="dxa"/>
            <w:right w:w="62" w:type="dxa"/>
          </w:tblCellMar>
          <w:tblLook w:val="0000"/>
        </w:tblPrEx>
        <w:tc>
          <w:tcPr>
            <w:tcW w:w="5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2"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t>4.2</w:t>
            </w:r>
          </w:p>
        </w:tc>
        <w:tc>
          <w:tcPr>
            <w:tcW w:w="5772" w:type="dxa"/>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Present and store drawing according to organisational procedures</w:t>
            </w:r>
          </w:p>
        </w:tc>
      </w:tr>
    </w:tbl>
    <w:p w:rsidR="00000000" w:rsidRPr="00C525CD" w:rsidP="00C525CD">
      <w:pPr>
        <w:pStyle w:val="BodyText"/>
      </w:pPr>
    </w:p>
    <w:p w:rsidR="00000000" w:rsidRPr="00C525CD" w:rsidP="00C525CD">
      <w:pPr>
        <w:pStyle w:val="AllowPageBreak"/>
      </w:pPr>
    </w:p>
    <w:p w:rsidR="00000000" w:rsidRPr="00C525CD" w:rsidP="00C525CD">
      <w:pPr>
        <w:pStyle w:val="Heading1"/>
      </w:pPr>
      <w:bookmarkStart w:id="9" w:name="O_476921"/>
      <w:bookmarkEnd w:id="9"/>
      <w:r w:rsidRPr="00C525CD">
        <w:t>Required Skills and Knowledge</w:t>
      </w:r>
    </w:p>
    <w:tbl>
      <w:tblPr>
        <w:tblW w:w="0" w:type="auto"/>
        <w:tblLayout w:type="fixed"/>
        <w:tblCellMar>
          <w:left w:w="62" w:type="dxa"/>
          <w:right w:w="62" w:type="dxa"/>
        </w:tblCellMar>
        <w:tblLook w:val="0000"/>
      </w:tblPr>
      <w:tblGrid>
        <w:gridCol w:w="9040"/>
      </w:tblGrid>
      <w:tr w:rsidTr="00C525CD">
        <w:tblPrEx>
          <w:tblW w:w="0" w:type="auto"/>
          <w:tblLayout w:type="fixed"/>
          <w:tblCellMar>
            <w:left w:w="62" w:type="dxa"/>
            <w:right w:w="62" w:type="dxa"/>
          </w:tblCellMar>
          <w:tblLook w:val="0000"/>
        </w:tblPrEx>
        <w:tc>
          <w:tcPr>
            <w:tcW w:w="9040"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rPr>
                <w:rStyle w:val="SpecialBold"/>
              </w:rPr>
              <w:t xml:space="preserve">Required skills </w:t>
            </w:r>
          </w:p>
        </w:tc>
      </w:tr>
      <w:tr w:rsidTr="00C525CD">
        <w:tblPrEx>
          <w:tblW w:w="0" w:type="auto"/>
          <w:tblLayout w:type="fixed"/>
          <w:tblCellMar>
            <w:left w:w="62" w:type="dxa"/>
            <w:right w:w="62" w:type="dxa"/>
          </w:tblCellMar>
          <w:tblLook w:val="0000"/>
        </w:tblPrEx>
        <w:tc>
          <w:tcPr>
            <w:tcW w:w="9040" w:type="dxa"/>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Required skills include:</w:t>
            </w:r>
          </w:p>
          <w:p w:rsidR="00000000" w:rsidRPr="00C525CD" w:rsidP="00C525CD">
            <w:pPr>
              <w:pStyle w:val="ListBullet"/>
            </w:pPr>
            <w:r w:rsidRPr="00C525CD">
              <w:t xml:space="preserve">literacy skills sufficient to read and interpret instructions, relevant codes of </w:t>
            </w:r>
            <w:r w:rsidRPr="00C525CD">
              <w:t>practice and specifications for drawing work</w:t>
            </w:r>
          </w:p>
          <w:p w:rsidR="00000000" w:rsidRPr="00C525CD" w:rsidP="00C525CD">
            <w:pPr>
              <w:pStyle w:val="ListBullet"/>
            </w:pPr>
            <w:r w:rsidRPr="00C525CD">
              <w:t xml:space="preserve">numeracy skills sufficient to interpret technical information and conduct mathematical problem solving as required in the scope of this unit </w:t>
            </w:r>
          </w:p>
          <w:p w:rsidR="00000000" w:rsidRPr="00C525CD" w:rsidP="00C525CD">
            <w:pPr>
              <w:pStyle w:val="ListBullet"/>
            </w:pPr>
            <w:r w:rsidRPr="00C525CD">
              <w:t>using and maintaining drawing equipment</w:t>
            </w:r>
          </w:p>
          <w:p w:rsidR="00000000" w:rsidRPr="00C525CD" w:rsidP="00C525CD">
            <w:pPr>
              <w:pStyle w:val="ListBullet"/>
            </w:pPr>
            <w:r w:rsidRPr="00C525CD">
              <w:t>determining drawing implicati</w:t>
            </w:r>
            <w:r w:rsidRPr="00C525CD">
              <w:t>ons of materials used and applying industry standard codes, symbols and notation</w:t>
            </w:r>
          </w:p>
          <w:p w:rsidR="00000000" w:rsidRPr="00C525CD" w:rsidP="00C525CD">
            <w:pPr>
              <w:pStyle w:val="ListBullet"/>
            </w:pPr>
            <w:r w:rsidRPr="00C525CD">
              <w:t>using engineering and manufacturer catalogues, tables, standards and specifications</w:t>
            </w:r>
          </w:p>
          <w:p w:rsidR="00000000" w:rsidRPr="00C525CD" w:rsidP="00C525CD">
            <w:pPr>
              <w:pStyle w:val="ListBullet"/>
            </w:pPr>
            <w:r w:rsidRPr="00C525CD">
              <w:t>applying surface texture symbols to comply to engineer’s requirements</w:t>
            </w:r>
          </w:p>
          <w:p w:rsidR="00000000" w:rsidRPr="00C525CD" w:rsidP="00C525CD">
            <w:pPr>
              <w:pStyle w:val="ListBullet"/>
            </w:pPr>
            <w:r w:rsidRPr="00C525CD">
              <w:t>applying toleranced d</w:t>
            </w:r>
            <w:r w:rsidRPr="00C525CD">
              <w:t>imensions to a detail drawing</w:t>
            </w:r>
          </w:p>
          <w:p w:rsidR="00000000" w:rsidRPr="00C525CD" w:rsidP="00C525CD">
            <w:pPr>
              <w:pStyle w:val="ListBullet"/>
            </w:pPr>
            <w:r w:rsidRPr="00C525CD">
              <w:t xml:space="preserve">identifying material clashes </w:t>
            </w:r>
          </w:p>
          <w:p w:rsidR="00000000" w:rsidRPr="00C525CD" w:rsidP="00C525CD">
            <w:pPr>
              <w:pStyle w:val="ListBullet"/>
            </w:pPr>
            <w:r w:rsidRPr="00C525CD">
              <w:t>applying spatial principles to achieve scale and proportion</w:t>
            </w:r>
          </w:p>
          <w:p w:rsidR="00000000" w:rsidRPr="00C525CD" w:rsidP="00C525CD">
            <w:pPr>
              <w:pStyle w:val="ListBullet"/>
            </w:pPr>
            <w:r w:rsidRPr="00C525CD">
              <w:t>interpersonal skills to consult with others, as required, to gain information required</w:t>
            </w:r>
          </w:p>
          <w:p w:rsidR="00000000" w:rsidRPr="00C525CD" w:rsidP="00C525CD">
            <w:pPr>
              <w:pStyle w:val="ListBullet"/>
            </w:pPr>
            <w:r w:rsidRPr="00C525CD">
              <w:t>applying symbols, schedules and legends to the dr</w:t>
            </w:r>
            <w:r w:rsidRPr="00C525CD">
              <w:t>awing using appropriate standards, codes and conventions</w:t>
            </w:r>
          </w:p>
          <w:p w:rsidR="00000000" w:rsidRPr="00C525CD" w:rsidP="00C525CD">
            <w:pPr>
              <w:pStyle w:val="ListBullet"/>
            </w:pPr>
            <w:r w:rsidRPr="00C525CD">
              <w:t>applying surface texture symbols to comply with engineer’s requirements</w:t>
            </w:r>
          </w:p>
          <w:p w:rsidR="00000000" w:rsidRPr="00C525CD" w:rsidP="00C525CD">
            <w:pPr>
              <w:pStyle w:val="ListBullet"/>
            </w:pPr>
            <w:r w:rsidRPr="00C525CD">
              <w:t>applying dimension to a detail drawing using appropriate standards, codes and conventions</w:t>
            </w:r>
          </w:p>
          <w:p w:rsidR="00000000" w:rsidRPr="00C525CD" w:rsidP="00C525CD">
            <w:pPr>
              <w:pStyle w:val="ListBullet"/>
            </w:pPr>
            <w:r w:rsidRPr="00C525CD">
              <w:t>arranging the views in a logical mann</w:t>
            </w:r>
            <w:r w:rsidRPr="00C525CD">
              <w:t>er and in accordance with AS 1100.101–1992 Technical drawing – General principles</w:t>
            </w:r>
          </w:p>
          <w:p w:rsidR="00000000" w:rsidP="00C525CD">
            <w:pPr>
              <w:pStyle w:val="ListBullet"/>
              <w:rPr>
                <w:lang w:val="en-NZ"/>
              </w:rPr>
            </w:pPr>
            <w:r w:rsidRPr="00C525CD">
              <w:t>correctly using line thickness and construction to identify parts</w:t>
            </w:r>
          </w:p>
        </w:tc>
      </w:tr>
      <w:tr w:rsidTr="00C525CD">
        <w:tblPrEx>
          <w:tblW w:w="0" w:type="auto"/>
          <w:tblLayout w:type="fixed"/>
          <w:tblCellMar>
            <w:left w:w="62" w:type="dxa"/>
            <w:right w:w="62" w:type="dxa"/>
          </w:tblCellMar>
          <w:tblLook w:val="0000"/>
        </w:tblPrEx>
        <w:tc>
          <w:tcPr>
            <w:tcW w:w="9040" w:type="dxa"/>
            <w:tcBorders>
              <w:top w:val="nil"/>
              <w:left w:val="nil"/>
              <w:bottom w:val="nil"/>
              <w:right w:val="nil"/>
            </w:tcBorders>
            <w:tcMar>
              <w:top w:w="0" w:type="dxa"/>
              <w:left w:w="62" w:type="dxa"/>
              <w:bottom w:w="0" w:type="dxa"/>
              <w:right w:w="62" w:type="dxa"/>
            </w:tcMar>
          </w:tcPr>
          <w:p w:rsidR="00000000" w:rsidP="00C525CD">
            <w:pPr>
              <w:pStyle w:val="BodyText"/>
              <w:rPr>
                <w:lang w:val="en-NZ"/>
              </w:rPr>
            </w:pPr>
            <w:r w:rsidRPr="00C525CD">
              <w:rPr>
                <w:rStyle w:val="SpecialBold"/>
              </w:rPr>
              <w:t xml:space="preserve">Required knowledge </w:t>
            </w:r>
          </w:p>
        </w:tc>
      </w:tr>
      <w:tr w:rsidTr="00C525CD">
        <w:tblPrEx>
          <w:tblW w:w="0" w:type="auto"/>
          <w:tblLayout w:type="fixed"/>
          <w:tblCellMar>
            <w:left w:w="62" w:type="dxa"/>
            <w:right w:w="62" w:type="dxa"/>
          </w:tblCellMar>
          <w:tblLook w:val="0000"/>
        </w:tblPrEx>
        <w:tc>
          <w:tcPr>
            <w:tcW w:w="9040" w:type="dxa"/>
            <w:tcBorders>
              <w:top w:val="nil"/>
              <w:left w:val="nil"/>
              <w:bottom w:val="nil"/>
              <w:right w:val="nil"/>
            </w:tcBorders>
            <w:tcMar>
              <w:top w:w="0" w:type="dxa"/>
              <w:left w:w="62" w:type="dxa"/>
              <w:bottom w:w="0" w:type="dxa"/>
              <w:right w:w="62" w:type="dxa"/>
            </w:tcMar>
          </w:tcPr>
          <w:p w:rsidR="00000000" w:rsidRPr="00C525CD" w:rsidP="00C525CD">
            <w:pPr>
              <w:pStyle w:val="BodyText"/>
            </w:pPr>
            <w:r w:rsidRPr="00C525CD">
              <w:t>Required knowledge includes:</w:t>
            </w:r>
          </w:p>
          <w:p w:rsidR="00000000" w:rsidRPr="00C525CD" w:rsidP="00C525CD">
            <w:pPr>
              <w:pStyle w:val="ListBullet"/>
            </w:pPr>
            <w:r w:rsidRPr="00C525CD">
              <w:t>effects of electrolytic action from dissimilar materials</w:t>
            </w:r>
          </w:p>
          <w:p w:rsidR="00000000" w:rsidRPr="00C525CD" w:rsidP="00C525CD">
            <w:pPr>
              <w:pStyle w:val="ListBullet"/>
            </w:pPr>
            <w:r w:rsidRPr="00C525CD">
              <w:t xml:space="preserve">general knowledge of different approaches to drawing </w:t>
            </w:r>
          </w:p>
          <w:p w:rsidR="00000000" w:rsidRPr="00C525CD" w:rsidP="00C525CD">
            <w:pPr>
              <w:pStyle w:val="ListBullet"/>
            </w:pPr>
            <w:r w:rsidRPr="00C525CD">
              <w:t>awareness of copyright and intellectual property issues and legislation in relation to drawing</w:t>
            </w:r>
          </w:p>
          <w:p w:rsidR="00000000" w:rsidRPr="00C525CD" w:rsidP="00C525CD">
            <w:pPr>
              <w:pStyle w:val="ListBullet"/>
            </w:pPr>
            <w:r w:rsidRPr="00C525CD">
              <w:t>environmental and OHS issues associated with the tools and materials used for drawing</w:t>
            </w:r>
          </w:p>
          <w:p w:rsidR="00000000" w:rsidRPr="00C525CD" w:rsidP="00C525CD">
            <w:pPr>
              <w:pStyle w:val="ListBullet"/>
            </w:pPr>
            <w:r w:rsidRPr="00C525CD">
              <w:t>quality assurance pr</w:t>
            </w:r>
            <w:r w:rsidRPr="00C525CD">
              <w:t>ocedures</w:t>
            </w:r>
          </w:p>
          <w:p w:rsidR="00000000" w:rsidRPr="00C525CD" w:rsidP="00C525CD">
            <w:pPr>
              <w:pStyle w:val="ListBullet"/>
            </w:pPr>
            <w:r w:rsidRPr="00C525CD">
              <w:t>company standards for CAD</w:t>
            </w:r>
          </w:p>
          <w:p w:rsidR="00000000" w:rsidRPr="00C525CD" w:rsidP="00C525CD">
            <w:pPr>
              <w:pStyle w:val="ListBullet"/>
            </w:pPr>
            <w:r w:rsidRPr="00C525CD">
              <w:t>order of drawing process</w:t>
            </w:r>
          </w:p>
          <w:p w:rsidR="00000000" w:rsidRPr="00C525CD" w:rsidP="00C525CD">
            <w:pPr>
              <w:pStyle w:val="ListBullet"/>
            </w:pPr>
            <w:r w:rsidRPr="00C525CD">
              <w:t>features of components and connections</w:t>
            </w:r>
          </w:p>
          <w:p w:rsidR="00000000" w:rsidRPr="00C525CD" w:rsidP="00C525CD">
            <w:pPr>
              <w:pStyle w:val="ListBullet"/>
            </w:pPr>
            <w:r w:rsidRPr="00C525CD">
              <w:t>geometric tolerances with regard to the roundness, straightness, flatness and concentricity of an engineering component</w:t>
            </w:r>
          </w:p>
          <w:p w:rsidR="00000000" w:rsidRPr="00C525CD" w:rsidP="00C525CD">
            <w:pPr>
              <w:pStyle w:val="ListBullet"/>
            </w:pPr>
            <w:r w:rsidRPr="00C525CD">
              <w:t>company checking procedures for drawi</w:t>
            </w:r>
            <w:r w:rsidRPr="00C525CD">
              <w:t>ngs</w:t>
            </w:r>
          </w:p>
          <w:p w:rsidR="00000000" w:rsidRPr="00C525CD" w:rsidP="00C525CD">
            <w:pPr>
              <w:pStyle w:val="ListBullet"/>
            </w:pPr>
            <w:r w:rsidRPr="00C525CD">
              <w:t>layout and presentation of drawings</w:t>
            </w:r>
          </w:p>
          <w:p w:rsidR="00000000" w:rsidRPr="00C525CD" w:rsidP="00C525CD">
            <w:pPr>
              <w:pStyle w:val="ListBullet"/>
            </w:pPr>
            <w:r w:rsidRPr="00C525CD">
              <w:t xml:space="preserve">the relevant statutory and authority requirements </w:t>
            </w:r>
          </w:p>
          <w:p w:rsidR="00000000" w:rsidRPr="00C525CD" w:rsidP="00C525CD">
            <w:pPr>
              <w:pStyle w:val="ListBullet"/>
            </w:pPr>
            <w:r w:rsidRPr="00C525CD">
              <w:t>terminology associated with drawings</w:t>
            </w:r>
          </w:p>
          <w:p w:rsidR="00000000" w:rsidRPr="00C525CD" w:rsidP="00C525CD">
            <w:pPr>
              <w:pStyle w:val="ListBullet"/>
            </w:pPr>
            <w:r w:rsidRPr="00C525CD">
              <w:t>the process of checking the completed drawing</w:t>
            </w:r>
          </w:p>
          <w:p w:rsidR="00000000" w:rsidRPr="00C525CD" w:rsidP="00C525CD">
            <w:pPr>
              <w:pStyle w:val="ListBullet"/>
            </w:pPr>
            <w:r w:rsidRPr="00C525CD">
              <w:t>the process of storing paper drawings and electronic drawing files</w:t>
            </w:r>
          </w:p>
          <w:p w:rsidR="00000000" w:rsidRPr="00C525CD" w:rsidP="00C525CD">
            <w:pPr>
              <w:pStyle w:val="ListBullet"/>
            </w:pPr>
            <w:r w:rsidRPr="00C525CD">
              <w:t>Australian standard bolting category identification system</w:t>
            </w:r>
          </w:p>
        </w:tc>
      </w:tr>
    </w:tbl>
    <w:p w:rsidR="00000000" w:rsidRPr="00C525CD" w:rsidP="00C525CD">
      <w:pPr>
        <w:pStyle w:val="BodyText"/>
      </w:pPr>
    </w:p>
    <w:p w:rsidR="00000000" w:rsidRPr="00C525CD" w:rsidP="00C525CD">
      <w:pPr>
        <w:pStyle w:val="AllowPageBreak"/>
      </w:pPr>
    </w:p>
    <w:p w:rsidR="00000000" w:rsidRPr="00C525CD" w:rsidP="00C525CD">
      <w:pPr>
        <w:pStyle w:val="Heading1"/>
      </w:pPr>
      <w:bookmarkStart w:id="10" w:name="O_476922"/>
      <w:bookmarkEnd w:id="10"/>
      <w:r w:rsidRPr="00C525CD">
        <w:t>Evidence Guide</w:t>
      </w:r>
    </w:p>
    <w:tbl>
      <w:tblPr>
        <w:tblW w:w="0" w:type="auto"/>
        <w:tblLayout w:type="fixed"/>
        <w:tblCellMar>
          <w:left w:w="62" w:type="dxa"/>
          <w:right w:w="62" w:type="dxa"/>
        </w:tblCellMar>
        <w:tblLook w:val="0000"/>
      </w:tblPr>
      <w:tblGrid>
        <w:gridCol w:w="3540"/>
        <w:gridCol w:w="5352"/>
      </w:tblGrid>
      <w:tr w:rsidTr="00C525CD">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C525CD">
            <w:pPr>
              <w:pStyle w:val="BodyText"/>
              <w:rPr>
                <w:lang w:val="en-NZ"/>
              </w:rPr>
            </w:pPr>
            <w:r w:rsidRPr="00C525CD">
              <w:t>The evidence guide provides advice on assessment and must be read in conjunction with the performance criteria required skills and knowledge range statement and th</w:t>
            </w:r>
            <w:r w:rsidRPr="00C525CD">
              <w:t>e Assessment Guidelines for the Training Package.</w:t>
            </w:r>
          </w:p>
        </w:tc>
      </w:tr>
      <w:tr w:rsidTr="00C525C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5CD">
            <w:pPr>
              <w:pStyle w:val="BodyText"/>
              <w:rPr>
                <w:lang w:val="en-NZ"/>
              </w:rPr>
            </w:pPr>
            <w:r w:rsidRPr="00C525CD">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5CD">
            <w:pPr>
              <w:pStyle w:val="BodyText"/>
              <w:rPr>
                <w:lang w:val="en-NZ"/>
              </w:rPr>
            </w:pPr>
            <w:r w:rsidRPr="00C525CD">
              <w:t xml:space="preserve">A person who demonstrates competency in this unit must be able to interpret and apply drawing specifications and industry standards in the </w:t>
            </w:r>
            <w:r w:rsidRPr="00C525CD">
              <w:t>production of drawings for installation of steel to non-steel components.</w:t>
            </w:r>
          </w:p>
        </w:tc>
      </w:tr>
      <w:tr w:rsidTr="00C525C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5CD">
            <w:pPr>
              <w:pStyle w:val="BodyText"/>
              <w:rPr>
                <w:lang w:val="en-NZ"/>
              </w:rPr>
            </w:pPr>
            <w:r w:rsidRPr="00C525CD">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5CD" w:rsidP="00C525CD">
            <w:pPr>
              <w:pStyle w:val="BodyText"/>
            </w:pPr>
            <w:r w:rsidRPr="00C525CD">
              <w:t xml:space="preserve">Assessors must be satisfied that the candidate can competently and consistently perform </w:t>
            </w:r>
            <w:r w:rsidRPr="00C525CD">
              <w:t>all elements of the unit as specified by the criteria, including required knowledge, and be capable of applying the competency in new and different situations and contexts.</w:t>
            </w:r>
          </w:p>
          <w:p w:rsidR="00000000" w:rsidRPr="00C525CD" w:rsidP="00C525CD">
            <w:pPr>
              <w:pStyle w:val="BodyText"/>
            </w:pPr>
            <w:r w:rsidRPr="00C525CD">
              <w:t>Specifically the candidate must be able to:</w:t>
            </w:r>
          </w:p>
          <w:p w:rsidR="00000000" w:rsidRPr="00C525CD" w:rsidP="00C525CD">
            <w:pPr>
              <w:pStyle w:val="ListBullet"/>
            </w:pPr>
            <w:r w:rsidRPr="00C525CD">
              <w:t>work within typical site/teamwork stru</w:t>
            </w:r>
            <w:r w:rsidRPr="00C525CD">
              <w:t xml:space="preserve">ctures and methods </w:t>
            </w:r>
          </w:p>
          <w:p w:rsidR="00000000" w:rsidRPr="00C525CD" w:rsidP="00C525CD">
            <w:pPr>
              <w:pStyle w:val="ListBullet"/>
            </w:pPr>
            <w:r w:rsidRPr="00C525CD">
              <w:t xml:space="preserve">apply worksite communication procedures </w:t>
            </w:r>
          </w:p>
          <w:p w:rsidR="00000000" w:rsidRPr="00C525CD" w:rsidP="00C525CD">
            <w:pPr>
              <w:pStyle w:val="ListBullet"/>
            </w:pPr>
            <w:r w:rsidRPr="00C525CD">
              <w:t xml:space="preserve">comply with organisational policies and procedures, including quality requirements </w:t>
            </w:r>
          </w:p>
          <w:p w:rsidR="00000000" w:rsidRPr="00C525CD" w:rsidP="00C525CD">
            <w:pPr>
              <w:pStyle w:val="ListBullet"/>
            </w:pPr>
            <w:r w:rsidRPr="00C525CD">
              <w:t>participate in work meetings</w:t>
            </w:r>
          </w:p>
          <w:p w:rsidR="00000000" w:rsidRPr="00C525CD" w:rsidP="00C525CD">
            <w:pPr>
              <w:pStyle w:val="ListBullet"/>
            </w:pPr>
            <w:r w:rsidRPr="00C525CD">
              <w:t>comply with quality requirements</w:t>
            </w:r>
          </w:p>
          <w:p w:rsidR="00000000" w:rsidRPr="00C525CD" w:rsidP="00C525CD">
            <w:pPr>
              <w:pStyle w:val="ListBullet"/>
            </w:pPr>
            <w:r w:rsidRPr="00C525CD">
              <w:t xml:space="preserve">use industry terminology </w:t>
            </w:r>
          </w:p>
          <w:p w:rsidR="00000000" w:rsidRPr="00C525CD" w:rsidP="00C525CD">
            <w:pPr>
              <w:pStyle w:val="ListBullet"/>
            </w:pPr>
            <w:r w:rsidRPr="00C525CD">
              <w:t>apply appropriate safety procedures</w:t>
            </w:r>
          </w:p>
          <w:p w:rsidR="00000000" w:rsidP="00C525CD">
            <w:pPr>
              <w:pStyle w:val="ListBullet"/>
              <w:rPr>
                <w:lang w:val="en-NZ"/>
              </w:rPr>
            </w:pPr>
            <w:r w:rsidRPr="00C525CD">
              <w:t>produce detail drawings that meet industry standards and client requirements.</w:t>
            </w:r>
          </w:p>
        </w:tc>
      </w:tr>
      <w:tr w:rsidTr="00C525C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5CD">
            <w:pPr>
              <w:pStyle w:val="BodyText"/>
              <w:rPr>
                <w:lang w:val="en-NZ"/>
              </w:rPr>
            </w:pPr>
            <w:r w:rsidRPr="00C525CD">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5CD" w:rsidP="00C525CD">
            <w:pPr>
              <w:pStyle w:val="BodyText"/>
            </w:pPr>
            <w:r w:rsidRPr="00C525CD">
              <w:t>This unit may be assessed on the job, off the job or a combination of both on and off the jo</w:t>
            </w:r>
            <w:r w:rsidRPr="00C525CD">
              <w:t>b. Where assessment occurs off the job, that is the candidate is not in productive work, then an appropriate simulation must be used where the range of conditions reflects realistic workplace situations. The competencies covered by this unit would be demon</w:t>
            </w:r>
            <w:r w:rsidRPr="00C525CD">
              <w:t xml:space="preserve">strated by an individual working alone or as part of a team. </w:t>
            </w:r>
          </w:p>
          <w:p w:rsidR="00000000" w:rsidRPr="00C525CD" w:rsidP="00C525CD">
            <w:pPr>
              <w:pStyle w:val="BodyText"/>
            </w:pPr>
            <w:r w:rsidRPr="00C525CD">
              <w:t>Where applicable, reasonable adjustment must be made to work environments and training situations to accommodate ethnicity, age, gender, demographics and disability.</w:t>
            </w:r>
          </w:p>
          <w:p w:rsidR="00000000" w:rsidRPr="00C525CD" w:rsidP="00C525CD">
            <w:pPr>
              <w:pStyle w:val="BodyText"/>
            </w:pPr>
            <w:r w:rsidRPr="00C525CD">
              <w:t>Access must be provided to a</w:t>
            </w:r>
            <w:r w:rsidRPr="00C525CD">
              <w:t>ppropriate learning and/or assessment support when required. Where applicable, physical resources should include equipment modified for people with disabilities.</w:t>
            </w:r>
          </w:p>
          <w:p w:rsidR="00000000" w:rsidP="00C525CD">
            <w:pPr>
              <w:pStyle w:val="BodyText"/>
              <w:rPr>
                <w:lang w:val="en-NZ"/>
              </w:rPr>
            </w:pPr>
            <w:r w:rsidRPr="00C525CD">
              <w:t>This unit could be assessed in conjunction with any other units addressing the safety, quality</w:t>
            </w:r>
            <w:r w:rsidRPr="00C525CD">
              <w:t xml:space="preserve">, communication, materials handling, recording and reporting associated </w:t>
            </w:r>
            <w:r w:rsidRPr="00C525CD">
              <w:t>with drafting or other units requiring the exercise of the skills and knowledge covered by this unit.</w:t>
            </w:r>
          </w:p>
        </w:tc>
      </w:tr>
      <w:tr w:rsidTr="00C525C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5CD">
            <w:pPr>
              <w:pStyle w:val="BodyText"/>
              <w:rPr>
                <w:lang w:val="en-NZ"/>
              </w:rPr>
            </w:pPr>
            <w:r w:rsidRPr="00C525CD">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5CD" w:rsidP="00C525CD">
            <w:pPr>
              <w:pStyle w:val="BodyText"/>
            </w:pPr>
            <w:r w:rsidRPr="00C525CD">
              <w:t>Assessors should gather a range of evidence that is valid, s</w:t>
            </w:r>
            <w:r w:rsidRPr="00C525CD">
              <w:t>ufficient, current and authentic. Evidence can be gathered through a variety of ways, including direct observation, supervisor's reports, project work, samples and questioning. Questioning techniques should not require language, literacy and numeracy skill</w:t>
            </w:r>
            <w:r w:rsidRPr="00C525CD">
              <w:t>s beyond those required in this unit of competency. The candidate must have access to all tools, equipment, materials and documentation required. The candidate must be permitted to refer to any relevant workplace procedures, product and manufacturing speci</w:t>
            </w:r>
            <w:r w:rsidRPr="00C525CD">
              <w:t>fications, codes, standards, manuals and reference materials.</w:t>
            </w:r>
          </w:p>
        </w:tc>
      </w:tr>
    </w:tbl>
    <w:p w:rsidR="00000000" w:rsidRPr="00C525CD" w:rsidP="00C525CD">
      <w:pPr>
        <w:pStyle w:val="BodyText"/>
      </w:pPr>
    </w:p>
    <w:p w:rsidR="00000000" w:rsidRPr="00C525CD" w:rsidP="00C525CD">
      <w:pPr>
        <w:pStyle w:val="AllowPageBreak"/>
      </w:pPr>
    </w:p>
    <w:p w:rsidR="00000000" w:rsidRPr="00C525CD" w:rsidP="00C525CD">
      <w:pPr>
        <w:pStyle w:val="Heading1"/>
      </w:pPr>
      <w:bookmarkStart w:id="11" w:name="O_476923"/>
      <w:bookmarkEnd w:id="11"/>
      <w:r w:rsidRPr="00C525CD">
        <w:t>Range Statement</w:t>
      </w:r>
    </w:p>
    <w:tbl>
      <w:tblPr>
        <w:tblW w:w="0" w:type="auto"/>
        <w:tblLayout w:type="fixed"/>
        <w:tblCellMar>
          <w:left w:w="62" w:type="dxa"/>
          <w:right w:w="62" w:type="dxa"/>
        </w:tblCellMar>
        <w:tblLook w:val="0000"/>
      </w:tblPr>
      <w:tblGrid>
        <w:gridCol w:w="3674"/>
        <w:gridCol w:w="5398"/>
      </w:tblGrid>
      <w:tr w:rsidTr="00C525C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5CD">
            <w:pPr>
              <w:pStyle w:val="BodyText"/>
              <w:rPr>
                <w:lang w:val="en-NZ"/>
              </w:rPr>
            </w:pPr>
            <w:r w:rsidRPr="00C525CD">
              <w:rPr>
                <w:rStyle w:val="SpecialBold"/>
              </w:rPr>
              <w:t>Available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5CD" w:rsidP="00C525CD">
            <w:pPr>
              <w:pStyle w:val="BodyText"/>
            </w:pPr>
            <w:r w:rsidRPr="00C525CD">
              <w:t>Available information may include:</w:t>
            </w:r>
          </w:p>
          <w:p w:rsidR="00000000" w:rsidRPr="00C525CD" w:rsidP="00C525CD">
            <w:pPr>
              <w:pStyle w:val="ListBullet"/>
            </w:pPr>
            <w:r w:rsidRPr="00C525CD">
              <w:t>construction documents</w:t>
            </w:r>
          </w:p>
          <w:p w:rsidR="00000000" w:rsidRPr="00C525CD" w:rsidP="00C525CD">
            <w:pPr>
              <w:pStyle w:val="ListBullet"/>
            </w:pPr>
            <w:r w:rsidRPr="00C525CD">
              <w:t>building and coordination information</w:t>
            </w:r>
          </w:p>
          <w:p w:rsidR="00000000" w:rsidRPr="00C525CD" w:rsidP="00C525CD">
            <w:pPr>
              <w:pStyle w:val="ListBullet"/>
            </w:pPr>
            <w:r w:rsidRPr="00C525CD">
              <w:t>work specifications</w:t>
            </w:r>
          </w:p>
          <w:p w:rsidR="00000000" w:rsidRPr="00C525CD" w:rsidP="00C525CD">
            <w:pPr>
              <w:pStyle w:val="ListBullet"/>
            </w:pPr>
            <w:r w:rsidRPr="00C525CD">
              <w:t xml:space="preserve">information for plant services equipment </w:t>
            </w:r>
          </w:p>
          <w:p w:rsidR="00000000" w:rsidRPr="00C525CD" w:rsidP="00C525CD">
            <w:pPr>
              <w:pStyle w:val="ListBullet"/>
            </w:pPr>
            <w:r w:rsidRPr="00C525CD">
              <w:t>industry codes, standards and regulations</w:t>
            </w:r>
          </w:p>
          <w:p w:rsidR="00000000" w:rsidP="00C525CD">
            <w:pPr>
              <w:pStyle w:val="ListBullet"/>
              <w:rPr>
                <w:lang w:val="en-NZ"/>
              </w:rPr>
            </w:pPr>
            <w:r w:rsidRPr="00C525CD">
              <w:t>design brief</w:t>
            </w:r>
          </w:p>
        </w:tc>
      </w:tr>
      <w:tr w:rsidTr="00C525C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5CD">
            <w:pPr>
              <w:pStyle w:val="BodyText"/>
              <w:rPr>
                <w:lang w:val="en-NZ"/>
              </w:rPr>
            </w:pPr>
            <w:r w:rsidRPr="00C525CD">
              <w:rPr>
                <w:rStyle w:val="SpecialBold"/>
              </w:rPr>
              <w:t>Connection types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5CD" w:rsidP="00C525CD">
            <w:pPr>
              <w:pStyle w:val="BodyText"/>
            </w:pPr>
            <w:r w:rsidRPr="00C525CD">
              <w:t>Connection types may include:</w:t>
            </w:r>
          </w:p>
          <w:p w:rsidR="00000000" w:rsidRPr="00C525CD" w:rsidP="00C525CD">
            <w:pPr>
              <w:pStyle w:val="ListBullet"/>
            </w:pPr>
            <w:r w:rsidRPr="00C525CD">
              <w:t>flexible connections:</w:t>
            </w:r>
          </w:p>
          <w:p w:rsidR="00000000" w:rsidRPr="00C525CD" w:rsidP="00C525CD">
            <w:pPr>
              <w:pStyle w:val="ListBullet2"/>
            </w:pPr>
            <w:r w:rsidRPr="00C525CD">
              <w:t>angle seats</w:t>
            </w:r>
          </w:p>
          <w:p w:rsidR="00000000" w:rsidRPr="00C525CD" w:rsidP="00C525CD">
            <w:pPr>
              <w:pStyle w:val="ListBullet2"/>
            </w:pPr>
            <w:r w:rsidRPr="00C525CD">
              <w:t>bearing pads</w:t>
            </w:r>
          </w:p>
          <w:p w:rsidR="00000000" w:rsidRPr="00C525CD" w:rsidP="00C525CD">
            <w:pPr>
              <w:pStyle w:val="ListBullet2"/>
            </w:pPr>
            <w:r w:rsidRPr="00C525CD">
              <w:t>flexible end plates</w:t>
            </w:r>
          </w:p>
          <w:p w:rsidR="00000000" w:rsidRPr="00C525CD" w:rsidP="00C525CD">
            <w:pPr>
              <w:pStyle w:val="ListBullet2"/>
            </w:pPr>
            <w:r w:rsidRPr="00C525CD">
              <w:t>angle cleats</w:t>
            </w:r>
          </w:p>
          <w:p w:rsidR="00000000" w:rsidRPr="00C525CD" w:rsidP="00C525CD">
            <w:pPr>
              <w:pStyle w:val="ListBullet2"/>
            </w:pPr>
            <w:r w:rsidRPr="00C525CD">
              <w:t>web side plates</w:t>
            </w:r>
          </w:p>
          <w:p w:rsidR="00000000" w:rsidRPr="00C525CD" w:rsidP="00C525CD">
            <w:pPr>
              <w:pStyle w:val="ListBullet"/>
            </w:pPr>
            <w:r w:rsidRPr="00C525CD">
              <w:t>rigid connections:</w:t>
            </w:r>
          </w:p>
          <w:p w:rsidR="00000000" w:rsidRPr="00C525CD" w:rsidP="00C525CD">
            <w:pPr>
              <w:pStyle w:val="ListBullet2"/>
            </w:pPr>
            <w:r w:rsidRPr="00C525CD">
              <w:t>fully welded end plates</w:t>
            </w:r>
          </w:p>
          <w:p w:rsidR="00000000" w:rsidRPr="00C525CD" w:rsidP="00C525CD">
            <w:pPr>
              <w:pStyle w:val="ListBullet2"/>
            </w:pPr>
            <w:r w:rsidRPr="00C525CD">
              <w:t>bolted moment end plates</w:t>
            </w:r>
          </w:p>
          <w:p w:rsidR="00000000" w:rsidP="00C525CD">
            <w:pPr>
              <w:pStyle w:val="ListBullet2"/>
              <w:rPr>
                <w:lang w:val="en-NZ"/>
              </w:rPr>
            </w:pPr>
            <w:r w:rsidRPr="00C525CD">
              <w:t>stainless steel, aluminium, timber, glass and concrete connections</w:t>
            </w:r>
          </w:p>
        </w:tc>
      </w:tr>
      <w:tr w:rsidTr="00C525C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5CD">
            <w:pPr>
              <w:pStyle w:val="BodyText"/>
              <w:rPr>
                <w:lang w:val="en-NZ"/>
              </w:rPr>
            </w:pPr>
            <w:r w:rsidRPr="00C525CD">
              <w:rPr>
                <w:rStyle w:val="SpecialBold"/>
              </w:rPr>
              <w:t>Industry standards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5CD" w:rsidP="00C525CD">
            <w:pPr>
              <w:pStyle w:val="BodyText"/>
            </w:pPr>
            <w:r w:rsidRPr="00C525CD">
              <w:t>Industry standards may include, but are not limited to:</w:t>
            </w:r>
          </w:p>
          <w:p w:rsidR="00000000" w:rsidRPr="00C525CD" w:rsidP="00C525CD">
            <w:pPr>
              <w:pStyle w:val="ListBullet"/>
            </w:pPr>
            <w:r w:rsidRPr="00C525CD">
              <w:t>Building Codes of Australia (BSA)</w:t>
            </w:r>
          </w:p>
          <w:p w:rsidR="00000000" w:rsidRPr="00C525CD" w:rsidP="00C525CD">
            <w:pPr>
              <w:pStyle w:val="ListBullet"/>
            </w:pPr>
            <w:r w:rsidRPr="00C525CD">
              <w:t>Australian Standards (AS)</w:t>
            </w:r>
          </w:p>
          <w:p w:rsidR="00000000" w:rsidRPr="00C525CD" w:rsidP="00C525CD">
            <w:pPr>
              <w:pStyle w:val="ListBullet"/>
            </w:pPr>
            <w:r w:rsidRPr="00C525CD">
              <w:t>legislation requirements from Building Practitioner's Board (RBP)</w:t>
            </w:r>
          </w:p>
          <w:p w:rsidR="00000000" w:rsidRPr="00C525CD" w:rsidP="00C525CD">
            <w:pPr>
              <w:pStyle w:val="ListBullet"/>
            </w:pPr>
            <w:r w:rsidRPr="00C525CD">
              <w:t>Australian Gas Codes (AGC)</w:t>
            </w:r>
          </w:p>
          <w:p w:rsidR="00000000" w:rsidRPr="00C525CD" w:rsidP="00C525CD">
            <w:pPr>
              <w:pStyle w:val="ListBullet"/>
            </w:pPr>
            <w:r w:rsidRPr="00C525CD">
              <w:t>Sheet Metal and Air Conditioning Contractors National Association (SMACNA)</w:t>
            </w:r>
          </w:p>
          <w:p w:rsidR="00000000" w:rsidRPr="00C525CD" w:rsidP="00C525CD">
            <w:pPr>
              <w:pStyle w:val="ListBullet"/>
            </w:pPr>
            <w:r w:rsidRPr="00C525CD">
              <w:t>third-party manufacturing and installation standards</w:t>
            </w:r>
          </w:p>
          <w:p w:rsidR="00000000" w:rsidRPr="00C525CD" w:rsidP="00C525CD">
            <w:pPr>
              <w:pStyle w:val="ListBullet"/>
            </w:pPr>
            <w:r w:rsidRPr="00C525CD">
              <w:t>company s</w:t>
            </w:r>
            <w:r w:rsidRPr="00C525CD">
              <w:t>tandards</w:t>
            </w:r>
          </w:p>
          <w:p w:rsidR="00000000" w:rsidRPr="00C525CD" w:rsidP="00C525CD">
            <w:pPr>
              <w:pStyle w:val="ListBullet"/>
            </w:pPr>
            <w:r w:rsidRPr="00C525CD">
              <w:t>guidelines</w:t>
            </w:r>
          </w:p>
          <w:p w:rsidR="00000000" w:rsidRPr="00C525CD" w:rsidP="00C525CD">
            <w:pPr>
              <w:pStyle w:val="ListBullet"/>
            </w:pPr>
            <w:r w:rsidRPr="00C525CD">
              <w:t>general practices</w:t>
            </w:r>
          </w:p>
        </w:tc>
      </w:tr>
    </w:tbl>
    <w:p w:rsidR="00000000" w:rsidRPr="00C525CD" w:rsidP="00C525CD">
      <w:pPr>
        <w:pStyle w:val="BodyText"/>
      </w:pPr>
    </w:p>
    <w:p w:rsidR="00000000" w:rsidRPr="00C525CD" w:rsidP="00C525CD">
      <w:pPr>
        <w:pStyle w:val="AllowPageBreak"/>
      </w:pPr>
    </w:p>
    <w:p w:rsidR="00000000" w:rsidRPr="00C525CD" w:rsidP="00C525CD">
      <w:pPr>
        <w:pStyle w:val="Heading1"/>
      </w:pPr>
      <w:bookmarkStart w:id="12" w:name="O_476924"/>
      <w:bookmarkEnd w:id="12"/>
      <w:r w:rsidRPr="00C525CD">
        <w:t>Unit Sector(s)</w:t>
      </w:r>
    </w:p>
    <w:p w:rsidR="00000000" w:rsidRPr="00C525CD" w:rsidP="00C525CD">
      <w:pPr>
        <w:pStyle w:val="BodyText"/>
      </w:pPr>
      <w:r w:rsidRPr="00C525CD">
        <w:t>Drawing, drafting and design</w:t>
      </w:r>
    </w:p>
    <w:p w:rsidR="00000000" w:rsidRPr="00C525CD" w:rsidP="00C525CD">
      <w:pPr>
        <w:pStyle w:val="AllowPageBreak"/>
      </w:pPr>
    </w:p>
    <w:p w:rsidR="00000000" w:rsidRPr="00C525CD" w:rsidP="00C525CD">
      <w:pPr>
        <w:pStyle w:val="Heading1"/>
      </w:pPr>
      <w:bookmarkStart w:id="13" w:name="O_476925"/>
      <w:bookmarkEnd w:id="13"/>
      <w:r w:rsidRPr="00C525CD">
        <w:t>Custom Content Section</w:t>
      </w:r>
    </w:p>
    <w:p w:rsidR="00000000" w:rsidRPr="00C525CD" w:rsidP="00C525CD">
      <w:pPr>
        <w:pStyle w:val="BodyText"/>
      </w:pPr>
      <w:r w:rsidRPr="00C525CD">
        <w:t>Not applicable.</w:t>
      </w:r>
    </w:p>
    <w:p w:rsidR="00000000" w:rsidRPr="00C525CD" w:rsidP="00C525CD"/>
    <w:sectPr w:rsidSect="00C52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153" w:rsidP="00BE21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3" w:rsidP="00C525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2153" w:rsidP="00C52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2153" w:rsidP="00C52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D" w:rsidRPr="00BE2153" w:rsidP="00BE21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3" w:rsidP="00C525CD">
    <w:pPr>
      <w:pStyle w:val="Header"/>
      <w:framePr w:wrap="around"/>
    </w:pPr>
    <w:r>
      <w:fldChar w:fldCharType="begin"/>
    </w:r>
    <w:r>
      <w:instrText xml:space="preserve"> TITLE   \* MERGEFORMAT </w:instrText>
    </w:r>
    <w:r>
      <w:fldChar w:fldCharType="separate"/>
    </w:r>
    <w:r>
      <w:t>MEM09212A Produce detailed drawings of steel to non-steel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BE2153" w:rsidP="00C52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E48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63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14A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5CD"/>
    <w:pPr>
      <w:spacing w:before="360" w:after="60"/>
      <w:outlineLvl w:val="0"/>
    </w:pPr>
    <w:rPr>
      <w:sz w:val="32"/>
    </w:rPr>
  </w:style>
  <w:style w:type="paragraph" w:styleId="Heading2">
    <w:name w:val="heading 2"/>
    <w:basedOn w:val="HeadingBase"/>
    <w:next w:val="BodyText"/>
    <w:link w:val="Heading2Char"/>
    <w:qFormat/>
    <w:rsid w:val="00C525CD"/>
    <w:pPr>
      <w:keepLines/>
      <w:spacing w:before="240" w:after="120"/>
      <w:outlineLvl w:val="1"/>
    </w:pPr>
    <w:rPr>
      <w:sz w:val="28"/>
      <w:szCs w:val="40"/>
    </w:rPr>
  </w:style>
  <w:style w:type="paragraph" w:styleId="Heading3">
    <w:name w:val="heading 3"/>
    <w:basedOn w:val="HeadingBase"/>
    <w:next w:val="BodyText"/>
    <w:link w:val="Heading3Char"/>
    <w:qFormat/>
    <w:rsid w:val="00C525CD"/>
    <w:pPr>
      <w:spacing w:before="180" w:after="120"/>
      <w:outlineLvl w:val="2"/>
    </w:pPr>
    <w:rPr>
      <w:spacing w:val="-10"/>
      <w:kern w:val="32"/>
    </w:rPr>
  </w:style>
  <w:style w:type="paragraph" w:styleId="Heading4">
    <w:name w:val="heading 4"/>
    <w:basedOn w:val="HeadingBase"/>
    <w:next w:val="BodyText"/>
    <w:link w:val="Heading4Char"/>
    <w:qFormat/>
    <w:rsid w:val="00C525CD"/>
    <w:pPr>
      <w:spacing w:before="160" w:after="120"/>
      <w:outlineLvl w:val="3"/>
    </w:pPr>
    <w:rPr>
      <w:sz w:val="22"/>
    </w:rPr>
  </w:style>
  <w:style w:type="paragraph" w:styleId="Heading5">
    <w:name w:val="heading 5"/>
    <w:basedOn w:val="HeadingBase"/>
    <w:next w:val="Normal"/>
    <w:link w:val="Heading5Char"/>
    <w:qFormat/>
    <w:rsid w:val="00C525CD"/>
    <w:pPr>
      <w:spacing w:before="80"/>
      <w:outlineLvl w:val="4"/>
    </w:pPr>
    <w:rPr>
      <w:color w:val="918585"/>
      <w:sz w:val="20"/>
    </w:rPr>
  </w:style>
  <w:style w:type="paragraph" w:styleId="Heading6">
    <w:name w:val="heading 6"/>
    <w:basedOn w:val="HeadingBase"/>
    <w:next w:val="Normal"/>
    <w:link w:val="Heading6Char"/>
    <w:qFormat/>
    <w:rsid w:val="00C525CD"/>
    <w:pPr>
      <w:spacing w:before="60"/>
      <w:outlineLvl w:val="5"/>
    </w:pPr>
    <w:rPr>
      <w:color w:val="918585"/>
      <w:sz w:val="20"/>
    </w:rPr>
  </w:style>
  <w:style w:type="paragraph" w:styleId="Heading7">
    <w:name w:val="heading 7"/>
    <w:basedOn w:val="Normal"/>
    <w:next w:val="Normal"/>
    <w:link w:val="Heading7Char"/>
    <w:qFormat/>
    <w:rsid w:val="00C525CD"/>
    <w:pPr>
      <w:ind w:left="720"/>
      <w:outlineLvl w:val="6"/>
    </w:pPr>
    <w:rPr>
      <w:i/>
    </w:rPr>
  </w:style>
  <w:style w:type="paragraph" w:styleId="Heading8">
    <w:name w:val="heading 8"/>
    <w:basedOn w:val="Normal"/>
    <w:next w:val="Normal"/>
    <w:link w:val="Heading8Char"/>
    <w:qFormat/>
    <w:rsid w:val="00C525CD"/>
    <w:pPr>
      <w:ind w:left="720"/>
      <w:outlineLvl w:val="7"/>
    </w:pPr>
    <w:rPr>
      <w:i/>
    </w:rPr>
  </w:style>
  <w:style w:type="paragraph" w:styleId="Heading9">
    <w:name w:val="heading 9"/>
    <w:basedOn w:val="Normal"/>
    <w:next w:val="Normal"/>
    <w:link w:val="Heading9Char"/>
    <w:qFormat/>
    <w:rsid w:val="00C525CD"/>
    <w:pPr>
      <w:ind w:left="720"/>
      <w:outlineLvl w:val="8"/>
    </w:pPr>
    <w:rPr>
      <w:i/>
    </w:rPr>
  </w:style>
  <w:style w:type="character" w:default="1" w:styleId="DefaultParagraphFont">
    <w:name w:val="Default Paragraph Font"/>
    <w:uiPriority w:val="1"/>
    <w:unhideWhenUsed/>
    <w:rsid w:val="00C52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5CD"/>
  </w:style>
  <w:style w:type="character" w:customStyle="1" w:styleId="Heading1Char">
    <w:name w:val="Heading 1 Char"/>
    <w:basedOn w:val="DefaultParagraphFont"/>
    <w:link w:val="Heading1"/>
    <w:rsid w:val="00C525CD"/>
    <w:rPr>
      <w:rFonts w:ascii="Times New Roman" w:eastAsia="Times New Roman" w:hAnsi="Times New Roman" w:cs="Times New Roman"/>
      <w:b/>
      <w:sz w:val="32"/>
      <w:szCs w:val="20"/>
      <w:lang w:eastAsia="en-US"/>
    </w:rPr>
  </w:style>
  <w:style w:type="paragraph" w:styleId="BodyText">
    <w:name w:val="Body Text"/>
    <w:basedOn w:val="Normal"/>
    <w:link w:val="BodyTextChar"/>
    <w:rsid w:val="00C52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5CD"/>
    <w:rPr>
      <w:rFonts w:ascii="Times New Roman" w:eastAsia="Times New Roman" w:hAnsi="Times New Roman" w:cs="Times New Roman"/>
      <w:sz w:val="24"/>
      <w:lang w:eastAsia="en-US"/>
    </w:rPr>
  </w:style>
  <w:style w:type="paragraph" w:styleId="Footer">
    <w:name w:val="footer"/>
    <w:basedOn w:val="Normal"/>
    <w:link w:val="FooterChar"/>
    <w:rsid w:val="00C52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5CD"/>
    <w:rPr>
      <w:rFonts w:ascii="Times New Roman" w:eastAsia="Times New Roman" w:hAnsi="Times New Roman" w:cs="Times New Roman"/>
      <w:sz w:val="16"/>
      <w:lang w:eastAsia="en-US"/>
    </w:rPr>
  </w:style>
  <w:style w:type="paragraph" w:styleId="ListBullet">
    <w:name w:val="List Bullet"/>
    <w:basedOn w:val="List"/>
    <w:rsid w:val="00C525CD"/>
    <w:pPr>
      <w:numPr>
        <w:numId w:val="13"/>
      </w:numPr>
      <w:tabs>
        <w:tab w:val="clear" w:pos="340"/>
      </w:tabs>
      <w:spacing w:before="40" w:after="40"/>
    </w:pPr>
  </w:style>
  <w:style w:type="character" w:customStyle="1" w:styleId="SpecialBold">
    <w:name w:val="Special Bold"/>
    <w:basedOn w:val="DefaultParagraphFont"/>
    <w:rsid w:val="00C525CD"/>
    <w:rPr>
      <w:b/>
      <w:spacing w:val="0"/>
    </w:rPr>
  </w:style>
  <w:style w:type="paragraph" w:styleId="ListBullet2">
    <w:name w:val="List Bullet 2"/>
    <w:basedOn w:val="List2"/>
    <w:rsid w:val="00C525CD"/>
    <w:pPr>
      <w:numPr>
        <w:numId w:val="14"/>
      </w:numPr>
      <w:tabs>
        <w:tab w:val="clear" w:pos="680"/>
      </w:tabs>
    </w:pPr>
  </w:style>
  <w:style w:type="paragraph" w:customStyle="1" w:styleId="SuperHeading">
    <w:name w:val="SuperHeading"/>
    <w:basedOn w:val="Normal"/>
    <w:rsid w:val="00C525CD"/>
    <w:pPr>
      <w:spacing w:before="240" w:after="120"/>
      <w:outlineLvl w:val="0"/>
    </w:pPr>
    <w:rPr>
      <w:rFonts w:ascii="Times New Roman" w:hAnsi="Times New Roman"/>
      <w:b/>
      <w:sz w:val="28"/>
    </w:rPr>
  </w:style>
  <w:style w:type="paragraph" w:customStyle="1" w:styleId="AllowPageBreak">
    <w:name w:val="AllowPageBreak"/>
    <w:rsid w:val="00C52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5CD"/>
    <w:rPr>
      <w:rFonts w:ascii="Courier New" w:eastAsia="Times New Roman" w:hAnsi="Courier New" w:cs="Times New Roman"/>
      <w:i/>
      <w:szCs w:val="20"/>
      <w:lang w:eastAsia="en-US"/>
    </w:rPr>
  </w:style>
  <w:style w:type="paragraph" w:customStyle="1" w:styleId="HeadingBase">
    <w:name w:val="Heading Base"/>
    <w:rsid w:val="00C52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5CD"/>
    <w:pPr>
      <w:tabs>
        <w:tab w:val="right" w:leader="dot" w:pos="9072"/>
      </w:tabs>
      <w:ind w:left="567"/>
    </w:pPr>
    <w:rPr>
      <w:szCs w:val="22"/>
    </w:rPr>
  </w:style>
  <w:style w:type="paragraph" w:customStyle="1" w:styleId="TOCBase">
    <w:name w:val="TOC Base"/>
    <w:rsid w:val="00C52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5CD"/>
    <w:pPr>
      <w:tabs>
        <w:tab w:val="right" w:leader="dot" w:pos="9072"/>
      </w:tabs>
      <w:spacing w:before="40" w:after="40"/>
      <w:ind w:left="284"/>
    </w:pPr>
    <w:rPr>
      <w:rFonts w:ascii="Times New Roman" w:hAnsi="Times New Roman"/>
    </w:rPr>
  </w:style>
  <w:style w:type="paragraph" w:styleId="TOC1">
    <w:name w:val="toc 1"/>
    <w:basedOn w:val="TOCBase"/>
    <w:next w:val="Normal"/>
    <w:rsid w:val="00C52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25CD"/>
    <w:pPr>
      <w:spacing w:before="5040"/>
      <w:jc w:val="center"/>
    </w:pPr>
    <w:rPr>
      <w:sz w:val="48"/>
      <w:szCs w:val="72"/>
      <w:lang w:val="en-US"/>
    </w:rPr>
  </w:style>
  <w:style w:type="character" w:customStyle="1" w:styleId="TitleChar">
    <w:name w:val="Title Char"/>
    <w:basedOn w:val="DefaultParagraphFont"/>
    <w:link w:val="Title"/>
    <w:rsid w:val="00C52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5CD"/>
    <w:pPr>
      <w:tabs>
        <w:tab w:val="left" w:pos="3600"/>
        <w:tab w:val="left" w:pos="3958"/>
      </w:tabs>
    </w:pPr>
  </w:style>
  <w:style w:type="paragraph" w:styleId="List">
    <w:name w:val="List"/>
    <w:basedOn w:val="BodyText"/>
    <w:next w:val="BodyText"/>
    <w:rsid w:val="00C525CD"/>
    <w:pPr>
      <w:tabs>
        <w:tab w:val="left" w:pos="340"/>
      </w:tabs>
      <w:spacing w:before="60" w:after="60"/>
      <w:ind w:left="340" w:hanging="340"/>
    </w:pPr>
  </w:style>
  <w:style w:type="paragraph" w:customStyle="1" w:styleId="Note">
    <w:name w:val="Note"/>
    <w:basedOn w:val="BodyText"/>
    <w:rsid w:val="00C52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5CD"/>
    <w:pPr>
      <w:framePr w:wrap="auto" w:hAnchor="text" w:y="6049"/>
    </w:pPr>
    <w:rPr>
      <w:color w:val="000000"/>
      <w:sz w:val="40"/>
    </w:rPr>
  </w:style>
  <w:style w:type="paragraph" w:customStyle="1" w:styleId="TOCTitle">
    <w:name w:val="TOCTitle"/>
    <w:basedOn w:val="Heading1"/>
    <w:rsid w:val="00C525CD"/>
    <w:pPr>
      <w:spacing w:after="240"/>
      <w:jc w:val="center"/>
      <w:outlineLvl w:val="9"/>
    </w:pPr>
    <w:rPr>
      <w:caps/>
    </w:rPr>
  </w:style>
  <w:style w:type="paragraph" w:customStyle="1" w:styleId="Version">
    <w:name w:val="Version"/>
    <w:rsid w:val="00C52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5CD"/>
    <w:pPr>
      <w:keepNext w:val="0"/>
      <w:tabs>
        <w:tab w:val="right" w:pos="4176"/>
      </w:tabs>
      <w:ind w:left="198" w:hanging="198"/>
    </w:pPr>
    <w:rPr>
      <w:rFonts w:ascii="Garamond" w:hAnsi="Garamond"/>
    </w:rPr>
  </w:style>
  <w:style w:type="paragraph" w:styleId="IndexHeading">
    <w:name w:val="index heading"/>
    <w:basedOn w:val="Normal"/>
    <w:next w:val="Index1"/>
    <w:semiHidden/>
    <w:rsid w:val="00C525CD"/>
    <w:pPr>
      <w:spacing w:before="120" w:after="120"/>
    </w:pPr>
    <w:rPr>
      <w:rFonts w:ascii="Arial" w:hAnsi="Arial"/>
      <w:b/>
      <w:color w:val="918585"/>
      <w:sz w:val="24"/>
    </w:rPr>
  </w:style>
  <w:style w:type="paragraph" w:styleId="Header">
    <w:name w:val="header"/>
    <w:basedOn w:val="Normal"/>
    <w:link w:val="HeaderChar"/>
    <w:rsid w:val="00C52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5CD"/>
    <w:rPr>
      <w:rFonts w:ascii="Times New Roman" w:eastAsia="Times New Roman" w:hAnsi="Times New Roman" w:cs="Times New Roman"/>
      <w:sz w:val="16"/>
      <w:szCs w:val="20"/>
      <w:lang w:val="en-GB" w:eastAsia="en-US"/>
    </w:rPr>
  </w:style>
  <w:style w:type="paragraph" w:customStyle="1" w:styleId="Chapter">
    <w:name w:val="Chapter"/>
    <w:basedOn w:val="Normal"/>
    <w:rsid w:val="00C525CD"/>
    <w:pPr>
      <w:spacing w:before="240"/>
    </w:pPr>
    <w:rPr>
      <w:rFonts w:ascii="Times New Roman" w:hAnsi="Times New Roman"/>
      <w:smallCaps/>
      <w:spacing w:val="80"/>
      <w:sz w:val="28"/>
    </w:rPr>
  </w:style>
  <w:style w:type="paragraph" w:customStyle="1" w:styleId="InChapter">
    <w:name w:val="InChapter"/>
    <w:basedOn w:val="Heading3"/>
    <w:rsid w:val="00C525CD"/>
    <w:pPr>
      <w:spacing w:after="240"/>
      <w:outlineLvl w:val="9"/>
    </w:pPr>
    <w:rPr>
      <w:noProof/>
    </w:rPr>
  </w:style>
  <w:style w:type="paragraph" w:styleId="Index2">
    <w:name w:val="index 2"/>
    <w:basedOn w:val="Normal"/>
    <w:next w:val="Normal"/>
    <w:semiHidden/>
    <w:rsid w:val="00C525CD"/>
    <w:pPr>
      <w:tabs>
        <w:tab w:val="right" w:pos="4176"/>
      </w:tabs>
      <w:ind w:left="568" w:hanging="284"/>
    </w:pPr>
    <w:rPr>
      <w:rFonts w:ascii="Garamond" w:hAnsi="Garamond"/>
    </w:rPr>
  </w:style>
  <w:style w:type="paragraph" w:customStyle="1" w:styleId="Byline">
    <w:name w:val="Byline"/>
    <w:rsid w:val="00C52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5CD"/>
    <w:pPr>
      <w:tabs>
        <w:tab w:val="clear" w:pos="3600"/>
        <w:tab w:val="clear" w:pos="3958"/>
      </w:tabs>
      <w:jc w:val="right"/>
    </w:pPr>
  </w:style>
  <w:style w:type="character" w:styleId="Emphasis">
    <w:name w:val="Emphasis"/>
    <w:basedOn w:val="DefaultParagraphFont"/>
    <w:qFormat/>
    <w:rsid w:val="00C525CD"/>
    <w:rPr>
      <w:i/>
    </w:rPr>
  </w:style>
  <w:style w:type="paragraph" w:styleId="Caption">
    <w:name w:val="caption"/>
    <w:basedOn w:val="BodyText"/>
    <w:next w:val="Normal"/>
    <w:qFormat/>
    <w:rsid w:val="00C525CD"/>
    <w:pPr>
      <w:framePr w:w="2268" w:hSpace="181" w:vSpace="181" w:wrap="around" w:vAnchor="text" w:hAnchor="page" w:x="1135" w:y="285" w:anchorLock="1"/>
    </w:pPr>
    <w:rPr>
      <w:i/>
    </w:rPr>
  </w:style>
  <w:style w:type="paragraph" w:customStyle="1" w:styleId="MiniTOCTitle">
    <w:name w:val="MiniTOCTitle"/>
    <w:basedOn w:val="Heading4"/>
    <w:rsid w:val="00C525CD"/>
    <w:pPr>
      <w:spacing w:before="240"/>
      <w:outlineLvl w:val="9"/>
    </w:pPr>
    <w:rPr>
      <w:noProof/>
      <w:sz w:val="24"/>
    </w:rPr>
  </w:style>
  <w:style w:type="paragraph" w:customStyle="1" w:styleId="MiniTOCItem">
    <w:name w:val="MiniTOCItem"/>
    <w:basedOn w:val="ListBullet"/>
    <w:rsid w:val="00C525CD"/>
    <w:pPr>
      <w:numPr>
        <w:numId w:val="0"/>
      </w:numPr>
      <w:tabs>
        <w:tab w:val="right" w:leader="dot" w:pos="6521"/>
      </w:tabs>
      <w:spacing w:before="0" w:after="0"/>
    </w:pPr>
  </w:style>
  <w:style w:type="paragraph" w:customStyle="1" w:styleId="TOFTitle">
    <w:name w:val="TOFTitle"/>
    <w:basedOn w:val="TOCTitle"/>
    <w:rsid w:val="00C525CD"/>
  </w:style>
  <w:style w:type="paragraph" w:styleId="TableofFigures">
    <w:name w:val="table of figures"/>
    <w:basedOn w:val="Normal"/>
    <w:next w:val="Normal"/>
    <w:semiHidden/>
    <w:rsid w:val="00C525CD"/>
    <w:pPr>
      <w:tabs>
        <w:tab w:val="right" w:leader="dot" w:pos="9072"/>
      </w:tabs>
      <w:ind w:left="970" w:hanging="403"/>
    </w:pPr>
    <w:rPr>
      <w:rFonts w:ascii="Times New Roman" w:hAnsi="Times New Roman"/>
      <w:b/>
    </w:rPr>
  </w:style>
  <w:style w:type="paragraph" w:styleId="ListNumber">
    <w:name w:val="List Number"/>
    <w:basedOn w:val="List"/>
    <w:rsid w:val="00C525CD"/>
    <w:pPr>
      <w:numPr>
        <w:numId w:val="11"/>
      </w:numPr>
    </w:pPr>
  </w:style>
  <w:style w:type="character" w:customStyle="1" w:styleId="WingdingSymbols">
    <w:name w:val="Wingding Symbols"/>
    <w:rsid w:val="00C525CD"/>
    <w:rPr>
      <w:rFonts w:ascii="Wingdings" w:hAnsi="Wingdings"/>
    </w:rPr>
  </w:style>
  <w:style w:type="paragraph" w:customStyle="1" w:styleId="TableHeading">
    <w:name w:val="Table Heading"/>
    <w:basedOn w:val="HeadingBase"/>
    <w:rsid w:val="00C525CD"/>
    <w:pPr>
      <w:keepLines/>
      <w:pBdr>
        <w:bottom w:val="single" w:sz="6" w:space="1" w:color="918585"/>
      </w:pBdr>
      <w:spacing w:before="240"/>
    </w:pPr>
  </w:style>
  <w:style w:type="character" w:customStyle="1" w:styleId="HotSpot">
    <w:name w:val="HotSpot"/>
    <w:rsid w:val="00C525CD"/>
    <w:rPr>
      <w:color w:val="0033CC"/>
      <w:u w:val="none"/>
    </w:rPr>
  </w:style>
  <w:style w:type="paragraph" w:customStyle="1" w:styleId="BodyTextRight">
    <w:name w:val="Body Text Right"/>
    <w:basedOn w:val="BodyText"/>
    <w:rsid w:val="00C525CD"/>
    <w:pPr>
      <w:spacing w:before="0" w:after="0"/>
      <w:jc w:val="right"/>
    </w:pPr>
  </w:style>
  <w:style w:type="paragraph" w:styleId="Index3">
    <w:name w:val="index 3"/>
    <w:basedOn w:val="ListNumber2"/>
    <w:next w:val="Normal"/>
    <w:semiHidden/>
    <w:rsid w:val="00C525CD"/>
    <w:pPr>
      <w:numPr>
        <w:numId w:val="0"/>
      </w:numPr>
      <w:tabs>
        <w:tab w:val="right" w:leader="dot" w:pos="4176"/>
      </w:tabs>
    </w:pPr>
  </w:style>
  <w:style w:type="paragraph" w:styleId="ListNumber2">
    <w:name w:val="List Number 2"/>
    <w:basedOn w:val="List2"/>
    <w:rsid w:val="00C525CD"/>
    <w:pPr>
      <w:numPr>
        <w:numId w:val="10"/>
      </w:numPr>
      <w:tabs>
        <w:tab w:val="clear" w:pos="1060"/>
      </w:tabs>
    </w:pPr>
  </w:style>
  <w:style w:type="paragraph" w:customStyle="1" w:styleId="MarginNote">
    <w:name w:val="Margin Note"/>
    <w:basedOn w:val="BodyText"/>
    <w:rsid w:val="00C52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5CD"/>
    <w:rPr>
      <w:sz w:val="32"/>
    </w:rPr>
  </w:style>
  <w:style w:type="paragraph" w:customStyle="1" w:styleId="HeadingProcedure">
    <w:name w:val="Heading Procedure"/>
    <w:basedOn w:val="HeadingBase"/>
    <w:next w:val="Normal"/>
    <w:rsid w:val="00C525CD"/>
    <w:pPr>
      <w:tabs>
        <w:tab w:val="left" w:pos="0"/>
      </w:tabs>
      <w:spacing w:before="120" w:after="60"/>
    </w:pPr>
    <w:rPr>
      <w:i/>
      <w:color w:val="918585"/>
      <w:sz w:val="22"/>
    </w:rPr>
  </w:style>
  <w:style w:type="paragraph" w:customStyle="1" w:styleId="TableBodyText">
    <w:name w:val="Table Body Text"/>
    <w:basedOn w:val="BodyText"/>
    <w:rsid w:val="00C525CD"/>
    <w:pPr>
      <w:spacing w:before="60" w:after="60"/>
    </w:pPr>
  </w:style>
  <w:style w:type="paragraph" w:styleId="ListContinue">
    <w:name w:val="List Continue"/>
    <w:basedOn w:val="List"/>
    <w:rsid w:val="00C525CD"/>
    <w:pPr>
      <w:ind w:firstLine="0"/>
    </w:pPr>
  </w:style>
  <w:style w:type="paragraph" w:customStyle="1" w:styleId="ListNote">
    <w:name w:val="List Note"/>
    <w:basedOn w:val="List"/>
    <w:rsid w:val="00C525CD"/>
    <w:pPr>
      <w:pBdr>
        <w:top w:val="single" w:sz="6" w:space="2" w:color="918585"/>
        <w:bottom w:val="single" w:sz="6" w:space="2" w:color="918585"/>
      </w:pBdr>
      <w:tabs>
        <w:tab w:val="left" w:pos="1021"/>
      </w:tabs>
      <w:ind w:firstLine="0"/>
    </w:pPr>
  </w:style>
  <w:style w:type="paragraph" w:customStyle="1" w:styleId="Warning">
    <w:name w:val="Warning"/>
    <w:basedOn w:val="BodyText"/>
    <w:rsid w:val="00C525CD"/>
    <w:pPr>
      <w:shd w:val="clear" w:color="auto" w:fill="D9D9D9"/>
      <w:tabs>
        <w:tab w:val="left" w:pos="992"/>
      </w:tabs>
      <w:ind w:left="119" w:right="119"/>
    </w:pPr>
    <w:rPr>
      <w:sz w:val="20"/>
    </w:rPr>
  </w:style>
  <w:style w:type="paragraph" w:customStyle="1" w:styleId="MarginIcons">
    <w:name w:val="Margin Icons"/>
    <w:basedOn w:val="BodyText"/>
    <w:rsid w:val="00C52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5CD"/>
    <w:rPr>
      <w:rFonts w:ascii="Courier New" w:hAnsi="Courier New"/>
    </w:rPr>
  </w:style>
  <w:style w:type="paragraph" w:customStyle="1" w:styleId="NoteBullet">
    <w:name w:val="Note Bullet"/>
    <w:basedOn w:val="Note"/>
    <w:rsid w:val="00C525CD"/>
    <w:pPr>
      <w:tabs>
        <w:tab w:val="clear" w:pos="680"/>
      </w:tabs>
      <w:spacing w:before="60" w:after="60"/>
    </w:pPr>
  </w:style>
  <w:style w:type="paragraph" w:customStyle="1" w:styleId="SubHeading2">
    <w:name w:val="SubHeading2"/>
    <w:basedOn w:val="HeadingBase"/>
    <w:rsid w:val="00C525CD"/>
    <w:pPr>
      <w:spacing w:before="240" w:after="60"/>
    </w:pPr>
    <w:rPr>
      <w:sz w:val="20"/>
    </w:rPr>
  </w:style>
  <w:style w:type="paragraph" w:customStyle="1" w:styleId="SubHeading1">
    <w:name w:val="SubHeading1"/>
    <w:basedOn w:val="HeadingBase"/>
    <w:rsid w:val="00C525CD"/>
    <w:pPr>
      <w:spacing w:before="240" w:after="60"/>
    </w:pPr>
    <w:rPr>
      <w:color w:val="918585"/>
      <w:sz w:val="22"/>
    </w:rPr>
  </w:style>
  <w:style w:type="paragraph" w:customStyle="1" w:styleId="SideHeading">
    <w:name w:val="Side Heading"/>
    <w:basedOn w:val="HeadingBase"/>
    <w:rsid w:val="00C52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5CD"/>
    <w:pPr>
      <w:numPr>
        <w:numId w:val="12"/>
      </w:numPr>
    </w:pPr>
  </w:style>
  <w:style w:type="paragraph" w:styleId="PlainText">
    <w:name w:val="Plain Text"/>
    <w:basedOn w:val="Normal"/>
    <w:link w:val="PlainTextChar"/>
    <w:rsid w:val="00C525CD"/>
    <w:rPr>
      <w:sz w:val="20"/>
    </w:rPr>
  </w:style>
  <w:style w:type="character" w:customStyle="1" w:styleId="PlainTextChar">
    <w:name w:val="Plain Text Char"/>
    <w:basedOn w:val="DefaultParagraphFont"/>
    <w:link w:val="PlainText"/>
    <w:rsid w:val="00C525CD"/>
    <w:rPr>
      <w:rFonts w:ascii="Courier New" w:eastAsia="Times New Roman" w:hAnsi="Courier New" w:cs="Times New Roman"/>
      <w:sz w:val="20"/>
      <w:szCs w:val="20"/>
      <w:lang w:eastAsia="en-US"/>
    </w:rPr>
  </w:style>
  <w:style w:type="character" w:customStyle="1" w:styleId="MenuOption">
    <w:name w:val="Menu Option"/>
    <w:basedOn w:val="DefaultParagraphFont"/>
    <w:rsid w:val="00C525CD"/>
    <w:rPr>
      <w:b/>
      <w:smallCaps/>
    </w:rPr>
  </w:style>
  <w:style w:type="paragraph" w:customStyle="1" w:styleId="TableListNumber">
    <w:name w:val="Table List Number"/>
    <w:basedOn w:val="ListNumber"/>
    <w:rsid w:val="00C525CD"/>
    <w:pPr>
      <w:numPr>
        <w:numId w:val="0"/>
      </w:numPr>
    </w:pPr>
  </w:style>
  <w:style w:type="paragraph" w:styleId="TOC4">
    <w:name w:val="toc 4"/>
    <w:basedOn w:val="TOCBase"/>
    <w:next w:val="Normal"/>
    <w:semiHidden/>
    <w:rsid w:val="00C525CD"/>
    <w:pPr>
      <w:tabs>
        <w:tab w:val="right" w:leader="dot" w:pos="9071"/>
      </w:tabs>
      <w:ind w:left="1701"/>
    </w:pPr>
  </w:style>
  <w:style w:type="paragraph" w:customStyle="1" w:styleId="ListAlpha">
    <w:name w:val="List Alpha"/>
    <w:basedOn w:val="List"/>
    <w:rsid w:val="00C525CD"/>
    <w:pPr>
      <w:numPr>
        <w:numId w:val="9"/>
      </w:numPr>
    </w:pPr>
  </w:style>
  <w:style w:type="paragraph" w:customStyle="1" w:styleId="ListAlpha2">
    <w:name w:val="List Alpha 2"/>
    <w:basedOn w:val="List2"/>
    <w:rsid w:val="00C525CD"/>
    <w:pPr>
      <w:numPr>
        <w:numId w:val="8"/>
      </w:numPr>
    </w:pPr>
  </w:style>
  <w:style w:type="paragraph" w:styleId="List2">
    <w:name w:val="List 2"/>
    <w:basedOn w:val="BodyText"/>
    <w:rsid w:val="00C525CD"/>
    <w:pPr>
      <w:tabs>
        <w:tab w:val="left" w:pos="680"/>
      </w:tabs>
      <w:spacing w:before="60" w:after="60"/>
      <w:ind w:left="680" w:hanging="340"/>
    </w:pPr>
  </w:style>
  <w:style w:type="paragraph" w:styleId="List3">
    <w:name w:val="List 3"/>
    <w:basedOn w:val="BodyText"/>
    <w:rsid w:val="00C525CD"/>
    <w:pPr>
      <w:tabs>
        <w:tab w:val="left" w:pos="1021"/>
      </w:tabs>
      <w:spacing w:before="60" w:after="60"/>
      <w:ind w:left="1020" w:hanging="340"/>
    </w:pPr>
  </w:style>
  <w:style w:type="paragraph" w:styleId="List4">
    <w:name w:val="List 4"/>
    <w:basedOn w:val="BodyText"/>
    <w:rsid w:val="00C525CD"/>
    <w:pPr>
      <w:tabs>
        <w:tab w:val="left" w:pos="1361"/>
      </w:tabs>
      <w:spacing w:before="60" w:after="60"/>
      <w:ind w:left="1361" w:hanging="340"/>
    </w:pPr>
  </w:style>
  <w:style w:type="paragraph" w:styleId="List5">
    <w:name w:val="List 5"/>
    <w:basedOn w:val="BodyText"/>
    <w:rsid w:val="00C525CD"/>
    <w:pPr>
      <w:tabs>
        <w:tab w:val="left" w:pos="1701"/>
      </w:tabs>
      <w:spacing w:before="60" w:after="60"/>
      <w:ind w:left="1701" w:hanging="340"/>
    </w:pPr>
  </w:style>
  <w:style w:type="paragraph" w:styleId="ListBullet3">
    <w:name w:val="List Bullet 3"/>
    <w:basedOn w:val="List3"/>
    <w:rsid w:val="00C525CD"/>
    <w:pPr>
      <w:numPr>
        <w:numId w:val="15"/>
      </w:numPr>
      <w:tabs>
        <w:tab w:val="clear" w:pos="1021"/>
      </w:tabs>
      <w:ind w:left="1037" w:hanging="357"/>
    </w:pPr>
  </w:style>
  <w:style w:type="paragraph" w:styleId="ListBullet4">
    <w:name w:val="List Bullet 4"/>
    <w:basedOn w:val="List4"/>
    <w:rsid w:val="00C525CD"/>
    <w:pPr>
      <w:numPr>
        <w:numId w:val="3"/>
      </w:numPr>
    </w:pPr>
  </w:style>
  <w:style w:type="paragraph" w:styleId="ListBullet5">
    <w:name w:val="List Bullet 5"/>
    <w:basedOn w:val="List5"/>
    <w:rsid w:val="00C525CD"/>
    <w:pPr>
      <w:numPr>
        <w:numId w:val="4"/>
      </w:numPr>
    </w:pPr>
  </w:style>
  <w:style w:type="paragraph" w:styleId="ListContinue2">
    <w:name w:val="List Continue 2"/>
    <w:basedOn w:val="List2"/>
    <w:rsid w:val="00C525CD"/>
    <w:pPr>
      <w:ind w:firstLine="0"/>
    </w:pPr>
  </w:style>
  <w:style w:type="paragraph" w:styleId="ListContinue3">
    <w:name w:val="List Continue 3"/>
    <w:basedOn w:val="List3"/>
    <w:rsid w:val="00C525CD"/>
    <w:pPr>
      <w:ind w:left="1021" w:firstLine="0"/>
    </w:pPr>
  </w:style>
  <w:style w:type="paragraph" w:styleId="ListContinue4">
    <w:name w:val="List Continue 4"/>
    <w:basedOn w:val="List4"/>
    <w:rsid w:val="00C525CD"/>
    <w:pPr>
      <w:ind w:firstLine="0"/>
    </w:pPr>
  </w:style>
  <w:style w:type="paragraph" w:styleId="ListContinue5">
    <w:name w:val="List Continue 5"/>
    <w:basedOn w:val="List5"/>
    <w:rsid w:val="00C525CD"/>
    <w:pPr>
      <w:ind w:firstLine="0"/>
    </w:pPr>
  </w:style>
  <w:style w:type="paragraph" w:styleId="ListNumber3">
    <w:name w:val="List Number 3"/>
    <w:basedOn w:val="List3"/>
    <w:rsid w:val="00C525CD"/>
    <w:pPr>
      <w:numPr>
        <w:numId w:val="5"/>
      </w:numPr>
    </w:pPr>
  </w:style>
  <w:style w:type="paragraph" w:styleId="ListNumber4">
    <w:name w:val="List Number 4"/>
    <w:basedOn w:val="List4"/>
    <w:rsid w:val="00C525CD"/>
    <w:pPr>
      <w:numPr>
        <w:numId w:val="6"/>
      </w:numPr>
    </w:pPr>
  </w:style>
  <w:style w:type="paragraph" w:styleId="ListNumber5">
    <w:name w:val="List Number 5"/>
    <w:basedOn w:val="List5"/>
    <w:rsid w:val="00C525CD"/>
    <w:pPr>
      <w:numPr>
        <w:numId w:val="7"/>
      </w:numPr>
    </w:pPr>
  </w:style>
  <w:style w:type="paragraph" w:styleId="BlockText">
    <w:name w:val="Block Text"/>
    <w:basedOn w:val="Normal"/>
    <w:rsid w:val="00C525CD"/>
    <w:pPr>
      <w:spacing w:after="120"/>
      <w:ind w:left="1440" w:right="1440"/>
    </w:pPr>
  </w:style>
  <w:style w:type="character" w:customStyle="1" w:styleId="Subscript">
    <w:name w:val="Subscript"/>
    <w:basedOn w:val="DefaultParagraphFont"/>
    <w:rsid w:val="00C525CD"/>
    <w:rPr>
      <w:sz w:val="16"/>
      <w:vertAlign w:val="subscript"/>
    </w:rPr>
  </w:style>
  <w:style w:type="character" w:customStyle="1" w:styleId="Superscript">
    <w:name w:val="Superscript"/>
    <w:basedOn w:val="DefaultParagraphFont"/>
    <w:rsid w:val="00C525CD"/>
    <w:rPr>
      <w:sz w:val="16"/>
      <w:vertAlign w:val="superscript"/>
    </w:rPr>
  </w:style>
  <w:style w:type="character" w:customStyle="1" w:styleId="Symbols">
    <w:name w:val="Symbols"/>
    <w:basedOn w:val="DefaultParagraphFont"/>
    <w:rsid w:val="00C525CD"/>
    <w:rPr>
      <w:rFonts w:ascii="Symbol" w:hAnsi="Symbol"/>
    </w:rPr>
  </w:style>
  <w:style w:type="character" w:customStyle="1" w:styleId="MenuOptions">
    <w:name w:val="Menu Options"/>
    <w:basedOn w:val="DefaultParagraphFont"/>
    <w:rsid w:val="00C525CD"/>
    <w:rPr>
      <w:rFonts w:ascii="Arial Narrow" w:hAnsi="Arial Narrow"/>
      <w:smallCaps/>
    </w:rPr>
  </w:style>
  <w:style w:type="character" w:customStyle="1" w:styleId="Buttons">
    <w:name w:val="Buttons"/>
    <w:basedOn w:val="DefaultParagraphFont"/>
    <w:rsid w:val="00C525CD"/>
    <w:rPr>
      <w:b/>
    </w:rPr>
  </w:style>
  <w:style w:type="character" w:customStyle="1" w:styleId="Underlined">
    <w:name w:val="Underlined"/>
    <w:basedOn w:val="DefaultParagraphFont"/>
    <w:rsid w:val="00C525CD"/>
    <w:rPr>
      <w:u w:val="single"/>
    </w:rPr>
  </w:style>
  <w:style w:type="paragraph" w:customStyle="1" w:styleId="TableBodyTextRight">
    <w:name w:val="Table Body Text Right"/>
    <w:basedOn w:val="TableBodyText"/>
    <w:rsid w:val="00C525CD"/>
    <w:pPr>
      <w:widowControl w:val="0"/>
      <w:autoSpaceDE w:val="0"/>
      <w:autoSpaceDN w:val="0"/>
      <w:adjustRightInd w:val="0"/>
      <w:jc w:val="right"/>
    </w:pPr>
    <w:rPr>
      <w:rFonts w:cs="Arial"/>
      <w:szCs w:val="18"/>
    </w:rPr>
  </w:style>
  <w:style w:type="paragraph" w:customStyle="1" w:styleId="CopyrightText">
    <w:name w:val="Copyright Text"/>
    <w:basedOn w:val="BodyText"/>
    <w:rsid w:val="00C525CD"/>
    <w:rPr>
      <w:sz w:val="18"/>
    </w:rPr>
  </w:style>
  <w:style w:type="paragraph" w:customStyle="1" w:styleId="BodySmallRight">
    <w:name w:val="Body Small Right"/>
    <w:basedOn w:val="BodyTextRight"/>
    <w:rsid w:val="00C525CD"/>
    <w:rPr>
      <w:sz w:val="18"/>
      <w:szCs w:val="18"/>
    </w:rPr>
  </w:style>
  <w:style w:type="paragraph" w:customStyle="1" w:styleId="MarginEdition">
    <w:name w:val="Margin Edition"/>
    <w:basedOn w:val="MarginNote"/>
    <w:rsid w:val="00C525CD"/>
    <w:pPr>
      <w:spacing w:before="0" w:after="0"/>
    </w:pPr>
    <w:rPr>
      <w:rFonts w:ascii="Times New Roman" w:hAnsi="Times New Roman"/>
      <w:color w:val="999999"/>
    </w:rPr>
  </w:style>
  <w:style w:type="paragraph" w:customStyle="1" w:styleId="Spacer">
    <w:name w:val="Spacer"/>
    <w:basedOn w:val="Normal"/>
    <w:rsid w:val="00C525CD"/>
    <w:rPr>
      <w:sz w:val="2"/>
      <w:szCs w:val="2"/>
    </w:rPr>
  </w:style>
  <w:style w:type="character" w:customStyle="1" w:styleId="Small">
    <w:name w:val="Small"/>
    <w:basedOn w:val="DefaultParagraphFont"/>
    <w:rsid w:val="00C525CD"/>
    <w:rPr>
      <w:sz w:val="16"/>
    </w:rPr>
  </w:style>
  <w:style w:type="paragraph" w:customStyle="1" w:styleId="WideTable">
    <w:name w:val="Wide Table"/>
    <w:basedOn w:val="Normal"/>
    <w:rsid w:val="00C525CD"/>
    <w:pPr>
      <w:ind w:left="-1418"/>
    </w:pPr>
    <w:rPr>
      <w:sz w:val="2"/>
      <w:szCs w:val="2"/>
    </w:rPr>
  </w:style>
  <w:style w:type="character" w:styleId="PageNumber">
    <w:name w:val="page number"/>
    <w:basedOn w:val="DefaultParagraphFont"/>
    <w:rsid w:val="00C525CD"/>
  </w:style>
  <w:style w:type="paragraph" w:styleId="Quote">
    <w:name w:val="Quote"/>
    <w:basedOn w:val="Heading1"/>
    <w:link w:val="QuoteChar"/>
    <w:qFormat/>
    <w:rsid w:val="00C525CD"/>
    <w:rPr>
      <w:b w:val="0"/>
      <w:sz w:val="72"/>
      <w:szCs w:val="72"/>
      <w:lang w:val="en-NZ"/>
    </w:rPr>
  </w:style>
  <w:style w:type="character" w:customStyle="1" w:styleId="QuoteChar">
    <w:name w:val="Quote Char"/>
    <w:basedOn w:val="DefaultParagraphFont"/>
    <w:link w:val="Quote"/>
    <w:rsid w:val="00C52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5CD"/>
    <w:pPr>
      <w:pageBreakBefore/>
    </w:pPr>
  </w:style>
  <w:style w:type="paragraph" w:customStyle="1" w:styleId="Border">
    <w:name w:val="Border"/>
    <w:basedOn w:val="Normal"/>
    <w:qFormat/>
    <w:rsid w:val="00C52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5CD"/>
    <w:rPr>
      <w:b/>
      <w:bCs/>
      <w:i/>
      <w:iCs/>
      <w:color w:val="auto"/>
    </w:rPr>
  </w:style>
  <w:style w:type="paragraph" w:styleId="IntenseQuote">
    <w:name w:val="Intense Quote"/>
    <w:basedOn w:val="Normal"/>
    <w:next w:val="Normal"/>
    <w:link w:val="IntenseQuoteChar"/>
    <w:uiPriority w:val="30"/>
    <w:qFormat/>
    <w:rsid w:val="00C52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5CD"/>
    <w:rPr>
      <w:smallCaps/>
      <w:color w:val="auto"/>
      <w:u w:val="single"/>
    </w:rPr>
  </w:style>
  <w:style w:type="character" w:styleId="IntenseReference">
    <w:name w:val="Intense Reference"/>
    <w:basedOn w:val="DefaultParagraphFont"/>
    <w:uiPriority w:val="32"/>
    <w:qFormat/>
    <w:rsid w:val="00C525CD"/>
    <w:rPr>
      <w:b/>
      <w:bCs/>
      <w:smallCaps/>
      <w:color w:val="auto"/>
      <w:spacing w:val="5"/>
      <w:u w:val="single"/>
    </w:rPr>
  </w:style>
  <w:style w:type="paragraph" w:customStyle="1" w:styleId="2ColumnHeading">
    <w:name w:val="2Column Heading"/>
    <w:basedOn w:val="BodyText"/>
    <w:qFormat/>
    <w:rsid w:val="00C525CD"/>
    <w:pPr>
      <w:spacing w:after="60"/>
      <w:ind w:left="-2268"/>
    </w:pPr>
    <w:rPr>
      <w:b/>
    </w:rPr>
  </w:style>
  <w:style w:type="paragraph" w:customStyle="1" w:styleId="Heading1TOC">
    <w:name w:val="Heading1 TOC"/>
    <w:basedOn w:val="Normal"/>
    <w:qFormat/>
    <w:rsid w:val="00C525CD"/>
    <w:pPr>
      <w:spacing w:before="240" w:after="120"/>
    </w:pPr>
    <w:rPr>
      <w:rFonts w:ascii="Times New Roman" w:hAnsi="Times New Roman"/>
      <w:b/>
      <w:sz w:val="32"/>
    </w:rPr>
  </w:style>
  <w:style w:type="paragraph" w:customStyle="1" w:styleId="Heading2TOC">
    <w:name w:val="Heading2 TOC"/>
    <w:basedOn w:val="Normal"/>
    <w:qFormat/>
    <w:rsid w:val="00C525CD"/>
    <w:pPr>
      <w:spacing w:before="240" w:after="60"/>
    </w:pPr>
    <w:rPr>
      <w:rFonts w:ascii="Times New Roman" w:hAnsi="Times New Roman"/>
      <w:b/>
      <w:sz w:val="28"/>
    </w:rPr>
  </w:style>
  <w:style w:type="character" w:customStyle="1" w:styleId="Underline">
    <w:name w:val="Underline"/>
    <w:basedOn w:val="DefaultParagraphFont"/>
    <w:qFormat/>
    <w:rsid w:val="00C525CD"/>
    <w:rPr>
      <w:u w:val="single"/>
    </w:rPr>
  </w:style>
  <w:style w:type="character" w:customStyle="1" w:styleId="BoldandItalics">
    <w:name w:val="Bold and Italics"/>
    <w:qFormat/>
    <w:rsid w:val="00C525CD"/>
    <w:rPr>
      <w:b/>
      <w:i/>
      <w:u w:val="none"/>
    </w:rPr>
  </w:style>
  <w:style w:type="paragraph" w:styleId="BalloonText">
    <w:name w:val="Balloon Text"/>
    <w:basedOn w:val="Normal"/>
    <w:link w:val="BalloonTextChar"/>
    <w:rsid w:val="00C525CD"/>
    <w:rPr>
      <w:rFonts w:ascii="Tahoma" w:hAnsi="Tahoma" w:cs="Tahoma"/>
      <w:sz w:val="16"/>
      <w:szCs w:val="16"/>
    </w:rPr>
  </w:style>
  <w:style w:type="character" w:customStyle="1" w:styleId="BalloonTextChar">
    <w:name w:val="Balloon Text Char"/>
    <w:basedOn w:val="DefaultParagraphFont"/>
    <w:link w:val="BalloonText"/>
    <w:rsid w:val="00C52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5CD"/>
    <w:rPr>
      <w:b/>
      <w:color w:val="660033"/>
      <w:spacing w:val="0"/>
    </w:rPr>
  </w:style>
  <w:style w:type="paragraph" w:customStyle="1" w:styleId="Nameditemlist">
    <w:name w:val="Named item list"/>
    <w:basedOn w:val="BodyText"/>
    <w:qFormat/>
    <w:rsid w:val="00C525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8916</Characters>
  <Application>Microsoft Office Word</Application>
  <DocSecurity>0</DocSecurity>
  <Lines>329</Lines>
  <Paragraphs>167</Paragraphs>
  <ScaleCrop>false</ScaleCrop>
  <Company>Author-it Software Corporation Ltd.</Company>
  <LinksUpToDate>false</LinksUpToDate>
  <CharactersWithSpaces>10228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MEM09212A Produce detailed drawings of steel to non-steel connections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2012-07-02T02:25:00Z</dcterms:created>
  <dcterms:modified xsi:type="dcterms:W3CDTF">2012-07-02T02:25:00Z</dcterms:modified>
</cp:coreProperties>
</file>