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CDC" w:rsidP="00525CDC">
      <w:pPr>
        <w:pStyle w:val="Title"/>
      </w:pPr>
      <w:bookmarkStart w:id="0" w:name="_GoBack"/>
      <w:bookmarkEnd w:id="0"/>
      <w:r>
        <w:fldChar w:fldCharType="begin"/>
      </w:r>
      <w:r>
        <w:instrText xml:space="preserve"> TITLE   \* MERGEFORMAT </w:instrText>
      </w:r>
      <w:r>
        <w:fldChar w:fldCharType="separate"/>
      </w:r>
      <w:r>
        <w:t>MEM09206A Produce drawings for mechanical services</w:t>
      </w:r>
      <w:r>
        <w:fldChar w:fldCharType="end"/>
      </w:r>
    </w:p>
    <w:p w:rsidR="00525CDC" w:rsidP="00525CDC">
      <w:pPr>
        <w:pStyle w:val="Version"/>
        <w:sectPr w:rsidSect="00A231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3157" w:rsidP="00A23157">
      <w:pPr>
        <w:pStyle w:val="SuperHeading"/>
      </w:pPr>
      <w:r w:rsidRPr="00A23157">
        <w:t>MEM09206A Produce drawings for mechanical services</w:t>
      </w:r>
    </w:p>
    <w:p w:rsidR="00000000" w:rsidRPr="00A23157" w:rsidP="00A23157">
      <w:pPr>
        <w:pStyle w:val="Heading1"/>
      </w:pPr>
      <w:bookmarkStart w:id="1" w:name="O_476762"/>
      <w:bookmarkEnd w:id="1"/>
      <w:r w:rsidRPr="00A23157">
        <w:t>Modification History</w:t>
      </w:r>
    </w:p>
    <w:p w:rsidR="00000000" w:rsidRPr="00A23157" w:rsidP="00A23157">
      <w:pPr>
        <w:pStyle w:val="BodyText"/>
      </w:pPr>
      <w:r w:rsidRPr="00A23157">
        <w:t>Release 1 - New unit of competency</w:t>
      </w:r>
    </w:p>
    <w:p w:rsidR="00000000" w:rsidRPr="00A23157" w:rsidP="00A23157">
      <w:pPr>
        <w:pStyle w:val="AllowPageBreak"/>
      </w:pPr>
    </w:p>
    <w:p w:rsidR="00000000" w:rsidRPr="00A23157" w:rsidP="00A23157">
      <w:pPr>
        <w:pStyle w:val="Heading1"/>
      </w:pPr>
      <w:bookmarkStart w:id="2" w:name="O_476763"/>
      <w:bookmarkEnd w:id="2"/>
      <w:r w:rsidRPr="00A23157">
        <w:t>Unit Descriptor</w:t>
      </w:r>
    </w:p>
    <w:p w:rsidR="00000000" w:rsidRPr="00A23157" w:rsidP="00A23157">
      <w:pPr>
        <w:pStyle w:val="BodyText"/>
      </w:pPr>
      <w:r w:rsidRPr="00A23157">
        <w:t>This unit of competency covers the skills and knowledge required to produce detailed engin</w:t>
      </w:r>
      <w:r w:rsidRPr="00A23157">
        <w:t xml:space="preserve">eering drawings for the installation of heating, ventilation, air conditioning and refrigeration (HVAC/R) systems within the mechanical services industry. </w:t>
      </w:r>
    </w:p>
    <w:p w:rsidR="00000000" w:rsidRPr="00A23157" w:rsidP="00A23157">
      <w:pPr>
        <w:pStyle w:val="AllowPageBreak"/>
      </w:pPr>
    </w:p>
    <w:p w:rsidR="00000000" w:rsidRPr="00A23157" w:rsidP="00A23157">
      <w:pPr>
        <w:pStyle w:val="Heading1"/>
      </w:pPr>
      <w:bookmarkStart w:id="3" w:name="O_476764"/>
      <w:bookmarkEnd w:id="3"/>
      <w:r w:rsidRPr="00A23157">
        <w:t>Application of the Unit</w:t>
      </w:r>
    </w:p>
    <w:p w:rsidR="00000000" w:rsidRPr="00A23157" w:rsidP="00A23157">
      <w:pPr>
        <w:pStyle w:val="BodyText"/>
      </w:pPr>
      <w:r w:rsidRPr="00A23157">
        <w:t>This unit is suitable for those working within a drafting w</w:t>
      </w:r>
      <w:r w:rsidRPr="00A23157">
        <w:t>ork environment in the mechanical services industry. Drawings will usually be carried out with the use of computer-aided design (CAD) systems but may also be done manually. Drawings are produced to Australian Standard (AS) 1100.101–1992 Technical drawing –</w:t>
      </w:r>
      <w:r w:rsidRPr="00A23157">
        <w:t xml:space="preserve"> General principles, from predetermined critical dimensions and specifications. If CAD systems are to be used, the unit MEM30031A Operate computer-aided design (CAD) system to produce basic drawing elements, should also be selected.</w:t>
      </w:r>
    </w:p>
    <w:p w:rsidR="00000000" w:rsidRPr="00A23157" w:rsidP="00A23157">
      <w:pPr>
        <w:pStyle w:val="AllowPageBreak"/>
      </w:pPr>
    </w:p>
    <w:p w:rsidR="00000000" w:rsidRPr="00A23157" w:rsidP="00A23157">
      <w:pPr>
        <w:pStyle w:val="Heading1"/>
      </w:pPr>
      <w:bookmarkStart w:id="4" w:name="O_476765"/>
      <w:bookmarkEnd w:id="4"/>
      <w:r w:rsidRPr="00A23157">
        <w:t>Licens</w:t>
      </w:r>
      <w:r w:rsidRPr="00A23157">
        <w:t>ing/Regulatory Information</w:t>
      </w:r>
    </w:p>
    <w:p w:rsidR="00000000" w:rsidRPr="00A23157" w:rsidP="00A23157">
      <w:pPr>
        <w:pStyle w:val="BodyText"/>
      </w:pPr>
      <w:r w:rsidRPr="00A23157">
        <w:t>No licensing, legislative, regulatory or certification requirements apply to this unit at the time of publication.</w:t>
      </w:r>
    </w:p>
    <w:p w:rsidR="00000000" w:rsidRPr="00A23157" w:rsidP="00A23157">
      <w:pPr>
        <w:pStyle w:val="AllowPageBreak"/>
      </w:pPr>
    </w:p>
    <w:p w:rsidR="00000000" w:rsidRPr="00A23157" w:rsidP="00A23157">
      <w:pPr>
        <w:pStyle w:val="Heading1"/>
      </w:pPr>
      <w:bookmarkStart w:id="5" w:name="O_476766"/>
      <w:bookmarkEnd w:id="5"/>
      <w:r w:rsidRPr="00A23157">
        <w:t>Pre-Requisites</w:t>
      </w:r>
    </w:p>
    <w:tbl>
      <w:tblPr>
        <w:tblW w:w="0" w:type="auto"/>
        <w:tblLayout w:type="fixed"/>
        <w:tblCellMar>
          <w:left w:w="62" w:type="dxa"/>
          <w:right w:w="62" w:type="dxa"/>
        </w:tblCellMar>
        <w:tblLook w:val="0000"/>
      </w:tblPr>
      <w:tblGrid>
        <w:gridCol w:w="2004"/>
        <w:gridCol w:w="7068"/>
      </w:tblGrid>
      <w:tr w:rsidTr="00A23157">
        <w:tblPrEx>
          <w:tblW w:w="0" w:type="auto"/>
          <w:tblLayout w:type="fixed"/>
          <w:tblCellMar>
            <w:left w:w="62" w:type="dxa"/>
            <w:right w:w="62" w:type="dxa"/>
          </w:tblCellMar>
          <w:tblLook w:val="0000"/>
        </w:tblPrEx>
        <w:tc>
          <w:tcPr>
            <w:tcW w:w="2004"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MEM09002B</w:t>
            </w:r>
          </w:p>
        </w:tc>
        <w:tc>
          <w:tcPr>
            <w:tcW w:w="7068"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Interpret technical drawing</w:t>
            </w:r>
          </w:p>
        </w:tc>
      </w:tr>
      <w:tr w:rsidTr="00A23157">
        <w:tblPrEx>
          <w:tblW w:w="0" w:type="auto"/>
          <w:tblLayout w:type="fixed"/>
          <w:tblCellMar>
            <w:left w:w="62" w:type="dxa"/>
            <w:right w:w="62" w:type="dxa"/>
          </w:tblCellMar>
          <w:tblLook w:val="0000"/>
        </w:tblPrEx>
        <w:tc>
          <w:tcPr>
            <w:tcW w:w="2004"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MEM09204A</w:t>
            </w:r>
          </w:p>
        </w:tc>
        <w:tc>
          <w:tcPr>
            <w:tcW w:w="7068" w:type="dxa"/>
            <w:tcBorders>
              <w:top w:val="nil"/>
              <w:left w:val="nil"/>
              <w:bottom w:val="nil"/>
              <w:right w:val="nil"/>
            </w:tcBorders>
            <w:tcMar>
              <w:top w:w="0" w:type="dxa"/>
              <w:left w:w="62" w:type="dxa"/>
              <w:bottom w:w="0" w:type="dxa"/>
              <w:right w:w="62" w:type="dxa"/>
            </w:tcMar>
          </w:tcPr>
          <w:p w:rsidR="00000000" w:rsidRPr="00A23157" w:rsidP="00A23157">
            <w:pPr>
              <w:pStyle w:val="BodyText"/>
            </w:pPr>
            <w:r w:rsidRPr="00A23157">
              <w:t>Produce basic engineering detail drawings</w:t>
            </w:r>
          </w:p>
        </w:tc>
      </w:tr>
    </w:tbl>
    <w:p w:rsidR="00000000" w:rsidRPr="00A23157" w:rsidP="00A23157">
      <w:pPr>
        <w:pStyle w:val="BodyText"/>
      </w:pPr>
    </w:p>
    <w:p w:rsidR="00000000" w:rsidRPr="00A23157" w:rsidP="00A23157">
      <w:pPr>
        <w:pStyle w:val="AllowPageBreak"/>
      </w:pPr>
    </w:p>
    <w:p w:rsidR="00000000" w:rsidRPr="00A23157" w:rsidP="00A23157">
      <w:pPr>
        <w:pStyle w:val="Heading1"/>
      </w:pPr>
      <w:bookmarkStart w:id="6" w:name="O_476767"/>
      <w:bookmarkEnd w:id="6"/>
      <w:r w:rsidRPr="00A23157">
        <w:t>Employability Skills Information</w:t>
      </w:r>
    </w:p>
    <w:p w:rsidR="00000000" w:rsidRPr="00A23157" w:rsidP="00A23157">
      <w:pPr>
        <w:pStyle w:val="BodyText"/>
      </w:pPr>
      <w:r w:rsidRPr="00A23157">
        <w:t>This unit contains employability skills</w:t>
      </w:r>
    </w:p>
    <w:p w:rsidR="00000000" w:rsidRPr="00A23157" w:rsidP="00A23157">
      <w:pPr>
        <w:pStyle w:val="AllowPageBreak"/>
      </w:pPr>
    </w:p>
    <w:p w:rsidR="00000000" w:rsidRPr="00A23157" w:rsidP="00A23157">
      <w:pPr>
        <w:pStyle w:val="Heading1"/>
      </w:pPr>
      <w:bookmarkStart w:id="7" w:name="O_476768"/>
      <w:bookmarkEnd w:id="7"/>
      <w:r w:rsidRPr="00A23157">
        <w:t>Elements and Performance Criteria Pre-Content</w:t>
      </w:r>
    </w:p>
    <w:tbl>
      <w:tblPr>
        <w:tblW w:w="0" w:type="auto"/>
        <w:tblLayout w:type="fixed"/>
        <w:tblCellMar>
          <w:left w:w="62" w:type="dxa"/>
          <w:right w:w="62" w:type="dxa"/>
        </w:tblCellMar>
        <w:tblLook w:val="0000"/>
      </w:tblPr>
      <w:tblGrid>
        <w:gridCol w:w="2606"/>
        <w:gridCol w:w="6380"/>
      </w:tblGrid>
      <w:tr w:rsidTr="00A23157">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Elements describe the essential outcomes of a unit of compe</w:t>
            </w:r>
            <w:r w:rsidRPr="00A23157">
              <w:t>tency.</w:t>
            </w:r>
          </w:p>
        </w:tc>
        <w:tc>
          <w:tcPr>
            <w:tcW w:w="6380" w:type="dxa"/>
            <w:tcBorders>
              <w:top w:val="nil"/>
              <w:left w:val="nil"/>
              <w:bottom w:val="nil"/>
              <w:right w:val="nil"/>
            </w:tcBorders>
            <w:tcMar>
              <w:top w:w="0" w:type="dxa"/>
              <w:left w:w="62" w:type="dxa"/>
              <w:bottom w:w="0" w:type="dxa"/>
              <w:right w:w="62" w:type="dxa"/>
            </w:tcMar>
          </w:tcPr>
          <w:p w:rsidR="00000000" w:rsidRPr="00A23157" w:rsidP="00A23157">
            <w:pPr>
              <w:pStyle w:val="BodyText"/>
            </w:pPr>
            <w:r w:rsidRPr="00A23157">
              <w:t>Performance criteria describe the performance needed to demonstrate achievement of the element. Where bold italicised text is used, further information is detailed in the required skills and knowledge section and the range statement. Assessment of p</w:t>
            </w:r>
            <w:r w:rsidRPr="00A23157">
              <w:t>erformance is to be consistent with the evidence guide.</w:t>
            </w:r>
          </w:p>
        </w:tc>
      </w:tr>
    </w:tbl>
    <w:p w:rsidR="00000000" w:rsidRPr="00A23157" w:rsidP="00A23157">
      <w:pPr>
        <w:pStyle w:val="BodyText"/>
      </w:pPr>
    </w:p>
    <w:p w:rsidR="00000000" w:rsidRPr="00A23157" w:rsidP="00A23157">
      <w:pPr>
        <w:pStyle w:val="AllowPageBreak"/>
      </w:pPr>
    </w:p>
    <w:p w:rsidR="00000000" w:rsidRPr="00A23157" w:rsidP="00A23157">
      <w:pPr>
        <w:pStyle w:val="Heading1"/>
      </w:pPr>
      <w:bookmarkStart w:id="8" w:name="O_476769"/>
      <w:bookmarkEnd w:id="8"/>
      <w:r w:rsidRPr="00A2315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23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1</w:t>
            </w:r>
          </w:p>
        </w:tc>
        <w:tc>
          <w:tcPr>
            <w:tcW w:w="1962" w:type="dxa"/>
            <w:vMerge w:val="restart"/>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 xml:space="preserve">Determine drawing requirements </w:t>
            </w:r>
          </w:p>
        </w:tc>
        <w:tc>
          <w:tcPr>
            <w:tcW w:w="770"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1.1</w:t>
            </w:r>
          </w:p>
        </w:tc>
        <w:tc>
          <w:tcPr>
            <w:tcW w:w="5610"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Check purpose, scope and information requirements for drawing</w:t>
            </w:r>
          </w:p>
        </w:tc>
      </w:tr>
      <w:tr w:rsidTr="00A23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1.2</w:t>
            </w:r>
          </w:p>
        </w:tc>
        <w:tc>
          <w:tcPr>
            <w:tcW w:w="5610"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Interpret available information relevant to project and work requirements, and identify and address further information needs</w:t>
            </w:r>
          </w:p>
        </w:tc>
      </w:tr>
      <w:tr w:rsidTr="00A23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1.3</w:t>
            </w:r>
          </w:p>
        </w:tc>
        <w:tc>
          <w:tcPr>
            <w:tcW w:w="5610"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Identify and prepare equipment required to complete work</w:t>
            </w:r>
          </w:p>
        </w:tc>
      </w:tr>
      <w:tr w:rsidTr="00A23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1.4</w:t>
            </w:r>
          </w:p>
        </w:tc>
        <w:tc>
          <w:tcPr>
            <w:tcW w:w="5610"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Identify and apply relevant codes, standards and symbols used in the mechanical services industry for installation drawings</w:t>
            </w:r>
          </w:p>
        </w:tc>
      </w:tr>
      <w:tr w:rsidTr="00A23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1.5</w:t>
            </w:r>
          </w:p>
        </w:tc>
        <w:tc>
          <w:tcPr>
            <w:tcW w:w="5610"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Identify and access organisational files, templates and symbols as required for work</w:t>
            </w:r>
          </w:p>
        </w:tc>
      </w:tr>
      <w:tr w:rsidTr="00A23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1.6</w:t>
            </w:r>
          </w:p>
        </w:tc>
        <w:tc>
          <w:tcPr>
            <w:tcW w:w="5610" w:type="dxa"/>
            <w:tcBorders>
              <w:top w:val="nil"/>
              <w:left w:val="nil"/>
              <w:bottom w:val="nil"/>
              <w:right w:val="nil"/>
            </w:tcBorders>
            <w:tcMar>
              <w:top w:w="0" w:type="dxa"/>
              <w:left w:w="62" w:type="dxa"/>
              <w:bottom w:w="0" w:type="dxa"/>
              <w:right w:w="62" w:type="dxa"/>
            </w:tcMar>
          </w:tcPr>
          <w:p w:rsidR="00000000" w:rsidRPr="00A23157" w:rsidP="00A23157">
            <w:pPr>
              <w:pStyle w:val="BodyText"/>
            </w:pPr>
            <w:r w:rsidRPr="00A23157">
              <w:t>Identify environmental implicatio</w:t>
            </w:r>
            <w:r w:rsidRPr="00A23157">
              <w:t>ns of inefficient systems and strategies for minimising impact</w:t>
            </w:r>
          </w:p>
        </w:tc>
      </w:tr>
    </w:tbl>
    <w:p w:rsidR="00000000" w:rsidRPr="00A23157" w:rsidP="00A23157">
      <w:pPr>
        <w:pStyle w:val="BodyText"/>
      </w:pPr>
    </w:p>
    <w:tbl>
      <w:tblPr>
        <w:tblW w:w="0" w:type="auto"/>
        <w:tblLayout w:type="fixed"/>
        <w:tblCellMar>
          <w:left w:w="62" w:type="dxa"/>
          <w:right w:w="62" w:type="dxa"/>
        </w:tblCellMar>
        <w:tblLook w:val="0000"/>
      </w:tblPr>
      <w:tblGrid>
        <w:gridCol w:w="678"/>
        <w:gridCol w:w="1962"/>
        <w:gridCol w:w="770"/>
        <w:gridCol w:w="5610"/>
      </w:tblGrid>
      <w:tr w:rsidTr="00A23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2</w:t>
            </w:r>
          </w:p>
        </w:tc>
        <w:tc>
          <w:tcPr>
            <w:tcW w:w="1962" w:type="dxa"/>
            <w:vMerge w:val="restart"/>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 xml:space="preserve">Identify HVAC/R measuring and control devices </w:t>
            </w:r>
          </w:p>
        </w:tc>
        <w:tc>
          <w:tcPr>
            <w:tcW w:w="770"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2.1</w:t>
            </w:r>
          </w:p>
        </w:tc>
        <w:tc>
          <w:tcPr>
            <w:tcW w:w="5610"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Identify features and uses of temperature and pressure measurement devices</w:t>
            </w:r>
          </w:p>
        </w:tc>
      </w:tr>
      <w:tr w:rsidTr="00A23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2.2</w:t>
            </w:r>
          </w:p>
        </w:tc>
        <w:tc>
          <w:tcPr>
            <w:tcW w:w="5610"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Identify features and uses of air and fluid measurement instruments</w:t>
            </w:r>
          </w:p>
        </w:tc>
      </w:tr>
      <w:tr w:rsidTr="00A23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2.3</w:t>
            </w:r>
          </w:p>
        </w:tc>
        <w:tc>
          <w:tcPr>
            <w:tcW w:w="5610"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Identify features and uses of standard control devices and measurement devices</w:t>
            </w:r>
          </w:p>
        </w:tc>
      </w:tr>
      <w:tr w:rsidTr="00A231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2.4</w:t>
            </w:r>
          </w:p>
        </w:tc>
        <w:tc>
          <w:tcPr>
            <w:tcW w:w="5610" w:type="dxa"/>
            <w:tcBorders>
              <w:top w:val="nil"/>
              <w:left w:val="nil"/>
              <w:bottom w:val="nil"/>
              <w:right w:val="nil"/>
            </w:tcBorders>
            <w:tcMar>
              <w:top w:w="0" w:type="dxa"/>
              <w:left w:w="62" w:type="dxa"/>
              <w:bottom w:w="0" w:type="dxa"/>
              <w:right w:w="62" w:type="dxa"/>
            </w:tcMar>
          </w:tcPr>
          <w:p w:rsidR="00000000" w:rsidRPr="00A23157" w:rsidP="00A23157">
            <w:pPr>
              <w:pStyle w:val="BodyText"/>
            </w:pPr>
            <w:r w:rsidRPr="00A23157">
              <w:t>Identify location of control and measurement devices on drawings</w:t>
            </w:r>
          </w:p>
        </w:tc>
      </w:tr>
    </w:tbl>
    <w:p w:rsidR="00000000" w:rsidRPr="00A23157" w:rsidP="00A23157">
      <w:pPr>
        <w:pStyle w:val="BodyText"/>
      </w:pPr>
    </w:p>
    <w:tbl>
      <w:tblPr>
        <w:tblW w:w="0" w:type="auto"/>
        <w:tblLayout w:type="fixed"/>
        <w:tblCellMar>
          <w:left w:w="62" w:type="dxa"/>
          <w:right w:w="62" w:type="dxa"/>
        </w:tblCellMar>
        <w:tblLook w:val="0000"/>
      </w:tblPr>
      <w:tblGrid>
        <w:gridCol w:w="689"/>
        <w:gridCol w:w="1993"/>
        <w:gridCol w:w="782"/>
        <w:gridCol w:w="5698"/>
      </w:tblGrid>
      <w:tr w:rsidTr="00A23157">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3</w:t>
            </w:r>
          </w:p>
        </w:tc>
        <w:tc>
          <w:tcPr>
            <w:tcW w:w="1993" w:type="dxa"/>
            <w:vMerge w:val="restart"/>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Produce drawings for installation of heating and cooling systems</w:t>
            </w:r>
          </w:p>
        </w:tc>
        <w:tc>
          <w:tcPr>
            <w:tcW w:w="782"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3.1</w:t>
            </w:r>
          </w:p>
        </w:tc>
        <w:tc>
          <w:tcPr>
            <w:tcW w:w="5698"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Apply operating principles and specifications of heating and cooling systems and equipment to drawing work</w:t>
            </w:r>
          </w:p>
        </w:tc>
      </w:tr>
      <w:tr w:rsidTr="00A23157">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3.2</w:t>
            </w:r>
          </w:p>
        </w:tc>
        <w:tc>
          <w:tcPr>
            <w:tcW w:w="5698"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Complete drawing according to mechanical services industry standard for h</w:t>
            </w:r>
            <w:r w:rsidRPr="00A23157">
              <w:t>eating and cooling systems</w:t>
            </w:r>
          </w:p>
        </w:tc>
      </w:tr>
      <w:tr w:rsidTr="00A23157">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3.3</w:t>
            </w:r>
          </w:p>
        </w:tc>
        <w:tc>
          <w:tcPr>
            <w:tcW w:w="5698"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Ensure drawing accurately reflects specifications, is presented according to organisational requirements and contains all relevant information</w:t>
            </w:r>
          </w:p>
        </w:tc>
      </w:tr>
      <w:tr w:rsidTr="00A23157">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3.4</w:t>
            </w:r>
          </w:p>
        </w:tc>
        <w:tc>
          <w:tcPr>
            <w:tcW w:w="5698" w:type="dxa"/>
            <w:tcBorders>
              <w:top w:val="nil"/>
              <w:left w:val="nil"/>
              <w:bottom w:val="nil"/>
              <w:right w:val="nil"/>
            </w:tcBorders>
            <w:tcMar>
              <w:top w:w="0" w:type="dxa"/>
              <w:left w:w="62" w:type="dxa"/>
              <w:bottom w:w="0" w:type="dxa"/>
              <w:right w:w="62" w:type="dxa"/>
            </w:tcMar>
          </w:tcPr>
          <w:p w:rsidR="00000000" w:rsidRPr="00A23157" w:rsidP="00A23157">
            <w:pPr>
              <w:pStyle w:val="BodyText"/>
            </w:pPr>
            <w:r w:rsidRPr="00A23157">
              <w:t>Apply workplace occupational health and safety (OHS) and environmental procedures</w:t>
            </w:r>
          </w:p>
        </w:tc>
      </w:tr>
    </w:tbl>
    <w:p w:rsidR="00000000" w:rsidRPr="00A23157" w:rsidP="00A23157">
      <w:pPr>
        <w:pStyle w:val="BodyText"/>
      </w:pPr>
    </w:p>
    <w:tbl>
      <w:tblPr>
        <w:tblW w:w="0" w:type="auto"/>
        <w:tblLayout w:type="fixed"/>
        <w:tblCellMar>
          <w:left w:w="62" w:type="dxa"/>
          <w:right w:w="62" w:type="dxa"/>
        </w:tblCellMar>
        <w:tblLook w:val="0000"/>
      </w:tblPr>
      <w:tblGrid>
        <w:gridCol w:w="689"/>
        <w:gridCol w:w="1993"/>
        <w:gridCol w:w="782"/>
        <w:gridCol w:w="5698"/>
      </w:tblGrid>
      <w:tr w:rsidTr="00A23157">
        <w:tblPrEx>
          <w:tblW w:w="0" w:type="auto"/>
          <w:tblLayout w:type="fixed"/>
          <w:tblCellMar>
            <w:left w:w="62" w:type="dxa"/>
            <w:right w:w="62" w:type="dxa"/>
          </w:tblCellMar>
          <w:tblLook w:val="0000"/>
        </w:tblPrEx>
        <w:trPr>
          <w:trHeight w:val="77"/>
        </w:trPr>
        <w:tc>
          <w:tcPr>
            <w:tcW w:w="689"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4</w:t>
            </w:r>
          </w:p>
        </w:tc>
        <w:tc>
          <w:tcPr>
            <w:tcW w:w="1993" w:type="dxa"/>
            <w:vMerge w:val="restart"/>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Produce drawings for installation of air conditioning and exhaust systems</w:t>
            </w:r>
          </w:p>
        </w:tc>
        <w:tc>
          <w:tcPr>
            <w:tcW w:w="782"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4.1</w:t>
            </w:r>
          </w:p>
        </w:tc>
        <w:tc>
          <w:tcPr>
            <w:tcW w:w="5698"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Apply operating principles and specifications of a range of air conditioning systems and equ</w:t>
            </w:r>
            <w:r w:rsidRPr="00A23157">
              <w:t>ipment to drawing work</w:t>
            </w:r>
          </w:p>
        </w:tc>
      </w:tr>
      <w:tr w:rsidTr="00A23157">
        <w:tblPrEx>
          <w:tblW w:w="0" w:type="auto"/>
          <w:tblLayout w:type="fixed"/>
          <w:tblCellMar>
            <w:left w:w="62" w:type="dxa"/>
            <w:right w:w="62" w:type="dxa"/>
          </w:tblCellMar>
          <w:tblLook w:val="0000"/>
        </w:tblPrEx>
        <w:trPr>
          <w:trHeight w:val="77"/>
        </w:trPr>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4.2</w:t>
            </w:r>
          </w:p>
        </w:tc>
        <w:tc>
          <w:tcPr>
            <w:tcW w:w="5698"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Apply operating principles and specifications of a range of exhaust systems to drawing work</w:t>
            </w:r>
          </w:p>
        </w:tc>
      </w:tr>
      <w:tr w:rsidTr="00A23157">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4.3</w:t>
            </w:r>
          </w:p>
        </w:tc>
        <w:tc>
          <w:tcPr>
            <w:tcW w:w="5698"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Complete drawing according to mechanical services industry standard for air conditioning systems</w:t>
            </w:r>
          </w:p>
        </w:tc>
      </w:tr>
      <w:tr w:rsidTr="00A23157">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4.4</w:t>
            </w:r>
          </w:p>
        </w:tc>
        <w:tc>
          <w:tcPr>
            <w:tcW w:w="5698"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Ensure drawing accurately reflects specifications, is presented according to organisational requirements and contains all relevant information</w:t>
            </w:r>
          </w:p>
        </w:tc>
      </w:tr>
      <w:tr w:rsidTr="00A23157">
        <w:tblPrEx>
          <w:tblW w:w="0" w:type="auto"/>
          <w:tblLayout w:type="fixed"/>
          <w:tblCellMar>
            <w:left w:w="62" w:type="dxa"/>
            <w:right w:w="62" w:type="dxa"/>
          </w:tblCellMar>
          <w:tblLook w:val="0000"/>
        </w:tblPrEx>
        <w:trPr>
          <w:trHeight w:val="77"/>
        </w:trPr>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4.5</w:t>
            </w:r>
          </w:p>
        </w:tc>
        <w:tc>
          <w:tcPr>
            <w:tcW w:w="5698" w:type="dxa"/>
            <w:tcBorders>
              <w:top w:val="nil"/>
              <w:left w:val="nil"/>
              <w:bottom w:val="nil"/>
              <w:right w:val="nil"/>
            </w:tcBorders>
            <w:tcMar>
              <w:top w:w="0" w:type="dxa"/>
              <w:left w:w="62" w:type="dxa"/>
              <w:bottom w:w="0" w:type="dxa"/>
              <w:right w:w="62" w:type="dxa"/>
            </w:tcMar>
          </w:tcPr>
          <w:p w:rsidR="00000000" w:rsidRPr="00A23157" w:rsidP="00A23157">
            <w:pPr>
              <w:pStyle w:val="BodyText"/>
            </w:pPr>
            <w:r w:rsidRPr="00A23157">
              <w:t>Evaluate drawing for system efficiency and make or report potential improvements</w:t>
            </w:r>
          </w:p>
        </w:tc>
      </w:tr>
    </w:tbl>
    <w:p w:rsidR="00000000" w:rsidRPr="00A23157" w:rsidP="00A23157">
      <w:pPr>
        <w:pStyle w:val="BodyText"/>
      </w:pPr>
    </w:p>
    <w:tbl>
      <w:tblPr>
        <w:tblW w:w="0" w:type="auto"/>
        <w:tblLayout w:type="fixed"/>
        <w:tblCellMar>
          <w:left w:w="62" w:type="dxa"/>
          <w:right w:w="62" w:type="dxa"/>
        </w:tblCellMar>
        <w:tblLook w:val="0000"/>
      </w:tblPr>
      <w:tblGrid>
        <w:gridCol w:w="689"/>
        <w:gridCol w:w="1993"/>
        <w:gridCol w:w="782"/>
        <w:gridCol w:w="5698"/>
      </w:tblGrid>
      <w:tr w:rsidTr="00A23157">
        <w:tblPrEx>
          <w:tblW w:w="0" w:type="auto"/>
          <w:tblLayout w:type="fixed"/>
          <w:tblCellMar>
            <w:left w:w="62" w:type="dxa"/>
            <w:right w:w="62" w:type="dxa"/>
          </w:tblCellMar>
          <w:tblLook w:val="0000"/>
        </w:tblPrEx>
        <w:trPr>
          <w:trHeight w:val="77"/>
        </w:trPr>
        <w:tc>
          <w:tcPr>
            <w:tcW w:w="689"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5</w:t>
            </w:r>
          </w:p>
        </w:tc>
        <w:tc>
          <w:tcPr>
            <w:tcW w:w="1993" w:type="dxa"/>
            <w:vMerge w:val="restart"/>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 xml:space="preserve">Produce drawings for </w:t>
            </w:r>
            <w:r w:rsidRPr="00A23157">
              <w:t>installation of refrigeration systems</w:t>
            </w:r>
          </w:p>
        </w:tc>
        <w:tc>
          <w:tcPr>
            <w:tcW w:w="782"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5.1</w:t>
            </w:r>
          </w:p>
        </w:tc>
        <w:tc>
          <w:tcPr>
            <w:tcW w:w="5698"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Apply operating principles and specifications of a range of refrigeration systems and equipment to drawing work</w:t>
            </w:r>
          </w:p>
        </w:tc>
      </w:tr>
      <w:tr w:rsidTr="00A23157">
        <w:tblPrEx>
          <w:tblW w:w="0" w:type="auto"/>
          <w:tblLayout w:type="fixed"/>
          <w:tblCellMar>
            <w:left w:w="62" w:type="dxa"/>
            <w:right w:w="62" w:type="dxa"/>
          </w:tblCellMar>
          <w:tblLook w:val="0000"/>
        </w:tblPrEx>
        <w:trPr>
          <w:trHeight w:val="77"/>
        </w:trPr>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5.2</w:t>
            </w:r>
          </w:p>
        </w:tc>
        <w:tc>
          <w:tcPr>
            <w:tcW w:w="5698"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Complete drawing according to mechanical services industry standard for refrigeration systems</w:t>
            </w:r>
          </w:p>
        </w:tc>
      </w:tr>
      <w:tr w:rsidTr="00A23157">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5.3</w:t>
            </w:r>
          </w:p>
        </w:tc>
        <w:tc>
          <w:tcPr>
            <w:tcW w:w="5698"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Ensure drawing is presented according to organisational requirements and contains all relevant information</w:t>
            </w:r>
          </w:p>
        </w:tc>
      </w:tr>
      <w:tr w:rsidTr="00A23157">
        <w:tblPrEx>
          <w:tblW w:w="0" w:type="auto"/>
          <w:tblLayout w:type="fixed"/>
          <w:tblCellMar>
            <w:left w:w="62" w:type="dxa"/>
            <w:right w:w="62" w:type="dxa"/>
          </w:tblCellMar>
          <w:tblLook w:val="0000"/>
        </w:tblPrEx>
        <w:trPr>
          <w:trHeight w:val="77"/>
        </w:trPr>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5.4</w:t>
            </w:r>
          </w:p>
        </w:tc>
        <w:tc>
          <w:tcPr>
            <w:tcW w:w="5698" w:type="dxa"/>
            <w:tcBorders>
              <w:top w:val="nil"/>
              <w:left w:val="nil"/>
              <w:bottom w:val="nil"/>
              <w:right w:val="nil"/>
            </w:tcBorders>
            <w:tcMar>
              <w:top w:w="0" w:type="dxa"/>
              <w:left w:w="62" w:type="dxa"/>
              <w:bottom w:w="0" w:type="dxa"/>
              <w:right w:w="62" w:type="dxa"/>
            </w:tcMar>
          </w:tcPr>
          <w:p w:rsidR="00000000" w:rsidRPr="00A23157" w:rsidP="00A23157">
            <w:pPr>
              <w:pStyle w:val="BodyText"/>
            </w:pPr>
            <w:r w:rsidRPr="00A23157">
              <w:t>Evaluate drawing for system efficiency and make or report potential improvements</w:t>
            </w:r>
          </w:p>
        </w:tc>
      </w:tr>
    </w:tbl>
    <w:p w:rsidR="00000000" w:rsidRPr="00A23157" w:rsidP="00A23157">
      <w:pPr>
        <w:pStyle w:val="BodyText"/>
      </w:pPr>
    </w:p>
    <w:tbl>
      <w:tblPr>
        <w:tblW w:w="0" w:type="auto"/>
        <w:tblLayout w:type="fixed"/>
        <w:tblCellMar>
          <w:left w:w="62" w:type="dxa"/>
          <w:right w:w="62" w:type="dxa"/>
        </w:tblCellMar>
        <w:tblLook w:val="0000"/>
      </w:tblPr>
      <w:tblGrid>
        <w:gridCol w:w="689"/>
        <w:gridCol w:w="1993"/>
        <w:gridCol w:w="782"/>
        <w:gridCol w:w="5698"/>
      </w:tblGrid>
      <w:tr w:rsidTr="00A23157">
        <w:tblPrEx>
          <w:tblW w:w="0" w:type="auto"/>
          <w:tblLayout w:type="fixed"/>
          <w:tblCellMar>
            <w:left w:w="62" w:type="dxa"/>
            <w:right w:w="62" w:type="dxa"/>
          </w:tblCellMar>
          <w:tblLook w:val="0000"/>
        </w:tblPrEx>
        <w:trPr>
          <w:trHeight w:val="77"/>
        </w:trPr>
        <w:tc>
          <w:tcPr>
            <w:tcW w:w="689"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6</w:t>
            </w:r>
          </w:p>
        </w:tc>
        <w:tc>
          <w:tcPr>
            <w:tcW w:w="1993" w:type="dxa"/>
            <w:vMerge w:val="restart"/>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 xml:space="preserve">Consult appropriately with other disciplines </w:t>
            </w:r>
          </w:p>
        </w:tc>
        <w:tc>
          <w:tcPr>
            <w:tcW w:w="782"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6.1</w:t>
            </w:r>
          </w:p>
        </w:tc>
        <w:tc>
          <w:tcPr>
            <w:tcW w:w="5698"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Verify the parameters of the brief and clarify specifications with appropriate personnel</w:t>
            </w:r>
          </w:p>
        </w:tc>
      </w:tr>
      <w:tr w:rsidTr="00A23157">
        <w:tblPrEx>
          <w:tblW w:w="0" w:type="auto"/>
          <w:tblLayout w:type="fixed"/>
          <w:tblCellMar>
            <w:left w:w="62" w:type="dxa"/>
            <w:right w:w="62" w:type="dxa"/>
          </w:tblCellMar>
          <w:tblLook w:val="0000"/>
        </w:tblPrEx>
        <w:trPr>
          <w:trHeight w:val="77"/>
        </w:trPr>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6.2</w:t>
            </w:r>
          </w:p>
        </w:tc>
        <w:tc>
          <w:tcPr>
            <w:tcW w:w="5698"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Identify and consult with support services</w:t>
            </w:r>
          </w:p>
        </w:tc>
      </w:tr>
      <w:tr w:rsidTr="00A23157">
        <w:tblPrEx>
          <w:tblW w:w="0" w:type="auto"/>
          <w:tblLayout w:type="fixed"/>
          <w:tblCellMar>
            <w:left w:w="62" w:type="dxa"/>
            <w:right w:w="62" w:type="dxa"/>
          </w:tblCellMar>
          <w:tblLook w:val="0000"/>
        </w:tblPrEx>
        <w:trPr>
          <w:trHeight w:val="77"/>
        </w:trPr>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t>6.3</w:t>
            </w:r>
          </w:p>
        </w:tc>
        <w:tc>
          <w:tcPr>
            <w:tcW w:w="5698" w:type="dxa"/>
            <w:tcBorders>
              <w:top w:val="nil"/>
              <w:left w:val="nil"/>
              <w:bottom w:val="nil"/>
              <w:right w:val="nil"/>
            </w:tcBorders>
            <w:tcMar>
              <w:top w:w="0" w:type="dxa"/>
              <w:left w:w="62" w:type="dxa"/>
              <w:bottom w:w="0" w:type="dxa"/>
              <w:right w:w="62" w:type="dxa"/>
            </w:tcMar>
          </w:tcPr>
          <w:p w:rsidR="00000000" w:rsidRPr="00A23157" w:rsidP="00A23157">
            <w:pPr>
              <w:pStyle w:val="BodyText"/>
            </w:pPr>
            <w:r w:rsidRPr="00A23157">
              <w:t>Present and explain drawings at appropriate stages of the project</w:t>
            </w:r>
          </w:p>
        </w:tc>
      </w:tr>
    </w:tbl>
    <w:p w:rsidR="00000000" w:rsidRPr="00A23157" w:rsidP="00A23157">
      <w:pPr>
        <w:pStyle w:val="BodyText"/>
      </w:pPr>
    </w:p>
    <w:p w:rsidR="00000000" w:rsidRPr="00A23157" w:rsidP="00A23157">
      <w:pPr>
        <w:pStyle w:val="AllowPageBreak"/>
      </w:pPr>
    </w:p>
    <w:p w:rsidR="00000000" w:rsidRPr="00A23157" w:rsidP="00A23157">
      <w:pPr>
        <w:pStyle w:val="Heading1"/>
      </w:pPr>
      <w:bookmarkStart w:id="9" w:name="O_476770"/>
      <w:bookmarkEnd w:id="9"/>
      <w:r w:rsidRPr="00A23157">
        <w:t>Required Skills and Knowledge</w:t>
      </w:r>
    </w:p>
    <w:tbl>
      <w:tblPr>
        <w:tblW w:w="0" w:type="auto"/>
        <w:tblLayout w:type="fixed"/>
        <w:tblCellMar>
          <w:left w:w="62" w:type="dxa"/>
          <w:right w:w="62" w:type="dxa"/>
        </w:tblCellMar>
        <w:tblLook w:val="0000"/>
      </w:tblPr>
      <w:tblGrid>
        <w:gridCol w:w="9072"/>
      </w:tblGrid>
      <w:tr w:rsidTr="00A231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rPr>
                <w:rStyle w:val="SpecialBold"/>
              </w:rPr>
              <w:t>Required skills</w:t>
            </w:r>
          </w:p>
        </w:tc>
      </w:tr>
      <w:tr w:rsidTr="00A231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3157" w:rsidP="00A23157">
            <w:pPr>
              <w:pStyle w:val="BodyText"/>
            </w:pPr>
            <w:r w:rsidRPr="00A23157">
              <w:t>Required skills include:</w:t>
            </w:r>
          </w:p>
          <w:p w:rsidR="00000000" w:rsidRPr="00A23157" w:rsidP="00A23157">
            <w:pPr>
              <w:pStyle w:val="ListBullet"/>
            </w:pPr>
            <w:r w:rsidRPr="00A23157">
              <w:t>literacy skills sufficient to read and interpret instructions, relevant codes of practice and specifications for drawing work</w:t>
            </w:r>
          </w:p>
          <w:p w:rsidR="00000000" w:rsidRPr="00A23157" w:rsidP="00A23157">
            <w:pPr>
              <w:pStyle w:val="ListBullet"/>
            </w:pPr>
            <w:r w:rsidRPr="00A23157">
              <w:t xml:space="preserve">numeracy skills sufficient to interpret technical information and conduct mathematical problem solving as required in the scope of this unit </w:t>
            </w:r>
          </w:p>
          <w:p w:rsidR="00000000" w:rsidRPr="00A23157" w:rsidP="00A23157">
            <w:pPr>
              <w:pStyle w:val="ListBullet"/>
            </w:pPr>
            <w:r w:rsidRPr="00A23157">
              <w:t>using and maintaining drawing equipment</w:t>
            </w:r>
          </w:p>
          <w:p w:rsidR="00000000" w:rsidRPr="00A23157" w:rsidP="00A23157">
            <w:pPr>
              <w:pStyle w:val="ListBullet"/>
            </w:pPr>
            <w:r w:rsidRPr="00A23157">
              <w:t>interpersonal skills to consult with other disciplines</w:t>
            </w:r>
          </w:p>
          <w:p w:rsidR="00000000" w:rsidRPr="00A23157" w:rsidP="00A23157">
            <w:pPr>
              <w:pStyle w:val="ListBullet"/>
            </w:pPr>
            <w:r w:rsidRPr="00A23157">
              <w:t>applying drafting s</w:t>
            </w:r>
            <w:r w:rsidRPr="00A23157">
              <w:t>kills, drawing techniques and conventions</w:t>
            </w:r>
          </w:p>
          <w:p w:rsidR="00000000" w:rsidRPr="00A23157" w:rsidP="00A23157">
            <w:pPr>
              <w:pStyle w:val="ListBullet"/>
            </w:pPr>
            <w:r w:rsidRPr="00A23157">
              <w:t>applying codes, symbols and drawing protocols for mechanical services drawings</w:t>
            </w:r>
          </w:p>
          <w:p w:rsidR="00000000" w:rsidRPr="00A23157" w:rsidP="00A23157">
            <w:pPr>
              <w:pStyle w:val="ListBullet"/>
            </w:pPr>
            <w:r w:rsidRPr="00A23157">
              <w:t>applying spatial principles to achieve scale and proportion</w:t>
            </w:r>
          </w:p>
          <w:p w:rsidR="00000000" w:rsidRPr="00A23157" w:rsidP="00A23157">
            <w:pPr>
              <w:pStyle w:val="ListBullet"/>
            </w:pPr>
            <w:r w:rsidRPr="00A23157">
              <w:t>determining and applying operating principles of system equipment to drawin</w:t>
            </w:r>
            <w:r w:rsidRPr="00A23157">
              <w:t>g work</w:t>
            </w:r>
          </w:p>
          <w:p w:rsidR="00000000" w:rsidRPr="00A23157" w:rsidP="00A23157">
            <w:pPr>
              <w:pStyle w:val="ListBullet"/>
            </w:pPr>
            <w:r w:rsidRPr="00A23157">
              <w:t>solving problems in order to meet requirements of given specifications</w:t>
            </w:r>
          </w:p>
          <w:p w:rsidR="00000000" w:rsidRPr="00A23157" w:rsidP="00A23157">
            <w:pPr>
              <w:pStyle w:val="ListBullet"/>
            </w:pPr>
            <w:r w:rsidRPr="00A23157">
              <w:t>using drafting equipment appropriate to the drawing method chosen</w:t>
            </w:r>
          </w:p>
          <w:p w:rsidR="00000000" w:rsidRPr="00A23157" w:rsidP="00A23157">
            <w:pPr>
              <w:pStyle w:val="ListBullet"/>
            </w:pPr>
            <w:r w:rsidRPr="00A23157">
              <w:t>recording completed drawings in accordance with industry standards and practices</w:t>
            </w:r>
          </w:p>
          <w:p w:rsidR="00000000" w:rsidRPr="00A23157" w:rsidP="00A23157">
            <w:pPr>
              <w:pStyle w:val="ListBullet"/>
            </w:pPr>
            <w:r w:rsidRPr="00A23157">
              <w:t>handling and storing the approv</w:t>
            </w:r>
            <w:r w:rsidRPr="00A23157">
              <w:t>ed drawings in accordance with standard operating procedures</w:t>
            </w:r>
          </w:p>
          <w:p w:rsidR="00000000" w:rsidRPr="00A23157" w:rsidP="00A23157">
            <w:pPr>
              <w:pStyle w:val="ListBullet"/>
            </w:pPr>
            <w:r w:rsidRPr="00A23157">
              <w:t>preparing drawing presentation in a manner that makes information accessible and complete</w:t>
            </w:r>
          </w:p>
          <w:p w:rsidR="00000000" w:rsidRPr="00A23157" w:rsidP="00A23157">
            <w:pPr>
              <w:pStyle w:val="ListBullet"/>
            </w:pPr>
            <w:r w:rsidRPr="00A23157">
              <w:t>filing drawings according to workplace procedures</w:t>
            </w:r>
          </w:p>
          <w:p w:rsidR="00000000" w:rsidRPr="00A23157" w:rsidP="00A23157">
            <w:pPr>
              <w:pStyle w:val="ListBullet"/>
            </w:pPr>
            <w:r w:rsidRPr="00A23157">
              <w:t>evaluating work and identifying areas for improvement</w:t>
            </w:r>
          </w:p>
          <w:p w:rsidR="00000000" w:rsidP="00A23157">
            <w:pPr>
              <w:pStyle w:val="BodyText"/>
              <w:rPr>
                <w:lang w:val="en-NZ"/>
              </w:rPr>
            </w:pPr>
          </w:p>
        </w:tc>
      </w:tr>
      <w:tr w:rsidTr="00A231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3157">
            <w:pPr>
              <w:pStyle w:val="BodyText"/>
              <w:rPr>
                <w:lang w:val="en-NZ"/>
              </w:rPr>
            </w:pPr>
            <w:r w:rsidRPr="00A23157">
              <w:rPr>
                <w:rStyle w:val="SpecialBold"/>
              </w:rPr>
              <w:t>Required knowledge</w:t>
            </w:r>
          </w:p>
        </w:tc>
      </w:tr>
      <w:tr w:rsidTr="00A2315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3157" w:rsidP="00A23157">
            <w:pPr>
              <w:pStyle w:val="BodyText"/>
            </w:pPr>
            <w:r w:rsidRPr="00A23157">
              <w:t>Required knowledge includes:</w:t>
            </w:r>
          </w:p>
          <w:p w:rsidR="00000000" w:rsidRPr="00A23157" w:rsidP="00A23157">
            <w:pPr>
              <w:pStyle w:val="ListBullet"/>
            </w:pPr>
            <w:r w:rsidRPr="00A23157">
              <w:t xml:space="preserve">general knowledge of different approaches to drawing </w:t>
            </w:r>
          </w:p>
          <w:p w:rsidR="00000000" w:rsidRPr="00A23157" w:rsidP="00A23157">
            <w:pPr>
              <w:pStyle w:val="ListBullet"/>
            </w:pPr>
            <w:r w:rsidRPr="00A23157">
              <w:t>awareness of copyright and intellectual property issues and legislation in relation to drawing</w:t>
            </w:r>
          </w:p>
          <w:p w:rsidR="00000000" w:rsidRPr="00A23157" w:rsidP="00A23157">
            <w:pPr>
              <w:pStyle w:val="ListBullet"/>
            </w:pPr>
            <w:r w:rsidRPr="00A23157">
              <w:t>environmental and OHS issues associated with the tools a</w:t>
            </w:r>
            <w:r w:rsidRPr="00A23157">
              <w:t>nd materials used for drawing</w:t>
            </w:r>
          </w:p>
          <w:p w:rsidR="00000000" w:rsidRPr="00A23157" w:rsidP="00A23157">
            <w:pPr>
              <w:pStyle w:val="ListBullet"/>
            </w:pPr>
            <w:r w:rsidRPr="00A23157">
              <w:t>quality assurance procedures</w:t>
            </w:r>
          </w:p>
          <w:p w:rsidR="00000000" w:rsidRPr="00A23157" w:rsidP="00A23157">
            <w:pPr>
              <w:pStyle w:val="ListBullet"/>
            </w:pPr>
            <w:r w:rsidRPr="00A23157">
              <w:t>company standards for CAD, duct and pipe</w:t>
            </w:r>
          </w:p>
          <w:p w:rsidR="00000000" w:rsidRPr="00A23157" w:rsidP="00A23157">
            <w:pPr>
              <w:pStyle w:val="ListBullet"/>
            </w:pPr>
            <w:r w:rsidRPr="00A23157">
              <w:t>order of drawing process</w:t>
            </w:r>
          </w:p>
          <w:p w:rsidR="00000000" w:rsidRPr="00A23157" w:rsidP="00A23157">
            <w:pPr>
              <w:pStyle w:val="ListBullet"/>
            </w:pPr>
            <w:r w:rsidRPr="00A23157">
              <w:t>company checking procedures for drawings</w:t>
            </w:r>
          </w:p>
          <w:p w:rsidR="00000000" w:rsidRPr="00A23157" w:rsidP="00A23157">
            <w:pPr>
              <w:pStyle w:val="ListBullet"/>
            </w:pPr>
            <w:r w:rsidRPr="00A23157">
              <w:t xml:space="preserve">layout and presentation </w:t>
            </w:r>
          </w:p>
          <w:p w:rsidR="00000000" w:rsidRPr="00A23157" w:rsidP="00A23157">
            <w:pPr>
              <w:pStyle w:val="ListBullet"/>
            </w:pPr>
            <w:r w:rsidRPr="00A23157">
              <w:t>operating principles of pressure and temperature measurement devices</w:t>
            </w:r>
          </w:p>
          <w:p w:rsidR="00000000" w:rsidRPr="00A23157" w:rsidP="00A23157">
            <w:pPr>
              <w:pStyle w:val="ListBullet"/>
            </w:pPr>
            <w:r w:rsidRPr="00A23157">
              <w:t>operating principles of heating and cooling system equipment</w:t>
            </w:r>
          </w:p>
          <w:p w:rsidR="00000000" w:rsidRPr="00A23157" w:rsidP="00A23157">
            <w:pPr>
              <w:pStyle w:val="ListBullet"/>
            </w:pPr>
            <w:r w:rsidRPr="00A23157">
              <w:t xml:space="preserve">operating principles of air conditioning equipment </w:t>
            </w:r>
          </w:p>
          <w:p w:rsidR="00000000" w:rsidRPr="00A23157" w:rsidP="00A23157">
            <w:pPr>
              <w:pStyle w:val="ListBullet"/>
            </w:pPr>
            <w:r w:rsidRPr="00A23157">
              <w:t>operating principles of exhaust systems</w:t>
            </w:r>
          </w:p>
          <w:p w:rsidR="00000000" w:rsidRPr="00A23157" w:rsidP="00A23157">
            <w:pPr>
              <w:pStyle w:val="ListBullet"/>
            </w:pPr>
            <w:r w:rsidRPr="00A23157">
              <w:t>operating principles of refrigerat</w:t>
            </w:r>
            <w:r w:rsidRPr="00A23157">
              <w:t>ion equipment</w:t>
            </w:r>
          </w:p>
        </w:tc>
      </w:tr>
    </w:tbl>
    <w:p w:rsidR="00000000" w:rsidRPr="00A23157" w:rsidP="00A23157">
      <w:pPr>
        <w:pStyle w:val="BodyText"/>
      </w:pPr>
    </w:p>
    <w:p w:rsidR="00000000" w:rsidRPr="00A23157" w:rsidP="00A23157">
      <w:pPr>
        <w:pStyle w:val="AllowPageBreak"/>
      </w:pPr>
    </w:p>
    <w:p w:rsidR="00000000" w:rsidRPr="00A23157" w:rsidP="00A23157">
      <w:pPr>
        <w:pStyle w:val="Heading1"/>
      </w:pPr>
      <w:bookmarkStart w:id="10" w:name="O_476771"/>
      <w:bookmarkEnd w:id="10"/>
      <w:r w:rsidRPr="00A23157">
        <w:t>Evidence Guide</w:t>
      </w:r>
    </w:p>
    <w:tbl>
      <w:tblPr>
        <w:tblW w:w="0" w:type="auto"/>
        <w:tblLayout w:type="fixed"/>
        <w:tblCellMar>
          <w:left w:w="62" w:type="dxa"/>
          <w:right w:w="62" w:type="dxa"/>
        </w:tblCellMar>
        <w:tblLook w:val="0000"/>
      </w:tblPr>
      <w:tblGrid>
        <w:gridCol w:w="3522"/>
        <w:gridCol w:w="5298"/>
        <w:gridCol w:w="36"/>
      </w:tblGrid>
      <w:tr w:rsidTr="00A23157">
        <w:tblPrEx>
          <w:tblW w:w="0" w:type="auto"/>
          <w:tblLayout w:type="fixed"/>
          <w:tblCellMar>
            <w:left w:w="62" w:type="dxa"/>
            <w:right w:w="62" w:type="dxa"/>
          </w:tblCellMar>
          <w:tblLook w:val="0000"/>
        </w:tblPrEx>
        <w:trPr>
          <w:gridAfter w:val="1"/>
          <w:wAfter w:w="36" w:type="dxa"/>
        </w:trPr>
        <w:tc>
          <w:tcPr>
            <w:tcW w:w="8820" w:type="dxa"/>
            <w:gridSpan w:val="2"/>
            <w:tcBorders>
              <w:top w:val="nil"/>
              <w:left w:val="nil"/>
              <w:bottom w:val="single" w:sz="4" w:space="0" w:color="auto"/>
              <w:right w:val="nil"/>
            </w:tcBorders>
            <w:tcMar>
              <w:top w:w="0" w:type="dxa"/>
              <w:left w:w="62" w:type="dxa"/>
              <w:bottom w:w="0" w:type="dxa"/>
              <w:right w:w="62" w:type="dxa"/>
            </w:tcMar>
          </w:tcPr>
          <w:p w:rsidR="00000000" w:rsidP="00A23157">
            <w:pPr>
              <w:pStyle w:val="BodyText"/>
              <w:rPr>
                <w:lang w:val="en-NZ"/>
              </w:rPr>
            </w:pPr>
            <w:r w:rsidRPr="00A23157">
              <w:t>The evidence guide provides advice on assessment and must be read in conjunction with the performance criteria required skills and knowledge range statement and the Assessment Guidelines for the Training Pack</w:t>
            </w:r>
            <w:r w:rsidRPr="00A23157">
              <w:t>age.</w:t>
            </w:r>
          </w:p>
        </w:tc>
      </w:tr>
      <w:tr w:rsidTr="00A23157">
        <w:tblPrEx>
          <w:tblW w:w="0" w:type="auto"/>
          <w:tblLayout w:type="fixed"/>
          <w:tblCellMar>
            <w:left w:w="62" w:type="dxa"/>
            <w:right w:w="62" w:type="dxa"/>
          </w:tblCellMar>
          <w:tblLook w:val="0000"/>
        </w:tblPrEx>
        <w:tc>
          <w:tcPr>
            <w:tcW w:w="3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57">
            <w:pPr>
              <w:pStyle w:val="BodyText"/>
              <w:rPr>
                <w:lang w:val="en-NZ"/>
              </w:rPr>
            </w:pPr>
            <w:r w:rsidRPr="00A23157">
              <w:rPr>
                <w:rStyle w:val="SpecialBold"/>
              </w:rPr>
              <w:t>Overview of assessment</w:t>
            </w:r>
          </w:p>
        </w:tc>
        <w:tc>
          <w:tcPr>
            <w:tcW w:w="53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57">
            <w:pPr>
              <w:pStyle w:val="BodyText"/>
              <w:rPr>
                <w:lang w:val="en-NZ"/>
              </w:rPr>
            </w:pPr>
            <w:r w:rsidRPr="00A23157">
              <w:t>A person who demonstrates competency in this unit must be able to interpret and apply drawing specifications and industry standards in the production of installation drawings for the mechanical services industry.</w:t>
            </w:r>
          </w:p>
        </w:tc>
      </w:tr>
      <w:tr w:rsidTr="00A23157">
        <w:tblPrEx>
          <w:tblW w:w="0" w:type="auto"/>
          <w:tblLayout w:type="fixed"/>
          <w:tblCellMar>
            <w:left w:w="62" w:type="dxa"/>
            <w:right w:w="62" w:type="dxa"/>
          </w:tblCellMar>
          <w:tblLook w:val="0000"/>
        </w:tblPrEx>
        <w:tc>
          <w:tcPr>
            <w:tcW w:w="3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57">
            <w:pPr>
              <w:pStyle w:val="BodyText"/>
              <w:rPr>
                <w:lang w:val="en-NZ"/>
              </w:rPr>
            </w:pPr>
            <w:r w:rsidRPr="00A23157">
              <w:rPr>
                <w:rStyle w:val="SpecialBold"/>
              </w:rPr>
              <w:t>Critical aspects for assessment and evidence required to demonstrate competency in this unit</w:t>
            </w:r>
          </w:p>
        </w:tc>
        <w:tc>
          <w:tcPr>
            <w:tcW w:w="53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57" w:rsidP="00A23157">
            <w:pPr>
              <w:pStyle w:val="BodyText"/>
            </w:pPr>
            <w:r w:rsidRPr="00A23157">
              <w:t>Assessors must be satisfied that the candidate can competently and consistently perform all elements of the unit as specified by the criteria, including required k</w:t>
            </w:r>
            <w:r w:rsidRPr="00A23157">
              <w:t>nowledge, and be capable of applying the competency in new and different situations and contexts.</w:t>
            </w:r>
          </w:p>
          <w:p w:rsidR="00000000" w:rsidRPr="00A23157" w:rsidP="00A23157">
            <w:pPr>
              <w:pStyle w:val="BodyText"/>
            </w:pPr>
            <w:r w:rsidRPr="00A23157">
              <w:t>Specifically the candidate must be able to:</w:t>
            </w:r>
          </w:p>
          <w:p w:rsidR="00000000" w:rsidRPr="00A23157" w:rsidP="00A23157">
            <w:pPr>
              <w:pStyle w:val="ListBullet"/>
            </w:pPr>
            <w:r w:rsidRPr="00A23157">
              <w:t xml:space="preserve">work within typical site/teamwork structures and methods </w:t>
            </w:r>
          </w:p>
          <w:p w:rsidR="00000000" w:rsidRPr="00A23157" w:rsidP="00A23157">
            <w:pPr>
              <w:pStyle w:val="ListBullet"/>
            </w:pPr>
            <w:r w:rsidRPr="00A23157">
              <w:t xml:space="preserve">apply worksite communication procedures </w:t>
            </w:r>
          </w:p>
          <w:p w:rsidR="00000000" w:rsidRPr="00A23157" w:rsidP="00A23157">
            <w:pPr>
              <w:pStyle w:val="ListBullet"/>
            </w:pPr>
            <w:r w:rsidRPr="00A23157">
              <w:t>comply with or</w:t>
            </w:r>
            <w:r w:rsidRPr="00A23157">
              <w:t xml:space="preserve">ganisational policies and procedures, including quality requirements </w:t>
            </w:r>
          </w:p>
          <w:p w:rsidR="00000000" w:rsidRPr="00A23157" w:rsidP="00A23157">
            <w:pPr>
              <w:pStyle w:val="ListBullet"/>
            </w:pPr>
            <w:r w:rsidRPr="00A23157">
              <w:t>participate in work meetings</w:t>
            </w:r>
          </w:p>
          <w:p w:rsidR="00000000" w:rsidRPr="00A23157" w:rsidP="00A23157">
            <w:pPr>
              <w:pStyle w:val="ListBullet"/>
            </w:pPr>
            <w:r w:rsidRPr="00A23157">
              <w:t>comply with quality requirements</w:t>
            </w:r>
          </w:p>
          <w:p w:rsidR="00000000" w:rsidRPr="00A23157" w:rsidP="00A23157">
            <w:pPr>
              <w:pStyle w:val="ListBullet"/>
            </w:pPr>
            <w:r w:rsidRPr="00A23157">
              <w:t xml:space="preserve">use industry terminology </w:t>
            </w:r>
          </w:p>
          <w:p w:rsidR="00000000" w:rsidRPr="00A23157" w:rsidP="00A23157">
            <w:pPr>
              <w:pStyle w:val="ListBullet"/>
            </w:pPr>
            <w:r w:rsidRPr="00A23157">
              <w:t>apply appropriate safety procedures</w:t>
            </w:r>
          </w:p>
          <w:p w:rsidR="00000000" w:rsidRPr="00A23157" w:rsidP="00A23157">
            <w:pPr>
              <w:pStyle w:val="ListBullet"/>
            </w:pPr>
            <w:r w:rsidRPr="00A23157">
              <w:t>demonstrate industry knowledge, including:</w:t>
            </w:r>
          </w:p>
          <w:p w:rsidR="00000000" w:rsidRPr="00A23157" w:rsidP="00A23157">
            <w:pPr>
              <w:pStyle w:val="ListBullet2"/>
            </w:pPr>
            <w:r w:rsidRPr="00A23157">
              <w:t>industry size, scope of work and economic issues</w:t>
            </w:r>
          </w:p>
          <w:p w:rsidR="00000000" w:rsidRPr="00A23157" w:rsidP="00A23157">
            <w:pPr>
              <w:pStyle w:val="ListBullet2"/>
            </w:pPr>
            <w:r w:rsidRPr="00A23157">
              <w:t xml:space="preserve">relevant industrial awards and enterprise agreements </w:t>
            </w:r>
          </w:p>
          <w:p w:rsidR="00000000" w:rsidRPr="00A23157" w:rsidP="00A23157">
            <w:pPr>
              <w:pStyle w:val="ListBullet2"/>
            </w:pPr>
            <w:r w:rsidRPr="00A23157">
              <w:t>relevant legislative provisions covering discrimination and equal employment opportunity</w:t>
            </w:r>
          </w:p>
          <w:p w:rsidR="00000000" w:rsidRPr="00A23157" w:rsidP="00A23157">
            <w:pPr>
              <w:pStyle w:val="ListBullet"/>
            </w:pPr>
            <w:r w:rsidRPr="00A23157">
              <w:t>identify features and uses of componentry and system elements f</w:t>
            </w:r>
            <w:r w:rsidRPr="00A23157">
              <w:t>or mechanical services and requirements for documenting on detail drawings</w:t>
            </w:r>
          </w:p>
          <w:p w:rsidR="00000000" w:rsidP="00A23157">
            <w:pPr>
              <w:pStyle w:val="ListBullet"/>
              <w:rPr>
                <w:lang w:val="en-NZ"/>
              </w:rPr>
            </w:pPr>
            <w:r w:rsidRPr="00A23157">
              <w:t>produce industry standard detail drawings for mechanical services industry.</w:t>
            </w:r>
          </w:p>
        </w:tc>
      </w:tr>
      <w:tr w:rsidTr="00A23157">
        <w:tblPrEx>
          <w:tblW w:w="0" w:type="auto"/>
          <w:tblLayout w:type="fixed"/>
          <w:tblCellMar>
            <w:left w:w="62" w:type="dxa"/>
            <w:right w:w="62" w:type="dxa"/>
          </w:tblCellMar>
          <w:tblLook w:val="0000"/>
        </w:tblPrEx>
        <w:tc>
          <w:tcPr>
            <w:tcW w:w="3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57">
            <w:pPr>
              <w:pStyle w:val="BodyText"/>
              <w:rPr>
                <w:lang w:val="en-NZ"/>
              </w:rPr>
            </w:pPr>
            <w:r w:rsidRPr="00A23157">
              <w:rPr>
                <w:rStyle w:val="SpecialBold"/>
              </w:rPr>
              <w:t>Context of and specific resources for assessment</w:t>
            </w:r>
          </w:p>
        </w:tc>
        <w:tc>
          <w:tcPr>
            <w:tcW w:w="53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57" w:rsidP="00A23157">
            <w:pPr>
              <w:pStyle w:val="BodyText"/>
            </w:pPr>
            <w:r w:rsidRPr="00A23157">
              <w:t>This unit may be assessed on the job, off the job or a combination of both on and off the job. Where assessment occurs off the job, that is the candidate is not in productive work, then an appropriate simulation must be used where the range of conditions r</w:t>
            </w:r>
            <w:r w:rsidRPr="00A23157">
              <w:t xml:space="preserve">eflects realistic workplace situations. The competencies covered by this unit would be demonstrated by an individual working alone or as part of a team. </w:t>
            </w:r>
          </w:p>
          <w:p w:rsidR="00000000" w:rsidRPr="00A23157" w:rsidP="00A23157">
            <w:pPr>
              <w:pStyle w:val="BodyText"/>
            </w:pPr>
            <w:r w:rsidRPr="00A23157">
              <w:t>Where applicable, reasonable adjustment must be made to work environments and training situations to a</w:t>
            </w:r>
            <w:r w:rsidRPr="00A23157">
              <w:t>ccommodate ethnicity, age, gender, demographics and disability.</w:t>
            </w:r>
          </w:p>
          <w:p w:rsidR="00000000" w:rsidRPr="00A23157" w:rsidP="00A23157">
            <w:pPr>
              <w:pStyle w:val="BodyText"/>
            </w:pPr>
            <w:r w:rsidRPr="00A23157">
              <w:t>Access must be provided to appropriate learning and/or assessment support when required. Where applicable, physical resources should include equipment modified for people with disabilities.</w:t>
            </w:r>
          </w:p>
          <w:p w:rsidR="00000000" w:rsidP="00A23157">
            <w:pPr>
              <w:pStyle w:val="BodyText"/>
              <w:rPr>
                <w:lang w:val="en-NZ"/>
              </w:rPr>
            </w:pPr>
            <w:r w:rsidRPr="00A23157">
              <w:t>Th</w:t>
            </w:r>
            <w:r w:rsidRPr="00A23157">
              <w:t>is unit could be assessed in conjunction with any other units addressing the safety, quality, communication, materials handling, recording and reporting associated with drafting or other units requiring the exercise of the skills and knowledge covered by t</w:t>
            </w:r>
            <w:r w:rsidRPr="00A23157">
              <w:t>his unit.</w:t>
            </w:r>
          </w:p>
        </w:tc>
      </w:tr>
      <w:tr w:rsidTr="00A23157">
        <w:tblPrEx>
          <w:tblW w:w="0" w:type="auto"/>
          <w:tblLayout w:type="fixed"/>
          <w:tblCellMar>
            <w:left w:w="62" w:type="dxa"/>
            <w:right w:w="62" w:type="dxa"/>
          </w:tblCellMar>
          <w:tblLook w:val="0000"/>
        </w:tblPrEx>
        <w:tc>
          <w:tcPr>
            <w:tcW w:w="3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57">
            <w:pPr>
              <w:pStyle w:val="BodyText"/>
              <w:rPr>
                <w:lang w:val="en-NZ"/>
              </w:rPr>
            </w:pPr>
            <w:r w:rsidRPr="00A23157">
              <w:rPr>
                <w:rStyle w:val="SpecialBold"/>
              </w:rPr>
              <w:t>Method of assessment</w:t>
            </w:r>
          </w:p>
        </w:tc>
        <w:tc>
          <w:tcPr>
            <w:tcW w:w="53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57" w:rsidP="00A23157">
            <w:pPr>
              <w:pStyle w:val="BodyText"/>
            </w:pPr>
            <w:r w:rsidRPr="00A23157">
              <w:t xml:space="preserve">Assessors should gather a range of evidence that is valid, sufficient, current and authentic. Evidence can be gathered through a variety of ways, including direct observation, supervisor's reports, project work, samples and </w:t>
            </w:r>
            <w:r w:rsidRPr="00A23157">
              <w:t>questioning. Questioning techniques should not require language, literacy and numeracy skills beyond those required in this unit of competency. The candidate must have access to all tools, equipment, materials and documentation required. The candidate must</w:t>
            </w:r>
            <w:r w:rsidRPr="00A23157">
              <w:t xml:space="preserve"> be permitted to refer to any relevant workplace procedures, product and manufacturing specifications, codes, standards, manuals and reference materials.</w:t>
            </w:r>
          </w:p>
        </w:tc>
      </w:tr>
    </w:tbl>
    <w:p w:rsidR="00000000" w:rsidRPr="00A23157" w:rsidP="00A23157">
      <w:pPr>
        <w:pStyle w:val="BodyText"/>
      </w:pPr>
    </w:p>
    <w:p w:rsidR="00000000" w:rsidRPr="00A23157" w:rsidP="00A23157">
      <w:pPr>
        <w:pStyle w:val="AllowPageBreak"/>
      </w:pPr>
    </w:p>
    <w:p w:rsidR="00000000" w:rsidRPr="00A23157" w:rsidP="00A23157">
      <w:pPr>
        <w:pStyle w:val="Heading1"/>
      </w:pPr>
      <w:bookmarkStart w:id="11" w:name="O_476772"/>
      <w:bookmarkEnd w:id="11"/>
      <w:r w:rsidRPr="00A23157">
        <w:t>Range Statement</w:t>
      </w:r>
    </w:p>
    <w:tbl>
      <w:tblPr>
        <w:tblW w:w="0" w:type="auto"/>
        <w:tblLayout w:type="fixed"/>
        <w:tblCellMar>
          <w:left w:w="62" w:type="dxa"/>
          <w:right w:w="62" w:type="dxa"/>
        </w:tblCellMar>
        <w:tblLook w:val="0000"/>
      </w:tblPr>
      <w:tblGrid>
        <w:gridCol w:w="3674"/>
        <w:gridCol w:w="5398"/>
      </w:tblGrid>
      <w:tr w:rsidTr="00A2315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57">
            <w:pPr>
              <w:pStyle w:val="BodyText"/>
              <w:rPr>
                <w:lang w:val="en-NZ"/>
              </w:rPr>
            </w:pPr>
            <w:r w:rsidRPr="00A23157">
              <w:rPr>
                <w:rStyle w:val="SpecialBold"/>
              </w:rPr>
              <w:t>Available information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57" w:rsidP="00A23157">
            <w:pPr>
              <w:pStyle w:val="BodyText"/>
            </w:pPr>
            <w:r w:rsidRPr="00A23157">
              <w:t>Available information may include:</w:t>
            </w:r>
          </w:p>
          <w:p w:rsidR="00000000" w:rsidRPr="00A23157" w:rsidP="00A23157">
            <w:pPr>
              <w:pStyle w:val="ListBullet"/>
            </w:pPr>
            <w:r w:rsidRPr="00A23157">
              <w:t>floor pla</w:t>
            </w:r>
            <w:r w:rsidRPr="00A23157">
              <w:t>ns, elevations, sections and site layout drawings</w:t>
            </w:r>
          </w:p>
          <w:p w:rsidR="00000000" w:rsidRPr="00A23157" w:rsidP="00A23157">
            <w:pPr>
              <w:pStyle w:val="ListBullet"/>
            </w:pPr>
            <w:r w:rsidRPr="00A23157">
              <w:t>construction documents</w:t>
            </w:r>
          </w:p>
          <w:p w:rsidR="00000000" w:rsidRPr="00A23157" w:rsidP="00A23157">
            <w:pPr>
              <w:pStyle w:val="ListBullet"/>
            </w:pPr>
            <w:r w:rsidRPr="00A23157">
              <w:t>building and coordination information</w:t>
            </w:r>
          </w:p>
          <w:p w:rsidR="00000000" w:rsidRPr="00A23157" w:rsidP="00A23157">
            <w:pPr>
              <w:pStyle w:val="ListBullet"/>
            </w:pPr>
            <w:r w:rsidRPr="00A23157">
              <w:t>work specifications</w:t>
            </w:r>
          </w:p>
          <w:p w:rsidR="00000000" w:rsidRPr="00A23157" w:rsidP="00A23157">
            <w:pPr>
              <w:pStyle w:val="ListBullet"/>
            </w:pPr>
            <w:r w:rsidRPr="00A23157">
              <w:t xml:space="preserve">information for plant services equipment </w:t>
            </w:r>
          </w:p>
          <w:p w:rsidR="00000000" w:rsidRPr="00A23157" w:rsidP="00A23157">
            <w:pPr>
              <w:pStyle w:val="ListBullet"/>
            </w:pPr>
            <w:r w:rsidRPr="00A23157">
              <w:t>industry codes, standards and regulations</w:t>
            </w:r>
          </w:p>
          <w:p w:rsidR="00000000" w:rsidP="00A23157">
            <w:pPr>
              <w:pStyle w:val="ListBullet"/>
              <w:rPr>
                <w:lang w:val="en-NZ"/>
              </w:rPr>
            </w:pPr>
            <w:r w:rsidRPr="00A23157">
              <w:t>design brief</w:t>
            </w:r>
          </w:p>
        </w:tc>
      </w:tr>
      <w:tr w:rsidTr="00A2315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57">
            <w:pPr>
              <w:pStyle w:val="BodyText"/>
              <w:rPr>
                <w:lang w:val="en-NZ"/>
              </w:rPr>
            </w:pPr>
            <w:r w:rsidRPr="00A23157">
              <w:rPr>
                <w:rStyle w:val="SpecialBold"/>
              </w:rPr>
              <w:t>Industry standards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57" w:rsidP="00A23157">
            <w:pPr>
              <w:pStyle w:val="BodyText"/>
            </w:pPr>
            <w:r w:rsidRPr="00A23157">
              <w:t>Industry standards may include, but are not limited to:</w:t>
            </w:r>
          </w:p>
          <w:p w:rsidR="00000000" w:rsidRPr="00A23157" w:rsidP="00A23157">
            <w:pPr>
              <w:pStyle w:val="ListBullet"/>
            </w:pPr>
            <w:r w:rsidRPr="00A23157">
              <w:t>Building Codes of Australia (BSA)</w:t>
            </w:r>
          </w:p>
          <w:p w:rsidR="00000000" w:rsidRPr="00A23157" w:rsidP="00A23157">
            <w:pPr>
              <w:pStyle w:val="ListBullet"/>
            </w:pPr>
            <w:r w:rsidRPr="00A23157">
              <w:t>Australian Standards (AS)</w:t>
            </w:r>
          </w:p>
          <w:p w:rsidR="00000000" w:rsidRPr="00A23157" w:rsidP="00A23157">
            <w:pPr>
              <w:pStyle w:val="ListBullet"/>
            </w:pPr>
            <w:r w:rsidRPr="00A23157">
              <w:t>legislation requirements from Building Practitioner's Board (RBP)</w:t>
            </w:r>
          </w:p>
          <w:p w:rsidR="00000000" w:rsidRPr="00A23157" w:rsidP="00A23157">
            <w:pPr>
              <w:pStyle w:val="ListBullet"/>
            </w:pPr>
            <w:r w:rsidRPr="00A23157">
              <w:t>Australian Gas Codes (AGC)</w:t>
            </w:r>
          </w:p>
          <w:p w:rsidR="00000000" w:rsidRPr="00A23157" w:rsidP="00A23157">
            <w:pPr>
              <w:pStyle w:val="ListBullet"/>
            </w:pPr>
            <w:r w:rsidRPr="00A23157">
              <w:t>Sheet Metal and Air Conditioning Contractors N</w:t>
            </w:r>
            <w:r w:rsidRPr="00A23157">
              <w:t>ational Association (SMACNA)</w:t>
            </w:r>
          </w:p>
          <w:p w:rsidR="00000000" w:rsidRPr="00A23157" w:rsidP="00A23157">
            <w:pPr>
              <w:pStyle w:val="ListBullet"/>
            </w:pPr>
            <w:r w:rsidRPr="00A23157">
              <w:t>third-party manufacturing and installation standards</w:t>
            </w:r>
          </w:p>
          <w:p w:rsidR="00000000" w:rsidRPr="00A23157" w:rsidP="00A23157">
            <w:pPr>
              <w:pStyle w:val="ListBullet"/>
            </w:pPr>
            <w:r w:rsidRPr="00A23157">
              <w:t>company standards</w:t>
            </w:r>
          </w:p>
          <w:p w:rsidR="00000000" w:rsidRPr="00A23157" w:rsidP="00A23157">
            <w:pPr>
              <w:pStyle w:val="ListBullet"/>
            </w:pPr>
            <w:r w:rsidRPr="00A23157">
              <w:t>guidelines</w:t>
            </w:r>
          </w:p>
          <w:p w:rsidR="00000000" w:rsidP="00A23157">
            <w:pPr>
              <w:pStyle w:val="ListBullet"/>
              <w:rPr>
                <w:lang w:val="en-NZ"/>
              </w:rPr>
            </w:pPr>
            <w:r w:rsidRPr="00A23157">
              <w:t>general practices</w:t>
            </w:r>
          </w:p>
        </w:tc>
      </w:tr>
      <w:tr w:rsidTr="00A2315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57">
            <w:pPr>
              <w:pStyle w:val="BodyText"/>
              <w:rPr>
                <w:lang w:val="en-NZ"/>
              </w:rPr>
            </w:pPr>
            <w:r w:rsidRPr="00A23157">
              <w:rPr>
                <w:rStyle w:val="SpecialBold"/>
              </w:rPr>
              <w:t>Codes, standards and industry regulations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57" w:rsidP="00A23157">
            <w:pPr>
              <w:pStyle w:val="BodyText"/>
            </w:pPr>
            <w:r w:rsidRPr="00A23157">
              <w:t>Codes, standards and industry regulations may include:</w:t>
            </w:r>
          </w:p>
          <w:p w:rsidR="00000000" w:rsidRPr="00A23157" w:rsidP="00A23157">
            <w:pPr>
              <w:pStyle w:val="ListBullet"/>
            </w:pPr>
            <w:r w:rsidRPr="00A23157">
              <w:t>AS/NZS 1668 Set:2005 The use of ventilation and air conditioning in building Set</w:t>
            </w:r>
          </w:p>
          <w:p w:rsidR="00000000" w:rsidRPr="00A23157" w:rsidP="00A23157">
            <w:pPr>
              <w:pStyle w:val="ListBullet"/>
            </w:pPr>
            <w:r w:rsidRPr="00A23157">
              <w:t xml:space="preserve">AS 1682.1–1990 Fire dampers – Specification </w:t>
            </w:r>
          </w:p>
          <w:p w:rsidR="00000000" w:rsidRPr="00A23157" w:rsidP="00A23157">
            <w:pPr>
              <w:pStyle w:val="ListBullet"/>
            </w:pPr>
            <w:r w:rsidRPr="00A23157">
              <w:t>AS 4254–2002 Ductwork for air-handling systems in buildings</w:t>
            </w:r>
          </w:p>
          <w:p w:rsidR="00000000" w:rsidRPr="00A23157" w:rsidP="00A23157">
            <w:pPr>
              <w:pStyle w:val="ListBullet"/>
            </w:pPr>
            <w:r w:rsidRPr="00A23157">
              <w:t>building codes</w:t>
            </w:r>
          </w:p>
          <w:p w:rsidR="00000000" w:rsidRPr="00A23157" w:rsidP="00A23157">
            <w:pPr>
              <w:pStyle w:val="ListBullet"/>
            </w:pPr>
            <w:r w:rsidRPr="00A23157">
              <w:t>gas, water and electricity regulations</w:t>
            </w:r>
          </w:p>
          <w:p w:rsidR="00000000" w:rsidP="00A23157">
            <w:pPr>
              <w:pStyle w:val="ListBullet"/>
              <w:rPr>
                <w:lang w:val="en-NZ"/>
              </w:rPr>
            </w:pPr>
            <w:r w:rsidRPr="00A23157">
              <w:t>OHS codes of pra</w:t>
            </w:r>
            <w:r w:rsidRPr="00A23157">
              <w:t>ctice</w:t>
            </w:r>
          </w:p>
        </w:tc>
      </w:tr>
      <w:tr w:rsidTr="00A2315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57">
            <w:pPr>
              <w:pStyle w:val="BodyText"/>
              <w:rPr>
                <w:lang w:val="en-NZ"/>
              </w:rPr>
            </w:pPr>
            <w:r w:rsidRPr="00A23157">
              <w:rPr>
                <w:rStyle w:val="SpecialBold"/>
              </w:rPr>
              <w:t xml:space="preserve">Heating and cooling systems and equipment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57" w:rsidP="00A23157">
            <w:pPr>
              <w:pStyle w:val="BodyText"/>
            </w:pPr>
            <w:r w:rsidRPr="00A23157">
              <w:t>Heating and cooling systems and equipment may include:</w:t>
            </w:r>
          </w:p>
          <w:p w:rsidR="00000000" w:rsidRPr="00A23157" w:rsidP="00A23157">
            <w:pPr>
              <w:pStyle w:val="ListBullet"/>
            </w:pPr>
            <w:r w:rsidRPr="00A23157">
              <w:t>boilers</w:t>
            </w:r>
          </w:p>
          <w:p w:rsidR="00000000" w:rsidRPr="00A23157" w:rsidP="00A23157">
            <w:pPr>
              <w:pStyle w:val="ListBullet"/>
            </w:pPr>
            <w:r w:rsidRPr="00A23157">
              <w:t>clarifiers</w:t>
            </w:r>
          </w:p>
          <w:p w:rsidR="00000000" w:rsidRPr="00A23157" w:rsidP="00A23157">
            <w:pPr>
              <w:pStyle w:val="ListBullet"/>
            </w:pPr>
            <w:r w:rsidRPr="00A23157">
              <w:t>heat exchanges</w:t>
            </w:r>
          </w:p>
          <w:p w:rsidR="00000000" w:rsidRPr="00A23157" w:rsidP="00A23157">
            <w:pPr>
              <w:pStyle w:val="ListBullet"/>
            </w:pPr>
            <w:r w:rsidRPr="00A23157">
              <w:t>coils</w:t>
            </w:r>
          </w:p>
          <w:p w:rsidR="00000000" w:rsidRPr="00A23157" w:rsidP="00A23157">
            <w:pPr>
              <w:pStyle w:val="ListBullet"/>
            </w:pPr>
            <w:r w:rsidRPr="00A23157">
              <w:t>centrifugal chillers</w:t>
            </w:r>
          </w:p>
          <w:p w:rsidR="00000000" w:rsidRPr="00A23157" w:rsidP="00A23157">
            <w:pPr>
              <w:pStyle w:val="ListBullet"/>
            </w:pPr>
            <w:r w:rsidRPr="00A23157">
              <w:t>cooling towers</w:t>
            </w:r>
          </w:p>
          <w:p w:rsidR="00000000" w:rsidRPr="00A23157" w:rsidP="00A23157">
            <w:pPr>
              <w:pStyle w:val="ListBullet"/>
            </w:pPr>
            <w:r w:rsidRPr="00A23157">
              <w:t>pumps</w:t>
            </w:r>
          </w:p>
          <w:p w:rsidR="00000000" w:rsidRPr="00A23157" w:rsidP="00A23157">
            <w:pPr>
              <w:pStyle w:val="ListBullet"/>
            </w:pPr>
            <w:r w:rsidRPr="00A23157">
              <w:t>valves</w:t>
            </w:r>
          </w:p>
          <w:p w:rsidR="00000000" w:rsidRPr="00A23157" w:rsidP="00A23157">
            <w:pPr>
              <w:pStyle w:val="ListBullet"/>
            </w:pPr>
            <w:r w:rsidRPr="00A23157">
              <w:t>auto refill units</w:t>
            </w:r>
          </w:p>
          <w:p w:rsidR="00000000" w:rsidRPr="00A23157" w:rsidP="00A23157">
            <w:pPr>
              <w:pStyle w:val="ListBullet"/>
            </w:pPr>
            <w:r w:rsidRPr="00A23157">
              <w:t>expansion tanks</w:t>
            </w:r>
          </w:p>
          <w:p w:rsidR="00000000" w:rsidP="00A23157">
            <w:pPr>
              <w:pStyle w:val="ListBullet"/>
              <w:rPr>
                <w:lang w:val="en-NZ"/>
              </w:rPr>
            </w:pPr>
            <w:r w:rsidRPr="00A23157">
              <w:t>pipe work systems</w:t>
            </w:r>
          </w:p>
        </w:tc>
      </w:tr>
      <w:tr w:rsidTr="00A2315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57">
            <w:pPr>
              <w:pStyle w:val="BodyText"/>
              <w:rPr>
                <w:lang w:val="en-NZ"/>
              </w:rPr>
            </w:pPr>
            <w:r w:rsidRPr="00A23157">
              <w:rPr>
                <w:rStyle w:val="SpecialBold"/>
              </w:rPr>
              <w:t>Pressure and temperature measurement devices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57" w:rsidP="00A23157">
            <w:pPr>
              <w:pStyle w:val="BodyText"/>
            </w:pPr>
            <w:r w:rsidRPr="00A23157">
              <w:t>Pressure and temperature measurement devices may include:</w:t>
            </w:r>
          </w:p>
          <w:p w:rsidR="00000000" w:rsidRPr="00A23157" w:rsidP="00A23157">
            <w:pPr>
              <w:pStyle w:val="ListBullet"/>
            </w:pPr>
            <w:r w:rsidRPr="00A23157">
              <w:t>humidistat</w:t>
            </w:r>
          </w:p>
          <w:p w:rsidR="00000000" w:rsidP="00A23157">
            <w:pPr>
              <w:pStyle w:val="ListBullet"/>
              <w:rPr>
                <w:lang w:val="en-NZ"/>
              </w:rPr>
            </w:pPr>
            <w:r w:rsidRPr="00A23157">
              <w:t>thermostat</w:t>
            </w:r>
          </w:p>
        </w:tc>
      </w:tr>
      <w:tr w:rsidTr="00A2315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57">
            <w:pPr>
              <w:pStyle w:val="BodyText"/>
              <w:rPr>
                <w:lang w:val="en-NZ"/>
              </w:rPr>
            </w:pPr>
            <w:r w:rsidRPr="00A23157">
              <w:rPr>
                <w:rStyle w:val="SpecialBold"/>
              </w:rPr>
              <w:t>Air conditioning equipment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57" w:rsidP="00A23157">
            <w:pPr>
              <w:pStyle w:val="BodyText"/>
            </w:pPr>
            <w:r w:rsidRPr="00A23157">
              <w:t>Air conditioning equipment may include:</w:t>
            </w:r>
          </w:p>
          <w:p w:rsidR="00000000" w:rsidRPr="00A23157" w:rsidP="00A23157">
            <w:pPr>
              <w:pStyle w:val="ListBullet"/>
            </w:pPr>
            <w:r w:rsidRPr="00A23157">
              <w:t>fans</w:t>
            </w:r>
          </w:p>
          <w:p w:rsidR="00000000" w:rsidRPr="00A23157" w:rsidP="00A23157">
            <w:pPr>
              <w:pStyle w:val="ListBullet"/>
            </w:pPr>
            <w:r w:rsidRPr="00A23157">
              <w:t>air filtration units</w:t>
            </w:r>
          </w:p>
          <w:p w:rsidR="00000000" w:rsidRPr="00A23157" w:rsidP="00A23157">
            <w:pPr>
              <w:pStyle w:val="ListBullet"/>
            </w:pPr>
            <w:r w:rsidRPr="00A23157">
              <w:t>heating systems</w:t>
            </w:r>
          </w:p>
          <w:p w:rsidR="00000000" w:rsidRPr="00A23157" w:rsidP="00A23157">
            <w:pPr>
              <w:pStyle w:val="ListBullet"/>
            </w:pPr>
            <w:r w:rsidRPr="00A23157">
              <w:t>cooling systems</w:t>
            </w:r>
          </w:p>
          <w:p w:rsidR="00000000" w:rsidRPr="00A23157" w:rsidP="00A23157">
            <w:pPr>
              <w:pStyle w:val="ListBullet"/>
            </w:pPr>
            <w:r w:rsidRPr="00A23157">
              <w:t>ducts, grilles</w:t>
            </w:r>
          </w:p>
          <w:p w:rsidR="00000000" w:rsidRPr="00A23157" w:rsidP="00A23157">
            <w:pPr>
              <w:pStyle w:val="ListBullet"/>
            </w:pPr>
            <w:r w:rsidRPr="00A23157">
              <w:t>diverters</w:t>
            </w:r>
          </w:p>
          <w:p w:rsidR="00000000" w:rsidRPr="00A23157" w:rsidP="00A23157">
            <w:pPr>
              <w:pStyle w:val="ListBullet"/>
            </w:pPr>
            <w:r w:rsidRPr="00A23157">
              <w:t>diffusers</w:t>
            </w:r>
          </w:p>
          <w:p w:rsidR="00000000" w:rsidRPr="00A23157" w:rsidP="00A23157">
            <w:pPr>
              <w:pStyle w:val="ListBullet"/>
            </w:pPr>
            <w:r w:rsidRPr="00A23157">
              <w:t>dampers</w:t>
            </w:r>
          </w:p>
          <w:p w:rsidR="00000000" w:rsidRPr="00A23157" w:rsidP="00A23157">
            <w:pPr>
              <w:pStyle w:val="ListBullet"/>
            </w:pPr>
            <w:r w:rsidRPr="00A23157">
              <w:t>humidifier/dehumidifier</w:t>
            </w:r>
          </w:p>
          <w:p w:rsidR="00000000" w:rsidP="00A23157">
            <w:pPr>
              <w:pStyle w:val="ListBullet"/>
              <w:rPr>
                <w:lang w:val="en-NZ"/>
              </w:rPr>
            </w:pPr>
            <w:r w:rsidRPr="00A23157">
              <w:t>exhaust hoods</w:t>
            </w:r>
          </w:p>
        </w:tc>
      </w:tr>
      <w:tr w:rsidTr="00A23157">
        <w:tblPrEx>
          <w:tblW w:w="0" w:type="auto"/>
          <w:tblLayout w:type="fixed"/>
          <w:tblCellMar>
            <w:left w:w="62" w:type="dxa"/>
            <w:right w:w="62" w:type="dxa"/>
          </w:tblCellMar>
          <w:tblLook w:val="0000"/>
        </w:tblPrEx>
        <w:trPr>
          <w:trHeight w:val="1621"/>
        </w:trPr>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57">
            <w:pPr>
              <w:pStyle w:val="BodyText"/>
              <w:rPr>
                <w:lang w:val="en-NZ"/>
              </w:rPr>
            </w:pPr>
            <w:r w:rsidRPr="00A23157">
              <w:rPr>
                <w:rStyle w:val="SpecialBold"/>
              </w:rPr>
              <w:t>Exhaust systems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57" w:rsidP="00A23157">
            <w:pPr>
              <w:pStyle w:val="BodyText"/>
            </w:pPr>
            <w:r w:rsidRPr="00A23157">
              <w:t>Exhaust systems may include:</w:t>
            </w:r>
          </w:p>
          <w:p w:rsidR="00000000" w:rsidRPr="00A23157" w:rsidP="00A23157">
            <w:pPr>
              <w:pStyle w:val="ListBullet"/>
            </w:pPr>
            <w:r w:rsidRPr="00A23157">
              <w:t>kitchen</w:t>
            </w:r>
          </w:p>
          <w:p w:rsidR="00000000" w:rsidRPr="00A23157" w:rsidP="00A23157">
            <w:pPr>
              <w:pStyle w:val="ListBullet"/>
            </w:pPr>
            <w:r w:rsidRPr="00A23157">
              <w:t>fume</w:t>
            </w:r>
          </w:p>
          <w:p w:rsidR="00000000" w:rsidRPr="00A23157" w:rsidP="00A23157">
            <w:pPr>
              <w:pStyle w:val="ListBullet"/>
            </w:pPr>
            <w:r w:rsidRPr="00A23157">
              <w:t>dust</w:t>
            </w:r>
          </w:p>
          <w:p w:rsidR="00000000" w:rsidRPr="00A23157" w:rsidP="00A23157">
            <w:pPr>
              <w:pStyle w:val="ListBullet"/>
            </w:pPr>
            <w:r w:rsidRPr="00A23157">
              <w:t>smoke</w:t>
            </w:r>
          </w:p>
          <w:p w:rsidR="00000000" w:rsidP="00A23157">
            <w:pPr>
              <w:pStyle w:val="ListBullet"/>
              <w:rPr>
                <w:lang w:val="en-NZ"/>
              </w:rPr>
            </w:pPr>
            <w:r w:rsidRPr="00A23157">
              <w:t>toilet and car park systems</w:t>
            </w:r>
          </w:p>
        </w:tc>
      </w:tr>
      <w:tr w:rsidTr="00A23157">
        <w:tblPrEx>
          <w:tblW w:w="0" w:type="auto"/>
          <w:tblLayout w:type="fixed"/>
          <w:tblCellMar>
            <w:left w:w="62" w:type="dxa"/>
            <w:right w:w="62" w:type="dxa"/>
          </w:tblCellMar>
          <w:tblLook w:val="0000"/>
        </w:tblPrEx>
        <w:trPr>
          <w:trHeight w:val="724"/>
        </w:trPr>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57">
            <w:pPr>
              <w:pStyle w:val="BodyText"/>
              <w:rPr>
                <w:lang w:val="en-NZ"/>
              </w:rPr>
            </w:pPr>
            <w:r w:rsidRPr="00A23157">
              <w:rPr>
                <w:rStyle w:val="SpecialBold"/>
              </w:rPr>
              <w:t>Refrigeration equipment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57" w:rsidP="00A23157">
            <w:pPr>
              <w:pStyle w:val="BodyText"/>
            </w:pPr>
            <w:r w:rsidRPr="00A23157">
              <w:t>Refrigeration equipment may include:</w:t>
            </w:r>
          </w:p>
          <w:p w:rsidR="00000000" w:rsidRPr="00A23157" w:rsidP="00A23157">
            <w:pPr>
              <w:pStyle w:val="ListBullet"/>
            </w:pPr>
            <w:r w:rsidRPr="00A23157">
              <w:t>refrigeration compressors</w:t>
            </w:r>
          </w:p>
          <w:p w:rsidR="00000000" w:rsidRPr="00A23157" w:rsidP="00A23157">
            <w:pPr>
              <w:pStyle w:val="ListBullet"/>
            </w:pPr>
            <w:r w:rsidRPr="00A23157">
              <w:t>condensers</w:t>
            </w:r>
          </w:p>
          <w:p w:rsidR="00000000" w:rsidRPr="00A23157" w:rsidP="00A23157">
            <w:pPr>
              <w:pStyle w:val="ListBullet"/>
            </w:pPr>
            <w:r w:rsidRPr="00A23157">
              <w:t>evaporative condensers</w:t>
            </w:r>
          </w:p>
          <w:p w:rsidR="00000000" w:rsidP="00A23157">
            <w:pPr>
              <w:pStyle w:val="ListBullet"/>
              <w:rPr>
                <w:lang w:val="en-NZ"/>
              </w:rPr>
            </w:pPr>
            <w:r w:rsidRPr="00A23157">
              <w:t>pumps</w:t>
            </w:r>
          </w:p>
        </w:tc>
      </w:tr>
      <w:tr w:rsidTr="00A2315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57">
            <w:pPr>
              <w:pStyle w:val="BodyText"/>
              <w:rPr>
                <w:lang w:val="en-NZ"/>
              </w:rPr>
            </w:pPr>
            <w:r w:rsidRPr="00A23157">
              <w:rPr>
                <w:rStyle w:val="SpecialBold"/>
              </w:rPr>
              <w:t>Standard drawing conventions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57" w:rsidP="00A23157">
            <w:pPr>
              <w:pStyle w:val="BodyText"/>
            </w:pPr>
            <w:r w:rsidRPr="00A23157">
              <w:t>Standard drawing conventions may include:</w:t>
            </w:r>
          </w:p>
          <w:p w:rsidR="00000000" w:rsidRPr="00A23157" w:rsidP="00A23157">
            <w:pPr>
              <w:pStyle w:val="ListBullet"/>
            </w:pPr>
            <w:r w:rsidRPr="00A23157">
              <w:t xml:space="preserve">use of correct sectioning technique </w:t>
            </w:r>
          </w:p>
          <w:p w:rsidR="00000000" w:rsidRPr="00A23157" w:rsidP="00A23157">
            <w:pPr>
              <w:pStyle w:val="ListBullet"/>
            </w:pPr>
            <w:r w:rsidRPr="00A23157">
              <w:t xml:space="preserve">identification of cutting plane </w:t>
            </w:r>
          </w:p>
          <w:p w:rsidR="00000000" w:rsidRPr="00A23157" w:rsidP="00A23157">
            <w:pPr>
              <w:pStyle w:val="ListBullet"/>
            </w:pPr>
            <w:r w:rsidRPr="00A23157">
              <w:t xml:space="preserve">accurate line types </w:t>
            </w:r>
          </w:p>
          <w:p w:rsidR="00000000" w:rsidRPr="00A23157" w:rsidP="00A23157">
            <w:pPr>
              <w:pStyle w:val="ListBullet"/>
            </w:pPr>
            <w:r w:rsidRPr="00A23157">
              <w:t>appropriate view positions</w:t>
            </w:r>
          </w:p>
          <w:p w:rsidR="00000000" w:rsidRPr="00A23157" w:rsidP="00A23157">
            <w:pPr>
              <w:pStyle w:val="ListBullet"/>
            </w:pPr>
            <w:r w:rsidRPr="00A23157">
              <w:t xml:space="preserve">use of correct symbols </w:t>
            </w:r>
          </w:p>
          <w:p w:rsidR="00000000" w:rsidRPr="00A23157" w:rsidP="00A23157">
            <w:pPr>
              <w:pStyle w:val="ListBullet"/>
            </w:pPr>
            <w:r w:rsidRPr="00A23157">
              <w:t xml:space="preserve">use of correct dimensioning technique </w:t>
            </w:r>
          </w:p>
          <w:p w:rsidR="00000000" w:rsidRPr="00A23157" w:rsidP="00A23157">
            <w:pPr>
              <w:pStyle w:val="ListBullet"/>
            </w:pPr>
            <w:r w:rsidRPr="00A23157">
              <w:t xml:space="preserve">provision of suitable number of views </w:t>
            </w:r>
          </w:p>
          <w:p w:rsidR="00000000" w:rsidRPr="00A23157" w:rsidP="00A23157">
            <w:pPr>
              <w:pStyle w:val="ListBullet"/>
            </w:pPr>
            <w:r w:rsidRPr="00A23157">
              <w:t xml:space="preserve">use of correct scales </w:t>
            </w:r>
          </w:p>
          <w:p w:rsidR="00000000" w:rsidP="00A23157">
            <w:pPr>
              <w:pStyle w:val="ListBullet"/>
              <w:rPr>
                <w:lang w:val="en-NZ"/>
              </w:rPr>
            </w:pPr>
            <w:r w:rsidRPr="00A23157">
              <w:t xml:space="preserve">neat presentation </w:t>
            </w:r>
          </w:p>
        </w:tc>
      </w:tr>
      <w:tr w:rsidTr="00A2315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57">
            <w:pPr>
              <w:pStyle w:val="BodyText"/>
              <w:rPr>
                <w:lang w:val="en-NZ"/>
              </w:rPr>
            </w:pPr>
            <w:r w:rsidRPr="00A23157">
              <w:rPr>
                <w:rStyle w:val="SpecialBold"/>
              </w:rPr>
              <w:t>Appropriate personnel</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57" w:rsidP="00A23157">
            <w:pPr>
              <w:pStyle w:val="BodyText"/>
            </w:pPr>
            <w:r w:rsidRPr="00A23157">
              <w:t>Appropriate personnel may include:</w:t>
            </w:r>
          </w:p>
          <w:p w:rsidR="00000000" w:rsidRPr="00A23157" w:rsidP="00A23157">
            <w:pPr>
              <w:pStyle w:val="ListBullet"/>
            </w:pPr>
            <w:r w:rsidRPr="00A23157">
              <w:t>designer</w:t>
            </w:r>
          </w:p>
          <w:p w:rsidR="00000000" w:rsidRPr="00A23157" w:rsidP="00A23157">
            <w:pPr>
              <w:pStyle w:val="ListBullet"/>
            </w:pPr>
            <w:r w:rsidRPr="00A23157">
              <w:t>engineer</w:t>
            </w:r>
          </w:p>
          <w:p w:rsidR="00000000" w:rsidRPr="00A23157" w:rsidP="00A23157">
            <w:pPr>
              <w:pStyle w:val="ListBullet"/>
            </w:pPr>
            <w:r w:rsidRPr="00A23157">
              <w:t>supervisor</w:t>
            </w:r>
          </w:p>
          <w:p w:rsidR="00000000" w:rsidRPr="00A23157" w:rsidP="00A23157">
            <w:pPr>
              <w:pStyle w:val="ListBullet"/>
            </w:pPr>
            <w:r w:rsidRPr="00A23157">
              <w:t>contractor/consultant</w:t>
            </w:r>
          </w:p>
          <w:p w:rsidR="00000000" w:rsidP="00A23157">
            <w:pPr>
              <w:pStyle w:val="ListBullet"/>
              <w:rPr>
                <w:lang w:val="en-NZ"/>
              </w:rPr>
            </w:pPr>
            <w:r w:rsidRPr="00A23157">
              <w:t xml:space="preserve">builder </w:t>
            </w:r>
          </w:p>
        </w:tc>
      </w:tr>
      <w:tr w:rsidTr="00A2315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157">
            <w:pPr>
              <w:pStyle w:val="BodyText"/>
              <w:rPr>
                <w:lang w:val="en-NZ"/>
              </w:rPr>
            </w:pPr>
            <w:r w:rsidRPr="00A23157">
              <w:rPr>
                <w:rStyle w:val="SpecialBold"/>
              </w:rPr>
              <w:t>Support services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157" w:rsidP="00A23157">
            <w:pPr>
              <w:pStyle w:val="BodyText"/>
            </w:pPr>
            <w:r w:rsidRPr="00A23157">
              <w:t>Support services may include:</w:t>
            </w:r>
          </w:p>
          <w:p w:rsidR="00000000" w:rsidRPr="00A23157" w:rsidP="00A23157">
            <w:pPr>
              <w:pStyle w:val="ListBullet"/>
            </w:pPr>
            <w:r w:rsidRPr="00A23157">
              <w:t>estimating department and personnel</w:t>
            </w:r>
          </w:p>
          <w:p w:rsidR="00000000" w:rsidRPr="00A23157" w:rsidP="00A23157">
            <w:pPr>
              <w:pStyle w:val="ListBullet"/>
            </w:pPr>
            <w:r w:rsidRPr="00A23157">
              <w:t>engineering department and personnel</w:t>
            </w:r>
          </w:p>
          <w:p w:rsidR="00000000" w:rsidRPr="00A23157" w:rsidP="00A23157">
            <w:pPr>
              <w:pStyle w:val="ListBullet"/>
            </w:pPr>
            <w:r w:rsidRPr="00A23157">
              <w:t>drafting department and personnel</w:t>
            </w:r>
          </w:p>
          <w:p w:rsidR="00000000" w:rsidRPr="00A23157" w:rsidP="00A23157">
            <w:pPr>
              <w:pStyle w:val="ListBullet"/>
            </w:pPr>
            <w:r w:rsidRPr="00A23157">
              <w:t>project manager</w:t>
            </w:r>
          </w:p>
          <w:p w:rsidR="00000000" w:rsidRPr="00A23157" w:rsidP="00A23157">
            <w:pPr>
              <w:pStyle w:val="ListBullet"/>
            </w:pPr>
            <w:r w:rsidRPr="00A23157">
              <w:t>factory manager or staff</w:t>
            </w:r>
          </w:p>
        </w:tc>
      </w:tr>
    </w:tbl>
    <w:p w:rsidR="00000000" w:rsidRPr="00A23157" w:rsidP="00A23157">
      <w:pPr>
        <w:pStyle w:val="BodyText"/>
      </w:pPr>
    </w:p>
    <w:p w:rsidR="00000000" w:rsidRPr="00A23157" w:rsidP="00A23157">
      <w:pPr>
        <w:pStyle w:val="AllowPageBreak"/>
      </w:pPr>
    </w:p>
    <w:p w:rsidR="00000000" w:rsidRPr="00A23157" w:rsidP="00A23157">
      <w:pPr>
        <w:pStyle w:val="Heading1"/>
      </w:pPr>
      <w:bookmarkStart w:id="12" w:name="O_476773"/>
      <w:bookmarkEnd w:id="12"/>
      <w:r w:rsidRPr="00A23157">
        <w:t>Unit Sector(s)</w:t>
      </w:r>
    </w:p>
    <w:p w:rsidR="00000000" w:rsidRPr="00A23157" w:rsidP="00A23157">
      <w:pPr>
        <w:pStyle w:val="BodyText"/>
      </w:pPr>
      <w:r w:rsidRPr="00A23157">
        <w:t>Drawing, drafting and design</w:t>
      </w:r>
    </w:p>
    <w:p w:rsidR="00000000" w:rsidRPr="00A23157" w:rsidP="00A23157">
      <w:pPr>
        <w:pStyle w:val="AllowPageBreak"/>
      </w:pPr>
    </w:p>
    <w:p w:rsidR="00000000" w:rsidRPr="00A23157" w:rsidP="00A23157">
      <w:pPr>
        <w:pStyle w:val="Heading1"/>
      </w:pPr>
      <w:bookmarkStart w:id="13" w:name="O_476774"/>
      <w:bookmarkEnd w:id="13"/>
      <w:r w:rsidRPr="00A23157">
        <w:t>Custom Content Section</w:t>
      </w:r>
    </w:p>
    <w:p w:rsidR="00000000" w:rsidRPr="00A23157" w:rsidP="00A23157">
      <w:pPr>
        <w:pStyle w:val="BodyText"/>
      </w:pPr>
      <w:r w:rsidRPr="00A23157">
        <w:t>Not applicable.</w:t>
      </w:r>
    </w:p>
    <w:p w:rsidR="00000000" w:rsidRPr="00A23157" w:rsidP="00A23157"/>
    <w:sectPr w:rsidSect="00A231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5CDC" w:rsidP="00525CD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CDC" w:rsidP="00A2315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25CDC" w:rsidP="00A231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25CDC" w:rsidP="00A231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57" w:rsidRPr="00525CDC" w:rsidP="00525C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1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CDC" w:rsidP="00A23157">
    <w:pPr>
      <w:pStyle w:val="Header"/>
      <w:framePr w:wrap="around"/>
    </w:pPr>
    <w:r>
      <w:fldChar w:fldCharType="begin"/>
    </w:r>
    <w:r>
      <w:instrText xml:space="preserve"> TITLE   \* MERGEFORMAT </w:instrText>
    </w:r>
    <w:r>
      <w:fldChar w:fldCharType="separate"/>
    </w:r>
    <w:r>
      <w:t>MEM09206A Produce drawings for mechanical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525CDC" w:rsidP="00A231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0A13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121C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66A5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1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3157"/>
    <w:pPr>
      <w:spacing w:before="360" w:after="60"/>
      <w:outlineLvl w:val="0"/>
    </w:pPr>
    <w:rPr>
      <w:sz w:val="32"/>
    </w:rPr>
  </w:style>
  <w:style w:type="paragraph" w:styleId="Heading2">
    <w:name w:val="heading 2"/>
    <w:basedOn w:val="HeadingBase"/>
    <w:next w:val="BodyText"/>
    <w:link w:val="Heading2Char"/>
    <w:qFormat/>
    <w:rsid w:val="00A23157"/>
    <w:pPr>
      <w:keepLines/>
      <w:spacing w:before="240" w:after="120"/>
      <w:outlineLvl w:val="1"/>
    </w:pPr>
    <w:rPr>
      <w:sz w:val="28"/>
      <w:szCs w:val="40"/>
    </w:rPr>
  </w:style>
  <w:style w:type="paragraph" w:styleId="Heading3">
    <w:name w:val="heading 3"/>
    <w:basedOn w:val="HeadingBase"/>
    <w:next w:val="BodyText"/>
    <w:link w:val="Heading3Char"/>
    <w:qFormat/>
    <w:rsid w:val="00A23157"/>
    <w:pPr>
      <w:spacing w:before="180" w:after="120"/>
      <w:outlineLvl w:val="2"/>
    </w:pPr>
    <w:rPr>
      <w:spacing w:val="-10"/>
      <w:kern w:val="32"/>
    </w:rPr>
  </w:style>
  <w:style w:type="paragraph" w:styleId="Heading4">
    <w:name w:val="heading 4"/>
    <w:basedOn w:val="HeadingBase"/>
    <w:next w:val="BodyText"/>
    <w:link w:val="Heading4Char"/>
    <w:qFormat/>
    <w:rsid w:val="00A23157"/>
    <w:pPr>
      <w:spacing w:before="160" w:after="120"/>
      <w:outlineLvl w:val="3"/>
    </w:pPr>
    <w:rPr>
      <w:sz w:val="22"/>
    </w:rPr>
  </w:style>
  <w:style w:type="paragraph" w:styleId="Heading5">
    <w:name w:val="heading 5"/>
    <w:basedOn w:val="HeadingBase"/>
    <w:next w:val="Normal"/>
    <w:link w:val="Heading5Char"/>
    <w:qFormat/>
    <w:rsid w:val="00A23157"/>
    <w:pPr>
      <w:spacing w:before="80"/>
      <w:outlineLvl w:val="4"/>
    </w:pPr>
    <w:rPr>
      <w:color w:val="918585"/>
      <w:sz w:val="20"/>
    </w:rPr>
  </w:style>
  <w:style w:type="paragraph" w:styleId="Heading6">
    <w:name w:val="heading 6"/>
    <w:basedOn w:val="HeadingBase"/>
    <w:next w:val="Normal"/>
    <w:link w:val="Heading6Char"/>
    <w:qFormat/>
    <w:rsid w:val="00A23157"/>
    <w:pPr>
      <w:spacing w:before="60"/>
      <w:outlineLvl w:val="5"/>
    </w:pPr>
    <w:rPr>
      <w:color w:val="918585"/>
      <w:sz w:val="20"/>
    </w:rPr>
  </w:style>
  <w:style w:type="paragraph" w:styleId="Heading7">
    <w:name w:val="heading 7"/>
    <w:basedOn w:val="Normal"/>
    <w:next w:val="Normal"/>
    <w:link w:val="Heading7Char"/>
    <w:qFormat/>
    <w:rsid w:val="00A23157"/>
    <w:pPr>
      <w:ind w:left="720"/>
      <w:outlineLvl w:val="6"/>
    </w:pPr>
    <w:rPr>
      <w:i/>
    </w:rPr>
  </w:style>
  <w:style w:type="paragraph" w:styleId="Heading8">
    <w:name w:val="heading 8"/>
    <w:basedOn w:val="Normal"/>
    <w:next w:val="Normal"/>
    <w:link w:val="Heading8Char"/>
    <w:qFormat/>
    <w:rsid w:val="00A23157"/>
    <w:pPr>
      <w:ind w:left="720"/>
      <w:outlineLvl w:val="7"/>
    </w:pPr>
    <w:rPr>
      <w:i/>
    </w:rPr>
  </w:style>
  <w:style w:type="paragraph" w:styleId="Heading9">
    <w:name w:val="heading 9"/>
    <w:basedOn w:val="Normal"/>
    <w:next w:val="Normal"/>
    <w:link w:val="Heading9Char"/>
    <w:qFormat/>
    <w:rsid w:val="00A23157"/>
    <w:pPr>
      <w:ind w:left="720"/>
      <w:outlineLvl w:val="8"/>
    </w:pPr>
    <w:rPr>
      <w:i/>
    </w:rPr>
  </w:style>
  <w:style w:type="character" w:default="1" w:styleId="DefaultParagraphFont">
    <w:name w:val="Default Paragraph Font"/>
    <w:uiPriority w:val="1"/>
    <w:unhideWhenUsed/>
    <w:rsid w:val="00A231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157"/>
  </w:style>
  <w:style w:type="character" w:customStyle="1" w:styleId="Heading1Char">
    <w:name w:val="Heading 1 Char"/>
    <w:basedOn w:val="DefaultParagraphFont"/>
    <w:link w:val="Heading1"/>
    <w:rsid w:val="00A23157"/>
    <w:rPr>
      <w:rFonts w:ascii="Times New Roman" w:eastAsia="Times New Roman" w:hAnsi="Times New Roman" w:cs="Times New Roman"/>
      <w:b/>
      <w:sz w:val="32"/>
      <w:szCs w:val="20"/>
      <w:lang w:eastAsia="en-US"/>
    </w:rPr>
  </w:style>
  <w:style w:type="paragraph" w:styleId="BodyText">
    <w:name w:val="Body Text"/>
    <w:basedOn w:val="Normal"/>
    <w:link w:val="BodyTextChar"/>
    <w:rsid w:val="00A231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3157"/>
    <w:rPr>
      <w:rFonts w:ascii="Times New Roman" w:eastAsia="Times New Roman" w:hAnsi="Times New Roman" w:cs="Times New Roman"/>
      <w:sz w:val="24"/>
      <w:lang w:eastAsia="en-US"/>
    </w:rPr>
  </w:style>
  <w:style w:type="paragraph" w:styleId="Footer">
    <w:name w:val="footer"/>
    <w:basedOn w:val="Normal"/>
    <w:link w:val="FooterChar"/>
    <w:rsid w:val="00A231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157"/>
    <w:rPr>
      <w:rFonts w:ascii="Times New Roman" w:eastAsia="Times New Roman" w:hAnsi="Times New Roman" w:cs="Times New Roman"/>
      <w:sz w:val="16"/>
      <w:lang w:eastAsia="en-US"/>
    </w:rPr>
  </w:style>
  <w:style w:type="paragraph" w:styleId="ListBullet">
    <w:name w:val="List Bullet"/>
    <w:basedOn w:val="List"/>
    <w:rsid w:val="00A23157"/>
    <w:pPr>
      <w:numPr>
        <w:numId w:val="13"/>
      </w:numPr>
      <w:tabs>
        <w:tab w:val="clear" w:pos="340"/>
      </w:tabs>
      <w:spacing w:before="40" w:after="40"/>
    </w:pPr>
  </w:style>
  <w:style w:type="character" w:customStyle="1" w:styleId="SpecialBold">
    <w:name w:val="Special Bold"/>
    <w:basedOn w:val="DefaultParagraphFont"/>
    <w:rsid w:val="00A23157"/>
    <w:rPr>
      <w:b/>
      <w:spacing w:val="0"/>
    </w:rPr>
  </w:style>
  <w:style w:type="paragraph" w:styleId="ListBullet2">
    <w:name w:val="List Bullet 2"/>
    <w:basedOn w:val="List2"/>
    <w:rsid w:val="00A23157"/>
    <w:pPr>
      <w:numPr>
        <w:numId w:val="14"/>
      </w:numPr>
      <w:tabs>
        <w:tab w:val="clear" w:pos="680"/>
      </w:tabs>
    </w:pPr>
  </w:style>
  <w:style w:type="paragraph" w:customStyle="1" w:styleId="SuperHeading">
    <w:name w:val="SuperHeading"/>
    <w:basedOn w:val="Normal"/>
    <w:rsid w:val="00A23157"/>
    <w:pPr>
      <w:spacing w:before="240" w:after="120"/>
      <w:outlineLvl w:val="0"/>
    </w:pPr>
    <w:rPr>
      <w:rFonts w:ascii="Times New Roman" w:hAnsi="Times New Roman"/>
      <w:b/>
      <w:sz w:val="28"/>
    </w:rPr>
  </w:style>
  <w:style w:type="paragraph" w:customStyle="1" w:styleId="AllowPageBreak">
    <w:name w:val="AllowPageBreak"/>
    <w:rsid w:val="00A231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31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1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1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1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1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1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31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3157"/>
    <w:rPr>
      <w:rFonts w:ascii="Courier New" w:eastAsia="Times New Roman" w:hAnsi="Courier New" w:cs="Times New Roman"/>
      <w:i/>
      <w:szCs w:val="20"/>
      <w:lang w:eastAsia="en-US"/>
    </w:rPr>
  </w:style>
  <w:style w:type="paragraph" w:customStyle="1" w:styleId="HeadingBase">
    <w:name w:val="Heading Base"/>
    <w:rsid w:val="00A231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157"/>
    <w:pPr>
      <w:tabs>
        <w:tab w:val="right" w:leader="dot" w:pos="9072"/>
      </w:tabs>
      <w:ind w:left="567"/>
    </w:pPr>
    <w:rPr>
      <w:szCs w:val="22"/>
    </w:rPr>
  </w:style>
  <w:style w:type="paragraph" w:customStyle="1" w:styleId="TOCBase">
    <w:name w:val="TOC Base"/>
    <w:rsid w:val="00A231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157"/>
    <w:pPr>
      <w:tabs>
        <w:tab w:val="right" w:leader="dot" w:pos="9072"/>
      </w:tabs>
      <w:spacing w:before="40" w:after="40"/>
      <w:ind w:left="284"/>
    </w:pPr>
    <w:rPr>
      <w:rFonts w:ascii="Times New Roman" w:hAnsi="Times New Roman"/>
    </w:rPr>
  </w:style>
  <w:style w:type="paragraph" w:styleId="TOC1">
    <w:name w:val="toc 1"/>
    <w:basedOn w:val="TOCBase"/>
    <w:next w:val="Normal"/>
    <w:rsid w:val="00A231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3157"/>
    <w:pPr>
      <w:spacing w:before="5040"/>
      <w:jc w:val="center"/>
    </w:pPr>
    <w:rPr>
      <w:sz w:val="48"/>
      <w:szCs w:val="72"/>
      <w:lang w:val="en-US"/>
    </w:rPr>
  </w:style>
  <w:style w:type="character" w:customStyle="1" w:styleId="TitleChar">
    <w:name w:val="Title Char"/>
    <w:basedOn w:val="DefaultParagraphFont"/>
    <w:link w:val="Title"/>
    <w:rsid w:val="00A231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157"/>
    <w:pPr>
      <w:tabs>
        <w:tab w:val="left" w:pos="3600"/>
        <w:tab w:val="left" w:pos="3958"/>
      </w:tabs>
    </w:pPr>
  </w:style>
  <w:style w:type="paragraph" w:styleId="List">
    <w:name w:val="List"/>
    <w:basedOn w:val="BodyText"/>
    <w:next w:val="BodyText"/>
    <w:rsid w:val="00A23157"/>
    <w:pPr>
      <w:tabs>
        <w:tab w:val="left" w:pos="340"/>
      </w:tabs>
      <w:spacing w:before="60" w:after="60"/>
      <w:ind w:left="340" w:hanging="340"/>
    </w:pPr>
  </w:style>
  <w:style w:type="paragraph" w:customStyle="1" w:styleId="Note">
    <w:name w:val="Note"/>
    <w:basedOn w:val="BodyText"/>
    <w:rsid w:val="00A231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3157"/>
    <w:pPr>
      <w:framePr w:wrap="auto" w:hAnchor="text" w:y="6049"/>
    </w:pPr>
    <w:rPr>
      <w:color w:val="000000"/>
      <w:sz w:val="40"/>
    </w:rPr>
  </w:style>
  <w:style w:type="paragraph" w:customStyle="1" w:styleId="TOCTitle">
    <w:name w:val="TOCTitle"/>
    <w:basedOn w:val="Heading1"/>
    <w:rsid w:val="00A23157"/>
    <w:pPr>
      <w:spacing w:after="240"/>
      <w:jc w:val="center"/>
      <w:outlineLvl w:val="9"/>
    </w:pPr>
    <w:rPr>
      <w:caps/>
    </w:rPr>
  </w:style>
  <w:style w:type="paragraph" w:customStyle="1" w:styleId="Version">
    <w:name w:val="Version"/>
    <w:rsid w:val="00A231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3157"/>
    <w:pPr>
      <w:keepNext w:val="0"/>
      <w:tabs>
        <w:tab w:val="right" w:pos="4176"/>
      </w:tabs>
      <w:ind w:left="198" w:hanging="198"/>
    </w:pPr>
    <w:rPr>
      <w:rFonts w:ascii="Garamond" w:hAnsi="Garamond"/>
    </w:rPr>
  </w:style>
  <w:style w:type="paragraph" w:styleId="IndexHeading">
    <w:name w:val="index heading"/>
    <w:basedOn w:val="Normal"/>
    <w:next w:val="Index1"/>
    <w:semiHidden/>
    <w:rsid w:val="00A23157"/>
    <w:pPr>
      <w:spacing w:before="120" w:after="120"/>
    </w:pPr>
    <w:rPr>
      <w:rFonts w:ascii="Arial" w:hAnsi="Arial"/>
      <w:b/>
      <w:color w:val="918585"/>
      <w:sz w:val="24"/>
    </w:rPr>
  </w:style>
  <w:style w:type="paragraph" w:styleId="Header">
    <w:name w:val="header"/>
    <w:basedOn w:val="Normal"/>
    <w:link w:val="HeaderChar"/>
    <w:rsid w:val="00A231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157"/>
    <w:rPr>
      <w:rFonts w:ascii="Times New Roman" w:eastAsia="Times New Roman" w:hAnsi="Times New Roman" w:cs="Times New Roman"/>
      <w:sz w:val="16"/>
      <w:szCs w:val="20"/>
      <w:lang w:val="en-GB" w:eastAsia="en-US"/>
    </w:rPr>
  </w:style>
  <w:style w:type="paragraph" w:customStyle="1" w:styleId="Chapter">
    <w:name w:val="Chapter"/>
    <w:basedOn w:val="Normal"/>
    <w:rsid w:val="00A23157"/>
    <w:pPr>
      <w:spacing w:before="240"/>
    </w:pPr>
    <w:rPr>
      <w:rFonts w:ascii="Times New Roman" w:hAnsi="Times New Roman"/>
      <w:smallCaps/>
      <w:spacing w:val="80"/>
      <w:sz w:val="28"/>
    </w:rPr>
  </w:style>
  <w:style w:type="paragraph" w:customStyle="1" w:styleId="InChapter">
    <w:name w:val="InChapter"/>
    <w:basedOn w:val="Heading3"/>
    <w:rsid w:val="00A23157"/>
    <w:pPr>
      <w:spacing w:after="240"/>
      <w:outlineLvl w:val="9"/>
    </w:pPr>
    <w:rPr>
      <w:noProof/>
    </w:rPr>
  </w:style>
  <w:style w:type="paragraph" w:styleId="Index2">
    <w:name w:val="index 2"/>
    <w:basedOn w:val="Normal"/>
    <w:next w:val="Normal"/>
    <w:semiHidden/>
    <w:rsid w:val="00A23157"/>
    <w:pPr>
      <w:tabs>
        <w:tab w:val="right" w:pos="4176"/>
      </w:tabs>
      <w:ind w:left="568" w:hanging="284"/>
    </w:pPr>
    <w:rPr>
      <w:rFonts w:ascii="Garamond" w:hAnsi="Garamond"/>
    </w:rPr>
  </w:style>
  <w:style w:type="paragraph" w:customStyle="1" w:styleId="Byline">
    <w:name w:val="Byline"/>
    <w:rsid w:val="00A231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157"/>
    <w:pPr>
      <w:tabs>
        <w:tab w:val="clear" w:pos="3600"/>
        <w:tab w:val="clear" w:pos="3958"/>
      </w:tabs>
      <w:jc w:val="right"/>
    </w:pPr>
  </w:style>
  <w:style w:type="character" w:styleId="Emphasis">
    <w:name w:val="Emphasis"/>
    <w:basedOn w:val="DefaultParagraphFont"/>
    <w:qFormat/>
    <w:rsid w:val="00A23157"/>
    <w:rPr>
      <w:i/>
    </w:rPr>
  </w:style>
  <w:style w:type="paragraph" w:styleId="Caption">
    <w:name w:val="caption"/>
    <w:basedOn w:val="BodyText"/>
    <w:next w:val="Normal"/>
    <w:qFormat/>
    <w:rsid w:val="00A23157"/>
    <w:pPr>
      <w:framePr w:w="2268" w:hSpace="181" w:vSpace="181" w:wrap="around" w:vAnchor="text" w:hAnchor="page" w:x="1135" w:y="285" w:anchorLock="1"/>
    </w:pPr>
    <w:rPr>
      <w:i/>
    </w:rPr>
  </w:style>
  <w:style w:type="paragraph" w:customStyle="1" w:styleId="MiniTOCTitle">
    <w:name w:val="MiniTOCTitle"/>
    <w:basedOn w:val="Heading4"/>
    <w:rsid w:val="00A23157"/>
    <w:pPr>
      <w:spacing w:before="240"/>
      <w:outlineLvl w:val="9"/>
    </w:pPr>
    <w:rPr>
      <w:noProof/>
      <w:sz w:val="24"/>
    </w:rPr>
  </w:style>
  <w:style w:type="paragraph" w:customStyle="1" w:styleId="MiniTOCItem">
    <w:name w:val="MiniTOCItem"/>
    <w:basedOn w:val="ListBullet"/>
    <w:rsid w:val="00A23157"/>
    <w:pPr>
      <w:numPr>
        <w:numId w:val="0"/>
      </w:numPr>
      <w:tabs>
        <w:tab w:val="right" w:leader="dot" w:pos="6521"/>
      </w:tabs>
      <w:spacing w:before="0" w:after="0"/>
    </w:pPr>
  </w:style>
  <w:style w:type="paragraph" w:customStyle="1" w:styleId="TOFTitle">
    <w:name w:val="TOFTitle"/>
    <w:basedOn w:val="TOCTitle"/>
    <w:rsid w:val="00A23157"/>
  </w:style>
  <w:style w:type="paragraph" w:styleId="TableofFigures">
    <w:name w:val="table of figures"/>
    <w:basedOn w:val="Normal"/>
    <w:next w:val="Normal"/>
    <w:semiHidden/>
    <w:rsid w:val="00A23157"/>
    <w:pPr>
      <w:tabs>
        <w:tab w:val="right" w:leader="dot" w:pos="9072"/>
      </w:tabs>
      <w:ind w:left="970" w:hanging="403"/>
    </w:pPr>
    <w:rPr>
      <w:rFonts w:ascii="Times New Roman" w:hAnsi="Times New Roman"/>
      <w:b/>
    </w:rPr>
  </w:style>
  <w:style w:type="paragraph" w:styleId="ListNumber">
    <w:name w:val="List Number"/>
    <w:basedOn w:val="List"/>
    <w:rsid w:val="00A23157"/>
    <w:pPr>
      <w:numPr>
        <w:numId w:val="11"/>
      </w:numPr>
    </w:pPr>
  </w:style>
  <w:style w:type="character" w:customStyle="1" w:styleId="WingdingSymbols">
    <w:name w:val="Wingding Symbols"/>
    <w:rsid w:val="00A23157"/>
    <w:rPr>
      <w:rFonts w:ascii="Wingdings" w:hAnsi="Wingdings"/>
    </w:rPr>
  </w:style>
  <w:style w:type="paragraph" w:customStyle="1" w:styleId="TableHeading">
    <w:name w:val="Table Heading"/>
    <w:basedOn w:val="HeadingBase"/>
    <w:rsid w:val="00A23157"/>
    <w:pPr>
      <w:keepLines/>
      <w:pBdr>
        <w:bottom w:val="single" w:sz="6" w:space="1" w:color="918585"/>
      </w:pBdr>
      <w:spacing w:before="240"/>
    </w:pPr>
  </w:style>
  <w:style w:type="character" w:customStyle="1" w:styleId="HotSpot">
    <w:name w:val="HotSpot"/>
    <w:rsid w:val="00A23157"/>
    <w:rPr>
      <w:color w:val="0033CC"/>
      <w:u w:val="none"/>
    </w:rPr>
  </w:style>
  <w:style w:type="paragraph" w:customStyle="1" w:styleId="BodyTextRight">
    <w:name w:val="Body Text Right"/>
    <w:basedOn w:val="BodyText"/>
    <w:rsid w:val="00A23157"/>
    <w:pPr>
      <w:spacing w:before="0" w:after="0"/>
      <w:jc w:val="right"/>
    </w:pPr>
  </w:style>
  <w:style w:type="paragraph" w:styleId="Index3">
    <w:name w:val="index 3"/>
    <w:basedOn w:val="ListNumber2"/>
    <w:next w:val="Normal"/>
    <w:semiHidden/>
    <w:rsid w:val="00A23157"/>
    <w:pPr>
      <w:numPr>
        <w:numId w:val="0"/>
      </w:numPr>
      <w:tabs>
        <w:tab w:val="right" w:leader="dot" w:pos="4176"/>
      </w:tabs>
    </w:pPr>
  </w:style>
  <w:style w:type="paragraph" w:styleId="ListNumber2">
    <w:name w:val="List Number 2"/>
    <w:basedOn w:val="List2"/>
    <w:rsid w:val="00A23157"/>
    <w:pPr>
      <w:numPr>
        <w:numId w:val="10"/>
      </w:numPr>
      <w:tabs>
        <w:tab w:val="clear" w:pos="1060"/>
      </w:tabs>
    </w:pPr>
  </w:style>
  <w:style w:type="paragraph" w:customStyle="1" w:styleId="MarginNote">
    <w:name w:val="Margin Note"/>
    <w:basedOn w:val="BodyText"/>
    <w:rsid w:val="00A231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1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1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3157"/>
    <w:rPr>
      <w:sz w:val="32"/>
    </w:rPr>
  </w:style>
  <w:style w:type="paragraph" w:customStyle="1" w:styleId="HeadingProcedure">
    <w:name w:val="Heading Procedure"/>
    <w:basedOn w:val="HeadingBase"/>
    <w:next w:val="Normal"/>
    <w:rsid w:val="00A23157"/>
    <w:pPr>
      <w:tabs>
        <w:tab w:val="left" w:pos="0"/>
      </w:tabs>
      <w:spacing w:before="120" w:after="60"/>
    </w:pPr>
    <w:rPr>
      <w:i/>
      <w:color w:val="918585"/>
      <w:sz w:val="22"/>
    </w:rPr>
  </w:style>
  <w:style w:type="paragraph" w:customStyle="1" w:styleId="TableBodyText">
    <w:name w:val="Table Body Text"/>
    <w:basedOn w:val="BodyText"/>
    <w:rsid w:val="00A23157"/>
    <w:pPr>
      <w:spacing w:before="60" w:after="60"/>
    </w:pPr>
  </w:style>
  <w:style w:type="paragraph" w:styleId="ListContinue">
    <w:name w:val="List Continue"/>
    <w:basedOn w:val="List"/>
    <w:rsid w:val="00A23157"/>
    <w:pPr>
      <w:ind w:firstLine="0"/>
    </w:pPr>
  </w:style>
  <w:style w:type="paragraph" w:customStyle="1" w:styleId="ListNote">
    <w:name w:val="List Note"/>
    <w:basedOn w:val="List"/>
    <w:rsid w:val="00A23157"/>
    <w:pPr>
      <w:pBdr>
        <w:top w:val="single" w:sz="6" w:space="2" w:color="918585"/>
        <w:bottom w:val="single" w:sz="6" w:space="2" w:color="918585"/>
      </w:pBdr>
      <w:tabs>
        <w:tab w:val="left" w:pos="1021"/>
      </w:tabs>
      <w:ind w:firstLine="0"/>
    </w:pPr>
  </w:style>
  <w:style w:type="paragraph" w:customStyle="1" w:styleId="Warning">
    <w:name w:val="Warning"/>
    <w:basedOn w:val="BodyText"/>
    <w:rsid w:val="00A23157"/>
    <w:pPr>
      <w:shd w:val="clear" w:color="auto" w:fill="D9D9D9"/>
      <w:tabs>
        <w:tab w:val="left" w:pos="992"/>
      </w:tabs>
      <w:ind w:left="119" w:right="119"/>
    </w:pPr>
    <w:rPr>
      <w:sz w:val="20"/>
    </w:rPr>
  </w:style>
  <w:style w:type="paragraph" w:customStyle="1" w:styleId="MarginIcons">
    <w:name w:val="Margin Icons"/>
    <w:basedOn w:val="BodyText"/>
    <w:rsid w:val="00A231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157"/>
    <w:rPr>
      <w:rFonts w:ascii="Courier New" w:hAnsi="Courier New"/>
    </w:rPr>
  </w:style>
  <w:style w:type="paragraph" w:customStyle="1" w:styleId="NoteBullet">
    <w:name w:val="Note Bullet"/>
    <w:basedOn w:val="Note"/>
    <w:rsid w:val="00A23157"/>
    <w:pPr>
      <w:tabs>
        <w:tab w:val="clear" w:pos="680"/>
      </w:tabs>
      <w:spacing w:before="60" w:after="60"/>
    </w:pPr>
  </w:style>
  <w:style w:type="paragraph" w:customStyle="1" w:styleId="SubHeading2">
    <w:name w:val="SubHeading2"/>
    <w:basedOn w:val="HeadingBase"/>
    <w:rsid w:val="00A23157"/>
    <w:pPr>
      <w:spacing w:before="240" w:after="60"/>
    </w:pPr>
    <w:rPr>
      <w:sz w:val="20"/>
    </w:rPr>
  </w:style>
  <w:style w:type="paragraph" w:customStyle="1" w:styleId="SubHeading1">
    <w:name w:val="SubHeading1"/>
    <w:basedOn w:val="HeadingBase"/>
    <w:rsid w:val="00A23157"/>
    <w:pPr>
      <w:spacing w:before="240" w:after="60"/>
    </w:pPr>
    <w:rPr>
      <w:color w:val="918585"/>
      <w:sz w:val="22"/>
    </w:rPr>
  </w:style>
  <w:style w:type="paragraph" w:customStyle="1" w:styleId="SideHeading">
    <w:name w:val="Side Heading"/>
    <w:basedOn w:val="HeadingBase"/>
    <w:rsid w:val="00A231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157"/>
    <w:pPr>
      <w:numPr>
        <w:numId w:val="12"/>
      </w:numPr>
    </w:pPr>
  </w:style>
  <w:style w:type="paragraph" w:styleId="PlainText">
    <w:name w:val="Plain Text"/>
    <w:basedOn w:val="Normal"/>
    <w:link w:val="PlainTextChar"/>
    <w:rsid w:val="00A23157"/>
    <w:rPr>
      <w:sz w:val="20"/>
    </w:rPr>
  </w:style>
  <w:style w:type="character" w:customStyle="1" w:styleId="PlainTextChar">
    <w:name w:val="Plain Text Char"/>
    <w:basedOn w:val="DefaultParagraphFont"/>
    <w:link w:val="PlainText"/>
    <w:rsid w:val="00A23157"/>
    <w:rPr>
      <w:rFonts w:ascii="Courier New" w:eastAsia="Times New Roman" w:hAnsi="Courier New" w:cs="Times New Roman"/>
      <w:sz w:val="20"/>
      <w:szCs w:val="20"/>
      <w:lang w:eastAsia="en-US"/>
    </w:rPr>
  </w:style>
  <w:style w:type="character" w:customStyle="1" w:styleId="MenuOption">
    <w:name w:val="Menu Option"/>
    <w:basedOn w:val="DefaultParagraphFont"/>
    <w:rsid w:val="00A23157"/>
    <w:rPr>
      <w:b/>
      <w:smallCaps/>
    </w:rPr>
  </w:style>
  <w:style w:type="paragraph" w:customStyle="1" w:styleId="TableListNumber">
    <w:name w:val="Table List Number"/>
    <w:basedOn w:val="ListNumber"/>
    <w:rsid w:val="00A23157"/>
    <w:pPr>
      <w:numPr>
        <w:numId w:val="0"/>
      </w:numPr>
    </w:pPr>
  </w:style>
  <w:style w:type="paragraph" w:styleId="TOC4">
    <w:name w:val="toc 4"/>
    <w:basedOn w:val="TOCBase"/>
    <w:next w:val="Normal"/>
    <w:semiHidden/>
    <w:rsid w:val="00A23157"/>
    <w:pPr>
      <w:tabs>
        <w:tab w:val="right" w:leader="dot" w:pos="9071"/>
      </w:tabs>
      <w:ind w:left="1701"/>
    </w:pPr>
  </w:style>
  <w:style w:type="paragraph" w:customStyle="1" w:styleId="ListAlpha">
    <w:name w:val="List Alpha"/>
    <w:basedOn w:val="List"/>
    <w:rsid w:val="00A23157"/>
    <w:pPr>
      <w:numPr>
        <w:numId w:val="9"/>
      </w:numPr>
    </w:pPr>
  </w:style>
  <w:style w:type="paragraph" w:customStyle="1" w:styleId="ListAlpha2">
    <w:name w:val="List Alpha 2"/>
    <w:basedOn w:val="List2"/>
    <w:rsid w:val="00A23157"/>
    <w:pPr>
      <w:numPr>
        <w:numId w:val="8"/>
      </w:numPr>
    </w:pPr>
  </w:style>
  <w:style w:type="paragraph" w:styleId="List2">
    <w:name w:val="List 2"/>
    <w:basedOn w:val="BodyText"/>
    <w:rsid w:val="00A23157"/>
    <w:pPr>
      <w:tabs>
        <w:tab w:val="left" w:pos="680"/>
      </w:tabs>
      <w:spacing w:before="60" w:after="60"/>
      <w:ind w:left="680" w:hanging="340"/>
    </w:pPr>
  </w:style>
  <w:style w:type="paragraph" w:styleId="List3">
    <w:name w:val="List 3"/>
    <w:basedOn w:val="BodyText"/>
    <w:rsid w:val="00A23157"/>
    <w:pPr>
      <w:tabs>
        <w:tab w:val="left" w:pos="1021"/>
      </w:tabs>
      <w:spacing w:before="60" w:after="60"/>
      <w:ind w:left="1020" w:hanging="340"/>
    </w:pPr>
  </w:style>
  <w:style w:type="paragraph" w:styleId="List4">
    <w:name w:val="List 4"/>
    <w:basedOn w:val="BodyText"/>
    <w:rsid w:val="00A23157"/>
    <w:pPr>
      <w:tabs>
        <w:tab w:val="left" w:pos="1361"/>
      </w:tabs>
      <w:spacing w:before="60" w:after="60"/>
      <w:ind w:left="1361" w:hanging="340"/>
    </w:pPr>
  </w:style>
  <w:style w:type="paragraph" w:styleId="List5">
    <w:name w:val="List 5"/>
    <w:basedOn w:val="BodyText"/>
    <w:rsid w:val="00A23157"/>
    <w:pPr>
      <w:tabs>
        <w:tab w:val="left" w:pos="1701"/>
      </w:tabs>
      <w:spacing w:before="60" w:after="60"/>
      <w:ind w:left="1701" w:hanging="340"/>
    </w:pPr>
  </w:style>
  <w:style w:type="paragraph" w:styleId="ListBullet3">
    <w:name w:val="List Bullet 3"/>
    <w:basedOn w:val="List3"/>
    <w:rsid w:val="00A23157"/>
    <w:pPr>
      <w:numPr>
        <w:numId w:val="15"/>
      </w:numPr>
      <w:tabs>
        <w:tab w:val="clear" w:pos="1021"/>
      </w:tabs>
      <w:ind w:left="1037" w:hanging="357"/>
    </w:pPr>
  </w:style>
  <w:style w:type="paragraph" w:styleId="ListBullet4">
    <w:name w:val="List Bullet 4"/>
    <w:basedOn w:val="List4"/>
    <w:rsid w:val="00A23157"/>
    <w:pPr>
      <w:numPr>
        <w:numId w:val="3"/>
      </w:numPr>
    </w:pPr>
  </w:style>
  <w:style w:type="paragraph" w:styleId="ListBullet5">
    <w:name w:val="List Bullet 5"/>
    <w:basedOn w:val="List5"/>
    <w:rsid w:val="00A23157"/>
    <w:pPr>
      <w:numPr>
        <w:numId w:val="4"/>
      </w:numPr>
    </w:pPr>
  </w:style>
  <w:style w:type="paragraph" w:styleId="ListContinue2">
    <w:name w:val="List Continue 2"/>
    <w:basedOn w:val="List2"/>
    <w:rsid w:val="00A23157"/>
    <w:pPr>
      <w:ind w:firstLine="0"/>
    </w:pPr>
  </w:style>
  <w:style w:type="paragraph" w:styleId="ListContinue3">
    <w:name w:val="List Continue 3"/>
    <w:basedOn w:val="List3"/>
    <w:rsid w:val="00A23157"/>
    <w:pPr>
      <w:ind w:left="1021" w:firstLine="0"/>
    </w:pPr>
  </w:style>
  <w:style w:type="paragraph" w:styleId="ListContinue4">
    <w:name w:val="List Continue 4"/>
    <w:basedOn w:val="List4"/>
    <w:rsid w:val="00A23157"/>
    <w:pPr>
      <w:ind w:firstLine="0"/>
    </w:pPr>
  </w:style>
  <w:style w:type="paragraph" w:styleId="ListContinue5">
    <w:name w:val="List Continue 5"/>
    <w:basedOn w:val="List5"/>
    <w:rsid w:val="00A23157"/>
    <w:pPr>
      <w:ind w:firstLine="0"/>
    </w:pPr>
  </w:style>
  <w:style w:type="paragraph" w:styleId="ListNumber3">
    <w:name w:val="List Number 3"/>
    <w:basedOn w:val="List3"/>
    <w:rsid w:val="00A23157"/>
    <w:pPr>
      <w:numPr>
        <w:numId w:val="5"/>
      </w:numPr>
    </w:pPr>
  </w:style>
  <w:style w:type="paragraph" w:styleId="ListNumber4">
    <w:name w:val="List Number 4"/>
    <w:basedOn w:val="List4"/>
    <w:rsid w:val="00A23157"/>
    <w:pPr>
      <w:numPr>
        <w:numId w:val="6"/>
      </w:numPr>
    </w:pPr>
  </w:style>
  <w:style w:type="paragraph" w:styleId="ListNumber5">
    <w:name w:val="List Number 5"/>
    <w:basedOn w:val="List5"/>
    <w:rsid w:val="00A23157"/>
    <w:pPr>
      <w:numPr>
        <w:numId w:val="7"/>
      </w:numPr>
    </w:pPr>
  </w:style>
  <w:style w:type="paragraph" w:styleId="BlockText">
    <w:name w:val="Block Text"/>
    <w:basedOn w:val="Normal"/>
    <w:rsid w:val="00A23157"/>
    <w:pPr>
      <w:spacing w:after="120"/>
      <w:ind w:left="1440" w:right="1440"/>
    </w:pPr>
  </w:style>
  <w:style w:type="character" w:customStyle="1" w:styleId="Subscript">
    <w:name w:val="Subscript"/>
    <w:basedOn w:val="DefaultParagraphFont"/>
    <w:rsid w:val="00A23157"/>
    <w:rPr>
      <w:sz w:val="16"/>
      <w:vertAlign w:val="subscript"/>
    </w:rPr>
  </w:style>
  <w:style w:type="character" w:customStyle="1" w:styleId="Superscript">
    <w:name w:val="Superscript"/>
    <w:basedOn w:val="DefaultParagraphFont"/>
    <w:rsid w:val="00A23157"/>
    <w:rPr>
      <w:sz w:val="16"/>
      <w:vertAlign w:val="superscript"/>
    </w:rPr>
  </w:style>
  <w:style w:type="character" w:customStyle="1" w:styleId="Symbols">
    <w:name w:val="Symbols"/>
    <w:basedOn w:val="DefaultParagraphFont"/>
    <w:rsid w:val="00A23157"/>
    <w:rPr>
      <w:rFonts w:ascii="Symbol" w:hAnsi="Symbol"/>
    </w:rPr>
  </w:style>
  <w:style w:type="character" w:customStyle="1" w:styleId="MenuOptions">
    <w:name w:val="Menu Options"/>
    <w:basedOn w:val="DefaultParagraphFont"/>
    <w:rsid w:val="00A23157"/>
    <w:rPr>
      <w:rFonts w:ascii="Arial Narrow" w:hAnsi="Arial Narrow"/>
      <w:smallCaps/>
    </w:rPr>
  </w:style>
  <w:style w:type="character" w:customStyle="1" w:styleId="Buttons">
    <w:name w:val="Buttons"/>
    <w:basedOn w:val="DefaultParagraphFont"/>
    <w:rsid w:val="00A23157"/>
    <w:rPr>
      <w:b/>
    </w:rPr>
  </w:style>
  <w:style w:type="character" w:customStyle="1" w:styleId="Underlined">
    <w:name w:val="Underlined"/>
    <w:basedOn w:val="DefaultParagraphFont"/>
    <w:rsid w:val="00A23157"/>
    <w:rPr>
      <w:u w:val="single"/>
    </w:rPr>
  </w:style>
  <w:style w:type="paragraph" w:customStyle="1" w:styleId="TableBodyTextRight">
    <w:name w:val="Table Body Text Right"/>
    <w:basedOn w:val="TableBodyText"/>
    <w:rsid w:val="00A23157"/>
    <w:pPr>
      <w:widowControl w:val="0"/>
      <w:autoSpaceDE w:val="0"/>
      <w:autoSpaceDN w:val="0"/>
      <w:adjustRightInd w:val="0"/>
      <w:jc w:val="right"/>
    </w:pPr>
    <w:rPr>
      <w:rFonts w:cs="Arial"/>
      <w:szCs w:val="18"/>
    </w:rPr>
  </w:style>
  <w:style w:type="paragraph" w:customStyle="1" w:styleId="CopyrightText">
    <w:name w:val="Copyright Text"/>
    <w:basedOn w:val="BodyText"/>
    <w:rsid w:val="00A23157"/>
    <w:rPr>
      <w:sz w:val="18"/>
    </w:rPr>
  </w:style>
  <w:style w:type="paragraph" w:customStyle="1" w:styleId="BodySmallRight">
    <w:name w:val="Body Small Right"/>
    <w:basedOn w:val="BodyTextRight"/>
    <w:rsid w:val="00A23157"/>
    <w:rPr>
      <w:sz w:val="18"/>
      <w:szCs w:val="18"/>
    </w:rPr>
  </w:style>
  <w:style w:type="paragraph" w:customStyle="1" w:styleId="MarginEdition">
    <w:name w:val="Margin Edition"/>
    <w:basedOn w:val="MarginNote"/>
    <w:rsid w:val="00A23157"/>
    <w:pPr>
      <w:spacing w:before="0" w:after="0"/>
    </w:pPr>
    <w:rPr>
      <w:rFonts w:ascii="Times New Roman" w:hAnsi="Times New Roman"/>
      <w:color w:val="999999"/>
    </w:rPr>
  </w:style>
  <w:style w:type="paragraph" w:customStyle="1" w:styleId="Spacer">
    <w:name w:val="Spacer"/>
    <w:basedOn w:val="Normal"/>
    <w:rsid w:val="00A23157"/>
    <w:rPr>
      <w:sz w:val="2"/>
      <w:szCs w:val="2"/>
    </w:rPr>
  </w:style>
  <w:style w:type="character" w:customStyle="1" w:styleId="Small">
    <w:name w:val="Small"/>
    <w:basedOn w:val="DefaultParagraphFont"/>
    <w:rsid w:val="00A23157"/>
    <w:rPr>
      <w:sz w:val="16"/>
    </w:rPr>
  </w:style>
  <w:style w:type="paragraph" w:customStyle="1" w:styleId="WideTable">
    <w:name w:val="Wide Table"/>
    <w:basedOn w:val="Normal"/>
    <w:rsid w:val="00A23157"/>
    <w:pPr>
      <w:ind w:left="-1418"/>
    </w:pPr>
    <w:rPr>
      <w:sz w:val="2"/>
      <w:szCs w:val="2"/>
    </w:rPr>
  </w:style>
  <w:style w:type="character" w:styleId="PageNumber">
    <w:name w:val="page number"/>
    <w:basedOn w:val="DefaultParagraphFont"/>
    <w:rsid w:val="00A23157"/>
  </w:style>
  <w:style w:type="paragraph" w:styleId="Quote">
    <w:name w:val="Quote"/>
    <w:basedOn w:val="Heading1"/>
    <w:link w:val="QuoteChar"/>
    <w:qFormat/>
    <w:rsid w:val="00A23157"/>
    <w:rPr>
      <w:b w:val="0"/>
      <w:sz w:val="72"/>
      <w:szCs w:val="72"/>
      <w:lang w:val="en-NZ"/>
    </w:rPr>
  </w:style>
  <w:style w:type="character" w:customStyle="1" w:styleId="QuoteChar">
    <w:name w:val="Quote Char"/>
    <w:basedOn w:val="DefaultParagraphFont"/>
    <w:link w:val="Quote"/>
    <w:rsid w:val="00A231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157"/>
    <w:pPr>
      <w:pageBreakBefore/>
    </w:pPr>
  </w:style>
  <w:style w:type="paragraph" w:customStyle="1" w:styleId="Border">
    <w:name w:val="Border"/>
    <w:basedOn w:val="Normal"/>
    <w:qFormat/>
    <w:rsid w:val="00A231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157"/>
    <w:rPr>
      <w:b/>
      <w:bCs/>
      <w:i/>
      <w:iCs/>
      <w:color w:val="auto"/>
    </w:rPr>
  </w:style>
  <w:style w:type="paragraph" w:styleId="IntenseQuote">
    <w:name w:val="Intense Quote"/>
    <w:basedOn w:val="Normal"/>
    <w:next w:val="Normal"/>
    <w:link w:val="IntenseQuoteChar"/>
    <w:uiPriority w:val="30"/>
    <w:qFormat/>
    <w:rsid w:val="00A231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1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3157"/>
    <w:rPr>
      <w:smallCaps/>
      <w:color w:val="auto"/>
      <w:u w:val="single"/>
    </w:rPr>
  </w:style>
  <w:style w:type="character" w:styleId="IntenseReference">
    <w:name w:val="Intense Reference"/>
    <w:basedOn w:val="DefaultParagraphFont"/>
    <w:uiPriority w:val="32"/>
    <w:qFormat/>
    <w:rsid w:val="00A23157"/>
    <w:rPr>
      <w:b/>
      <w:bCs/>
      <w:smallCaps/>
      <w:color w:val="auto"/>
      <w:spacing w:val="5"/>
      <w:u w:val="single"/>
    </w:rPr>
  </w:style>
  <w:style w:type="paragraph" w:customStyle="1" w:styleId="2ColumnHeading">
    <w:name w:val="2Column Heading"/>
    <w:basedOn w:val="BodyText"/>
    <w:qFormat/>
    <w:rsid w:val="00A23157"/>
    <w:pPr>
      <w:spacing w:after="60"/>
      <w:ind w:left="-2268"/>
    </w:pPr>
    <w:rPr>
      <w:b/>
    </w:rPr>
  </w:style>
  <w:style w:type="paragraph" w:customStyle="1" w:styleId="Heading1TOC">
    <w:name w:val="Heading1 TOC"/>
    <w:basedOn w:val="Normal"/>
    <w:qFormat/>
    <w:rsid w:val="00A23157"/>
    <w:pPr>
      <w:spacing w:before="240" w:after="120"/>
    </w:pPr>
    <w:rPr>
      <w:rFonts w:ascii="Times New Roman" w:hAnsi="Times New Roman"/>
      <w:b/>
      <w:sz w:val="32"/>
    </w:rPr>
  </w:style>
  <w:style w:type="paragraph" w:customStyle="1" w:styleId="Heading2TOC">
    <w:name w:val="Heading2 TOC"/>
    <w:basedOn w:val="Normal"/>
    <w:qFormat/>
    <w:rsid w:val="00A23157"/>
    <w:pPr>
      <w:spacing w:before="240" w:after="60"/>
    </w:pPr>
    <w:rPr>
      <w:rFonts w:ascii="Times New Roman" w:hAnsi="Times New Roman"/>
      <w:b/>
      <w:sz w:val="28"/>
    </w:rPr>
  </w:style>
  <w:style w:type="character" w:customStyle="1" w:styleId="Underline">
    <w:name w:val="Underline"/>
    <w:basedOn w:val="DefaultParagraphFont"/>
    <w:qFormat/>
    <w:rsid w:val="00A23157"/>
    <w:rPr>
      <w:u w:val="single"/>
    </w:rPr>
  </w:style>
  <w:style w:type="character" w:customStyle="1" w:styleId="BoldandItalics">
    <w:name w:val="Bold and Italics"/>
    <w:qFormat/>
    <w:rsid w:val="00A23157"/>
    <w:rPr>
      <w:b/>
      <w:i/>
      <w:u w:val="none"/>
    </w:rPr>
  </w:style>
  <w:style w:type="paragraph" w:styleId="BalloonText">
    <w:name w:val="Balloon Text"/>
    <w:basedOn w:val="Normal"/>
    <w:link w:val="BalloonTextChar"/>
    <w:rsid w:val="00A23157"/>
    <w:rPr>
      <w:rFonts w:ascii="Tahoma" w:hAnsi="Tahoma" w:cs="Tahoma"/>
      <w:sz w:val="16"/>
      <w:szCs w:val="16"/>
    </w:rPr>
  </w:style>
  <w:style w:type="character" w:customStyle="1" w:styleId="BalloonTextChar">
    <w:name w:val="Balloon Text Char"/>
    <w:basedOn w:val="DefaultParagraphFont"/>
    <w:link w:val="BalloonText"/>
    <w:rsid w:val="00A231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31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31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3157"/>
    <w:rPr>
      <w:b/>
      <w:color w:val="660033"/>
      <w:spacing w:val="0"/>
    </w:rPr>
  </w:style>
  <w:style w:type="paragraph" w:customStyle="1" w:styleId="Nameditemlist">
    <w:name w:val="Named item list"/>
    <w:basedOn w:val="BodyText"/>
    <w:qFormat/>
    <w:rsid w:val="00A231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1672</Words>
  <Characters>10909</Characters>
  <Application>Microsoft Office Word</Application>
  <DocSecurity>0</DocSecurity>
  <Lines>445</Lines>
  <Paragraphs>246</Paragraphs>
  <ScaleCrop>false</ScaleCrop>
  <Company>Author-it Software Corporation Ltd.</Company>
  <LinksUpToDate>false</LinksUpToDate>
  <CharactersWithSpaces>12473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MEM09206A Produce drawings for mechanical services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2012-07-02T02:24:00Z</dcterms:created>
  <dcterms:modified xsi:type="dcterms:W3CDTF">2012-07-02T02:25:00Z</dcterms:modified>
</cp:coreProperties>
</file>