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DF3" w:rsidP="00D60DF3">
      <w:pPr>
        <w:pStyle w:val="Title"/>
      </w:pPr>
      <w:bookmarkStart w:id="0" w:name="_GoBack"/>
      <w:bookmarkEnd w:id="0"/>
      <w:r>
        <w:fldChar w:fldCharType="begin"/>
      </w:r>
      <w:r>
        <w:instrText xml:space="preserve"> TITLE   \* MERGEFORMAT </w:instrText>
      </w:r>
      <w:r>
        <w:fldChar w:fldCharType="separate"/>
      </w:r>
      <w:r>
        <w:t>MEM09203A Measure and sketch site information</w:t>
      </w:r>
      <w:r>
        <w:fldChar w:fldCharType="end"/>
      </w:r>
    </w:p>
    <w:p w:rsidR="00D60DF3" w:rsidP="00D60DF3">
      <w:pPr>
        <w:pStyle w:val="Version"/>
        <w:sectPr w:rsidSect="00DE0B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0B51" w:rsidP="00DE0B51">
      <w:pPr>
        <w:pStyle w:val="SuperHeading"/>
      </w:pPr>
      <w:r w:rsidRPr="00DE0B51">
        <w:t>MEM09203A Measure and sketch site information</w:t>
      </w:r>
    </w:p>
    <w:p w:rsidR="00000000" w:rsidRPr="00DE0B51" w:rsidP="00DE0B51">
      <w:pPr>
        <w:pStyle w:val="Heading1"/>
      </w:pPr>
      <w:bookmarkStart w:id="1" w:name="O_476717"/>
      <w:bookmarkEnd w:id="1"/>
      <w:r w:rsidRPr="00DE0B51">
        <w:t>Modification History</w:t>
      </w:r>
    </w:p>
    <w:p w:rsidR="00000000" w:rsidRPr="00DE0B51" w:rsidP="00DE0B51">
      <w:pPr>
        <w:pStyle w:val="BodyText"/>
      </w:pPr>
      <w:r w:rsidRPr="00DE0B51">
        <w:t>Release 1 - New unit of competency</w:t>
      </w:r>
    </w:p>
    <w:p w:rsidR="00000000" w:rsidRPr="00DE0B51" w:rsidP="00DE0B51">
      <w:pPr>
        <w:pStyle w:val="AllowPageBreak"/>
      </w:pPr>
    </w:p>
    <w:p w:rsidR="00000000" w:rsidRPr="00DE0B51" w:rsidP="00DE0B51">
      <w:pPr>
        <w:pStyle w:val="Heading1"/>
      </w:pPr>
      <w:bookmarkStart w:id="2" w:name="O_476718"/>
      <w:bookmarkEnd w:id="2"/>
      <w:r w:rsidRPr="00DE0B51">
        <w:t>Unit Descriptor</w:t>
      </w:r>
    </w:p>
    <w:p w:rsidR="00000000" w:rsidRPr="00DE0B51" w:rsidP="00DE0B51">
      <w:pPr>
        <w:pStyle w:val="BodyText"/>
      </w:pPr>
      <w:r w:rsidRPr="00DE0B51">
        <w:t>This unit of competency covers the skills and knowledge required to take measurements and colle</w:t>
      </w:r>
      <w:r w:rsidRPr="00DE0B51">
        <w:t>ct and record all relevant information from a site for the purpose of directing drafting work.</w:t>
      </w:r>
    </w:p>
    <w:p w:rsidR="00000000" w:rsidRPr="00DE0B51" w:rsidP="00DE0B51">
      <w:pPr>
        <w:pStyle w:val="AllowPageBreak"/>
      </w:pPr>
    </w:p>
    <w:p w:rsidR="00000000" w:rsidRPr="00DE0B51" w:rsidP="00DE0B51">
      <w:pPr>
        <w:pStyle w:val="Heading1"/>
      </w:pPr>
      <w:bookmarkStart w:id="3" w:name="O_476719"/>
      <w:bookmarkEnd w:id="3"/>
      <w:r w:rsidRPr="00DE0B51">
        <w:t>Application of the Unit</w:t>
      </w:r>
    </w:p>
    <w:p w:rsidR="00000000" w:rsidRPr="00DE0B51" w:rsidP="00DE0B51">
      <w:pPr>
        <w:pStyle w:val="BodyText"/>
      </w:pPr>
      <w:r w:rsidRPr="00DE0B51">
        <w:t>This unit is suitable for those working within a computer-aided design (CAD) or drafting work environment. It includes p</w:t>
      </w:r>
      <w:r w:rsidRPr="00DE0B51">
        <w:t xml:space="preserve">reparation of a freehand sketch that details a range of relevant information to be used in detailed drawings or design work. It also covers taking accurate measurements using compass and straight edge and applying geometric construction methods. </w:t>
      </w:r>
    </w:p>
    <w:p w:rsidR="00000000" w:rsidRPr="00DE0B51" w:rsidP="00DE0B51">
      <w:pPr>
        <w:pStyle w:val="BodyText"/>
      </w:pPr>
      <w:r w:rsidRPr="00DE0B51">
        <w:t>If work r</w:t>
      </w:r>
      <w:r w:rsidRPr="00DE0B51">
        <w:t>equires entering a construction worksite, then the unit CPCOHS1001A Work safely in the construction industry should also be completed beforehand.</w:t>
      </w:r>
    </w:p>
    <w:p w:rsidR="00000000" w:rsidRPr="00DE0B51" w:rsidP="00DE0B51">
      <w:pPr>
        <w:pStyle w:val="AllowPageBreak"/>
      </w:pPr>
    </w:p>
    <w:p w:rsidR="00000000" w:rsidRPr="00DE0B51" w:rsidP="00DE0B51">
      <w:pPr>
        <w:pStyle w:val="Heading1"/>
      </w:pPr>
      <w:bookmarkStart w:id="4" w:name="O_476720"/>
      <w:bookmarkEnd w:id="4"/>
      <w:r w:rsidRPr="00DE0B51">
        <w:t>Licensing/Regulatory Information</w:t>
      </w:r>
    </w:p>
    <w:p w:rsidR="00000000" w:rsidRPr="00DE0B51" w:rsidP="00DE0B51">
      <w:pPr>
        <w:pStyle w:val="BodyText"/>
      </w:pPr>
      <w:r w:rsidRPr="00DE0B51">
        <w:t>No licensing, legislative, regulatory or certification requi</w:t>
      </w:r>
      <w:r w:rsidRPr="00DE0B51">
        <w:t>rements apply to this unit at the time of publication.</w:t>
      </w:r>
    </w:p>
    <w:p w:rsidR="00000000" w:rsidRPr="00DE0B51" w:rsidP="00DE0B51">
      <w:pPr>
        <w:pStyle w:val="AllowPageBreak"/>
      </w:pPr>
    </w:p>
    <w:p w:rsidR="00000000" w:rsidRPr="00DE0B51" w:rsidP="00DE0B51">
      <w:pPr>
        <w:pStyle w:val="Heading1"/>
      </w:pPr>
      <w:bookmarkStart w:id="5" w:name="O_476721"/>
      <w:bookmarkEnd w:id="5"/>
      <w:r w:rsidRPr="00DE0B51">
        <w:t>Pre-Requisites</w:t>
      </w:r>
    </w:p>
    <w:p w:rsidR="00000000" w:rsidRPr="00DE0B51" w:rsidP="00DE0B51">
      <w:pPr>
        <w:pStyle w:val="BodyText"/>
      </w:pPr>
      <w:r w:rsidRPr="00DE0B51">
        <w:t>Not applicable.</w:t>
      </w:r>
    </w:p>
    <w:p w:rsidR="00000000" w:rsidRPr="00DE0B51" w:rsidP="00DE0B51">
      <w:pPr>
        <w:pStyle w:val="AllowPageBreak"/>
      </w:pPr>
    </w:p>
    <w:p w:rsidR="00000000" w:rsidRPr="00DE0B51" w:rsidP="00DE0B51">
      <w:pPr>
        <w:pStyle w:val="Heading1"/>
      </w:pPr>
      <w:bookmarkStart w:id="6" w:name="O_476722"/>
      <w:bookmarkEnd w:id="6"/>
      <w:r w:rsidRPr="00DE0B51">
        <w:t>Employability Skills Information</w:t>
      </w:r>
    </w:p>
    <w:p w:rsidR="00000000" w:rsidRPr="00DE0B51" w:rsidP="00DE0B51">
      <w:pPr>
        <w:pStyle w:val="BodyText"/>
      </w:pPr>
      <w:r w:rsidRPr="00DE0B51">
        <w:t>This unit contains employability skills</w:t>
      </w:r>
    </w:p>
    <w:p w:rsidR="00000000" w:rsidRPr="00DE0B51" w:rsidP="00DE0B51">
      <w:pPr>
        <w:pStyle w:val="AllowPageBreak"/>
      </w:pPr>
    </w:p>
    <w:p w:rsidR="00000000" w:rsidRPr="00DE0B51" w:rsidP="00DE0B51">
      <w:pPr>
        <w:pStyle w:val="Heading1"/>
      </w:pPr>
      <w:bookmarkStart w:id="7" w:name="O_476723"/>
      <w:bookmarkEnd w:id="7"/>
      <w:r w:rsidRPr="00DE0B51">
        <w:t>Elements and Performance Criteria Pre-Content</w:t>
      </w:r>
    </w:p>
    <w:tbl>
      <w:tblPr>
        <w:tblW w:w="0" w:type="auto"/>
        <w:tblLayout w:type="fixed"/>
        <w:tblCellMar>
          <w:left w:w="62" w:type="dxa"/>
          <w:right w:w="62" w:type="dxa"/>
        </w:tblCellMar>
        <w:tblLook w:val="0000"/>
      </w:tblPr>
      <w:tblGrid>
        <w:gridCol w:w="2640"/>
        <w:gridCol w:w="6380"/>
      </w:tblGrid>
      <w:tr w:rsidTr="00DE0B5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E0B51" w:rsidP="00DE0B51">
            <w:pPr>
              <w:pStyle w:val="BodyText"/>
            </w:pPr>
            <w:r w:rsidRPr="00DE0B51">
              <w:t>Performance criteria describe the performance needed to demonstrate achievement of the element. Where bold italicised text is used, further information is detailed in the required skills and</w:t>
            </w:r>
            <w:r w:rsidRPr="00DE0B51">
              <w:t xml:space="preserve"> knowledge section and the range statement. Assessment of performance is to be consistent with the evidence guide.</w:t>
            </w:r>
          </w:p>
        </w:tc>
      </w:tr>
    </w:tbl>
    <w:p w:rsidR="00000000" w:rsidRPr="00DE0B51" w:rsidP="00DE0B51">
      <w:pPr>
        <w:pStyle w:val="BodyText"/>
      </w:pPr>
    </w:p>
    <w:p w:rsidR="00000000" w:rsidRPr="00DE0B51" w:rsidP="00DE0B51">
      <w:pPr>
        <w:pStyle w:val="AllowPageBreak"/>
      </w:pPr>
    </w:p>
    <w:p w:rsidR="00000000" w:rsidRPr="00DE0B51" w:rsidP="00DE0B51">
      <w:pPr>
        <w:pStyle w:val="Heading1"/>
      </w:pPr>
      <w:bookmarkStart w:id="8" w:name="O_476724"/>
      <w:bookmarkEnd w:id="8"/>
      <w:r w:rsidRPr="00DE0B5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1</w:t>
            </w:r>
          </w:p>
        </w:tc>
        <w:tc>
          <w:tcPr>
            <w:tcW w:w="1962" w:type="dxa"/>
            <w:vMerge w:val="restart"/>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Prepare for site visit</w:t>
            </w: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1.1</w:t>
            </w:r>
          </w:p>
        </w:tc>
        <w:tc>
          <w:tcPr>
            <w:tcW w:w="561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Verify and comply with applicable occupational health and s</w:t>
            </w:r>
            <w:r w:rsidRPr="00DE0B51">
              <w:t>afety (OHS), legislative and organisational requirements relevant to conducting site visits</w:t>
            </w:r>
          </w:p>
        </w:tc>
      </w:tr>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1.2</w:t>
            </w:r>
          </w:p>
        </w:tc>
        <w:tc>
          <w:tcPr>
            <w:tcW w:w="561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Confirm project brief and visit objectives, and review any available drawings and information on the project</w:t>
            </w:r>
          </w:p>
        </w:tc>
      </w:tr>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1.3</w:t>
            </w:r>
          </w:p>
        </w:tc>
        <w:tc>
          <w:tcPr>
            <w:tcW w:w="561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Arrange site visit and prepare required materials</w:t>
            </w:r>
          </w:p>
        </w:tc>
      </w:tr>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1.4</w:t>
            </w:r>
          </w:p>
        </w:tc>
        <w:tc>
          <w:tcPr>
            <w:tcW w:w="5610" w:type="dxa"/>
            <w:tcBorders>
              <w:top w:val="nil"/>
              <w:left w:val="nil"/>
              <w:bottom w:val="nil"/>
              <w:right w:val="nil"/>
            </w:tcBorders>
            <w:tcMar>
              <w:top w:w="0" w:type="dxa"/>
              <w:left w:w="62" w:type="dxa"/>
              <w:bottom w:w="0" w:type="dxa"/>
              <w:right w:w="62" w:type="dxa"/>
            </w:tcMar>
          </w:tcPr>
          <w:p w:rsidR="00000000" w:rsidRPr="00DE0B51" w:rsidP="00DE0B51">
            <w:pPr>
              <w:pStyle w:val="BodyText"/>
            </w:pPr>
            <w:r w:rsidRPr="00DE0B51">
              <w:t>Check all measuring equipment and materials for sketching are available</w:t>
            </w:r>
          </w:p>
        </w:tc>
      </w:tr>
    </w:tbl>
    <w:p w:rsidR="00000000" w:rsidRPr="00DE0B51" w:rsidP="00DE0B51">
      <w:pPr>
        <w:pStyle w:val="BodyText"/>
      </w:pPr>
    </w:p>
    <w:tbl>
      <w:tblPr>
        <w:tblW w:w="0" w:type="auto"/>
        <w:tblLayout w:type="fixed"/>
        <w:tblCellMar>
          <w:left w:w="62" w:type="dxa"/>
          <w:right w:w="62" w:type="dxa"/>
        </w:tblCellMar>
        <w:tblLook w:val="0000"/>
      </w:tblPr>
      <w:tblGrid>
        <w:gridCol w:w="678"/>
        <w:gridCol w:w="1962"/>
        <w:gridCol w:w="770"/>
        <w:gridCol w:w="5610"/>
      </w:tblGrid>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2</w:t>
            </w:r>
          </w:p>
        </w:tc>
        <w:tc>
          <w:tcPr>
            <w:tcW w:w="1962" w:type="dxa"/>
            <w:vMerge w:val="restart"/>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Assess and record site features</w:t>
            </w: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2.1</w:t>
            </w:r>
          </w:p>
        </w:tc>
        <w:tc>
          <w:tcPr>
            <w:tcW w:w="561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Visually assess and record details on physical position, layout, access and location, and establish site references</w:t>
            </w:r>
          </w:p>
        </w:tc>
      </w:tr>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2.2</w:t>
            </w:r>
          </w:p>
        </w:tc>
        <w:tc>
          <w:tcPr>
            <w:tcW w:w="561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Visually assess and record details on site structure and materials</w:t>
            </w:r>
          </w:p>
        </w:tc>
      </w:tr>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2.3</w:t>
            </w:r>
          </w:p>
        </w:tc>
        <w:tc>
          <w:tcPr>
            <w:tcW w:w="561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Visually assess and record details on services</w:t>
            </w:r>
          </w:p>
        </w:tc>
      </w:tr>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2.4</w:t>
            </w:r>
          </w:p>
        </w:tc>
        <w:tc>
          <w:tcPr>
            <w:tcW w:w="561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Observe and record other details that may impact on project</w:t>
            </w:r>
          </w:p>
        </w:tc>
      </w:tr>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2.5</w:t>
            </w:r>
          </w:p>
        </w:tc>
        <w:tc>
          <w:tcPr>
            <w:tcW w:w="5610" w:type="dxa"/>
            <w:tcBorders>
              <w:top w:val="nil"/>
              <w:left w:val="nil"/>
              <w:bottom w:val="nil"/>
              <w:right w:val="nil"/>
            </w:tcBorders>
            <w:tcMar>
              <w:top w:w="0" w:type="dxa"/>
              <w:left w:w="62" w:type="dxa"/>
              <w:bottom w:w="0" w:type="dxa"/>
              <w:right w:w="62" w:type="dxa"/>
            </w:tcMar>
          </w:tcPr>
          <w:p w:rsidR="00000000" w:rsidRPr="00DE0B51" w:rsidP="00DE0B51">
            <w:pPr>
              <w:pStyle w:val="BodyText"/>
            </w:pPr>
            <w:r w:rsidRPr="00DE0B51">
              <w:t>Obtain any relevant site information or documentation</w:t>
            </w:r>
          </w:p>
        </w:tc>
      </w:tr>
    </w:tbl>
    <w:p w:rsidR="00000000" w:rsidRPr="00DE0B51" w:rsidP="00DE0B51">
      <w:pPr>
        <w:pStyle w:val="BodyText"/>
      </w:pPr>
    </w:p>
    <w:tbl>
      <w:tblPr>
        <w:tblW w:w="0" w:type="auto"/>
        <w:tblLayout w:type="fixed"/>
        <w:tblCellMar>
          <w:left w:w="62" w:type="dxa"/>
          <w:right w:w="62" w:type="dxa"/>
        </w:tblCellMar>
        <w:tblLook w:val="0000"/>
      </w:tblPr>
      <w:tblGrid>
        <w:gridCol w:w="678"/>
        <w:gridCol w:w="1962"/>
        <w:gridCol w:w="770"/>
        <w:gridCol w:w="5610"/>
      </w:tblGrid>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3</w:t>
            </w:r>
          </w:p>
        </w:tc>
        <w:tc>
          <w:tcPr>
            <w:tcW w:w="1962" w:type="dxa"/>
            <w:vMerge w:val="restart"/>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Take site measurements</w:t>
            </w: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3.1</w:t>
            </w:r>
          </w:p>
        </w:tc>
        <w:tc>
          <w:tcPr>
            <w:tcW w:w="561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Take accurate measurements of site features as required by project brief</w:t>
            </w:r>
          </w:p>
        </w:tc>
      </w:tr>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3.2</w:t>
            </w:r>
          </w:p>
        </w:tc>
        <w:tc>
          <w:tcPr>
            <w:tcW w:w="561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Conduct calculations, as required, to ensure all required measurements are obtained and verified</w:t>
            </w:r>
          </w:p>
        </w:tc>
      </w:tr>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3.3</w:t>
            </w:r>
          </w:p>
        </w:tc>
        <w:tc>
          <w:tcPr>
            <w:tcW w:w="561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Access and use work information, technology and resources to complete work</w:t>
            </w:r>
          </w:p>
        </w:tc>
      </w:tr>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3.4</w:t>
            </w:r>
          </w:p>
        </w:tc>
        <w:tc>
          <w:tcPr>
            <w:tcW w:w="561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Minimise impact of work on the environment and ensure safety procedure</w:t>
            </w:r>
            <w:r w:rsidRPr="00DE0B51">
              <w:t>s are followed at all times</w:t>
            </w:r>
          </w:p>
        </w:tc>
      </w:tr>
      <w:tr w:rsidTr="00DE0B51">
        <w:tblPrEx>
          <w:tblW w:w="0" w:type="auto"/>
          <w:tblLayout w:type="fixed"/>
          <w:tblCellMar>
            <w:left w:w="62" w:type="dxa"/>
            <w:right w:w="62" w:type="dxa"/>
          </w:tblCellMar>
          <w:tblLook w:val="0000"/>
        </w:tblPrEx>
        <w:trPr>
          <w:trHeight w:val="537"/>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3.5</w:t>
            </w:r>
          </w:p>
        </w:tc>
        <w:tc>
          <w:tcPr>
            <w:tcW w:w="5610" w:type="dxa"/>
            <w:tcBorders>
              <w:top w:val="nil"/>
              <w:left w:val="nil"/>
              <w:bottom w:val="nil"/>
              <w:right w:val="nil"/>
            </w:tcBorders>
            <w:tcMar>
              <w:top w:w="0" w:type="dxa"/>
              <w:left w:w="62" w:type="dxa"/>
              <w:bottom w:w="0" w:type="dxa"/>
              <w:right w:w="62" w:type="dxa"/>
            </w:tcMar>
          </w:tcPr>
          <w:p w:rsidR="00000000" w:rsidRPr="00DE0B51" w:rsidP="00DE0B51">
            <w:pPr>
              <w:pStyle w:val="BodyText"/>
            </w:pPr>
            <w:r w:rsidRPr="00DE0B51">
              <w:t>Obtain or note missing measurements accordingly</w:t>
            </w:r>
          </w:p>
        </w:tc>
      </w:tr>
    </w:tbl>
    <w:p w:rsidR="00000000" w:rsidRPr="00DE0B51" w:rsidP="00DE0B51">
      <w:pPr>
        <w:pStyle w:val="BodyText"/>
      </w:pPr>
    </w:p>
    <w:tbl>
      <w:tblPr>
        <w:tblW w:w="0" w:type="auto"/>
        <w:tblLayout w:type="fixed"/>
        <w:tblCellMar>
          <w:left w:w="62" w:type="dxa"/>
          <w:right w:w="62" w:type="dxa"/>
        </w:tblCellMar>
        <w:tblLook w:val="0000"/>
      </w:tblPr>
      <w:tblGrid>
        <w:gridCol w:w="678"/>
        <w:gridCol w:w="1962"/>
        <w:gridCol w:w="770"/>
        <w:gridCol w:w="5610"/>
      </w:tblGrid>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4</w:t>
            </w:r>
          </w:p>
        </w:tc>
        <w:tc>
          <w:tcPr>
            <w:tcW w:w="1962" w:type="dxa"/>
            <w:vMerge w:val="restart"/>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Produce sketch of site</w:t>
            </w: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4.1</w:t>
            </w:r>
          </w:p>
        </w:tc>
        <w:tc>
          <w:tcPr>
            <w:tcW w:w="561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Produce sketch to proportion</w:t>
            </w:r>
          </w:p>
        </w:tc>
      </w:tr>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4.2</w:t>
            </w:r>
          </w:p>
        </w:tc>
        <w:tc>
          <w:tcPr>
            <w:tcW w:w="561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Apply correct sketching techniques and line construction to the sketch</w:t>
            </w:r>
          </w:p>
        </w:tc>
      </w:tr>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4.3</w:t>
            </w:r>
          </w:p>
        </w:tc>
        <w:tc>
          <w:tcPr>
            <w:tcW w:w="5610" w:type="dxa"/>
            <w:tcBorders>
              <w:top w:val="nil"/>
              <w:left w:val="nil"/>
              <w:bottom w:val="nil"/>
              <w:right w:val="nil"/>
            </w:tcBorders>
            <w:tcMar>
              <w:top w:w="0" w:type="dxa"/>
              <w:left w:w="62" w:type="dxa"/>
              <w:bottom w:w="0" w:type="dxa"/>
              <w:right w:w="62" w:type="dxa"/>
            </w:tcMar>
          </w:tcPr>
          <w:p w:rsidR="00000000" w:rsidRPr="00DE0B51" w:rsidP="00DE0B51">
            <w:pPr>
              <w:pStyle w:val="BodyText"/>
            </w:pPr>
            <w:r w:rsidRPr="00DE0B51">
              <w:t xml:space="preserve">Apply all dimensions and notations </w:t>
            </w:r>
          </w:p>
        </w:tc>
      </w:tr>
    </w:tbl>
    <w:p w:rsidR="00000000" w:rsidRPr="00DE0B51" w:rsidP="00DE0B51">
      <w:pPr>
        <w:pStyle w:val="BodyText"/>
      </w:pPr>
    </w:p>
    <w:tbl>
      <w:tblPr>
        <w:tblW w:w="0" w:type="auto"/>
        <w:tblLayout w:type="fixed"/>
        <w:tblCellMar>
          <w:left w:w="62" w:type="dxa"/>
          <w:right w:w="62" w:type="dxa"/>
        </w:tblCellMar>
        <w:tblLook w:val="0000"/>
      </w:tblPr>
      <w:tblGrid>
        <w:gridCol w:w="678"/>
        <w:gridCol w:w="1962"/>
        <w:gridCol w:w="770"/>
        <w:gridCol w:w="5610"/>
      </w:tblGrid>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5</w:t>
            </w:r>
          </w:p>
        </w:tc>
        <w:tc>
          <w:tcPr>
            <w:tcW w:w="1962" w:type="dxa"/>
            <w:vMerge w:val="restart"/>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Apply geometric construction methods</w:t>
            </w: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5.1</w:t>
            </w:r>
          </w:p>
        </w:tc>
        <w:tc>
          <w:tcPr>
            <w:tcW w:w="561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Sketch geometric shapes using correct construction techniques</w:t>
            </w:r>
          </w:p>
        </w:tc>
      </w:tr>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5.2</w:t>
            </w:r>
          </w:p>
        </w:tc>
        <w:tc>
          <w:tcPr>
            <w:tcW w:w="561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Obtain tangent points using correct techniques</w:t>
            </w:r>
          </w:p>
        </w:tc>
      </w:tr>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5.3</w:t>
            </w:r>
          </w:p>
        </w:tc>
        <w:tc>
          <w:tcPr>
            <w:tcW w:w="5610" w:type="dxa"/>
            <w:tcBorders>
              <w:top w:val="nil"/>
              <w:left w:val="nil"/>
              <w:bottom w:val="nil"/>
              <w:right w:val="nil"/>
            </w:tcBorders>
            <w:tcMar>
              <w:top w:w="0" w:type="dxa"/>
              <w:left w:w="62" w:type="dxa"/>
              <w:bottom w:w="0" w:type="dxa"/>
              <w:right w:w="62" w:type="dxa"/>
            </w:tcMar>
          </w:tcPr>
          <w:p w:rsidR="00000000" w:rsidRPr="00DE0B51" w:rsidP="00DE0B51">
            <w:pPr>
              <w:pStyle w:val="BodyText"/>
            </w:pPr>
            <w:r w:rsidRPr="00DE0B51">
              <w:t>Apply line work using a range of different line types and media in accordance with standard industry drawing practice</w:t>
            </w:r>
          </w:p>
        </w:tc>
      </w:tr>
    </w:tbl>
    <w:p w:rsidR="00000000" w:rsidRPr="00DE0B51" w:rsidP="00DE0B51">
      <w:pPr>
        <w:pStyle w:val="BodyText"/>
      </w:pPr>
    </w:p>
    <w:tbl>
      <w:tblPr>
        <w:tblW w:w="0" w:type="auto"/>
        <w:tblLayout w:type="fixed"/>
        <w:tblCellMar>
          <w:left w:w="62" w:type="dxa"/>
          <w:right w:w="62" w:type="dxa"/>
        </w:tblCellMar>
        <w:tblLook w:val="0000"/>
      </w:tblPr>
      <w:tblGrid>
        <w:gridCol w:w="678"/>
        <w:gridCol w:w="1962"/>
        <w:gridCol w:w="770"/>
        <w:gridCol w:w="5610"/>
      </w:tblGrid>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6</w:t>
            </w:r>
          </w:p>
        </w:tc>
        <w:tc>
          <w:tcPr>
            <w:tcW w:w="1962" w:type="dxa"/>
            <w:vMerge w:val="restart"/>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Document site details</w:t>
            </w: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6.1</w:t>
            </w:r>
          </w:p>
        </w:tc>
        <w:tc>
          <w:tcPr>
            <w:tcW w:w="561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Complete isometric sketches that illustrate site details</w:t>
            </w:r>
          </w:p>
        </w:tc>
      </w:tr>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6.2</w:t>
            </w:r>
          </w:p>
        </w:tc>
        <w:tc>
          <w:tcPr>
            <w:tcW w:w="561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Ensure all additional information gathered is documented appropriately to inform further work</w:t>
            </w:r>
          </w:p>
        </w:tc>
      </w:tr>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6.3</w:t>
            </w:r>
          </w:p>
        </w:tc>
        <w:tc>
          <w:tcPr>
            <w:tcW w:w="561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Ensure correct symbols and standard drawing conventions are adhered to</w:t>
            </w:r>
          </w:p>
        </w:tc>
      </w:tr>
      <w:tr w:rsidTr="00DE0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t>6.4</w:t>
            </w:r>
          </w:p>
        </w:tc>
        <w:tc>
          <w:tcPr>
            <w:tcW w:w="5610" w:type="dxa"/>
            <w:tcBorders>
              <w:top w:val="nil"/>
              <w:left w:val="nil"/>
              <w:bottom w:val="nil"/>
              <w:right w:val="nil"/>
            </w:tcBorders>
            <w:tcMar>
              <w:top w:w="0" w:type="dxa"/>
              <w:left w:w="62" w:type="dxa"/>
              <w:bottom w:w="0" w:type="dxa"/>
              <w:right w:w="62" w:type="dxa"/>
            </w:tcMar>
          </w:tcPr>
          <w:p w:rsidR="00000000" w:rsidRPr="00DE0B51" w:rsidP="00DE0B51">
            <w:pPr>
              <w:pStyle w:val="BodyText"/>
            </w:pPr>
            <w:r w:rsidRPr="00DE0B51">
              <w:t>Apply enterprise work procedures when conducting work and ensure quality standards are met</w:t>
            </w:r>
          </w:p>
        </w:tc>
      </w:tr>
    </w:tbl>
    <w:p w:rsidR="00000000" w:rsidRPr="00DE0B51" w:rsidP="00DE0B51">
      <w:pPr>
        <w:pStyle w:val="BodyText"/>
      </w:pPr>
    </w:p>
    <w:p w:rsidR="00000000" w:rsidRPr="00DE0B51" w:rsidP="00DE0B51">
      <w:pPr>
        <w:pStyle w:val="AllowPageBreak"/>
      </w:pPr>
    </w:p>
    <w:p w:rsidR="00000000" w:rsidRPr="00DE0B51" w:rsidP="00DE0B51">
      <w:pPr>
        <w:pStyle w:val="Heading1"/>
      </w:pPr>
      <w:bookmarkStart w:id="9" w:name="O_476725"/>
      <w:bookmarkEnd w:id="9"/>
      <w:r w:rsidRPr="00DE0B51">
        <w:t>Required Skills and Knowledge</w:t>
      </w:r>
    </w:p>
    <w:tbl>
      <w:tblPr>
        <w:tblW w:w="0" w:type="auto"/>
        <w:tblLayout w:type="fixed"/>
        <w:tblCellMar>
          <w:left w:w="62" w:type="dxa"/>
          <w:right w:w="62" w:type="dxa"/>
        </w:tblCellMar>
        <w:tblLook w:val="0000"/>
      </w:tblPr>
      <w:tblGrid>
        <w:gridCol w:w="9072"/>
      </w:tblGrid>
      <w:tr w:rsidTr="00DE0B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rPr>
                <w:rStyle w:val="SpecialBold"/>
              </w:rPr>
              <w:t>Required skills</w:t>
            </w:r>
          </w:p>
        </w:tc>
      </w:tr>
      <w:tr w:rsidTr="00DE0B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E0B51" w:rsidP="00DE0B51">
            <w:pPr>
              <w:pStyle w:val="BodyText"/>
            </w:pPr>
            <w:r w:rsidRPr="00DE0B51">
              <w:t>Required skills include:</w:t>
            </w:r>
          </w:p>
          <w:p w:rsidR="00000000" w:rsidRPr="00DE0B51" w:rsidP="00DE0B51">
            <w:pPr>
              <w:pStyle w:val="ListBullet"/>
            </w:pPr>
            <w:r w:rsidRPr="00DE0B51">
              <w:t>sourcing and interpreting work-related information</w:t>
            </w:r>
          </w:p>
          <w:p w:rsidR="00000000" w:rsidRPr="00DE0B51" w:rsidP="00DE0B51">
            <w:pPr>
              <w:pStyle w:val="ListBullet"/>
            </w:pPr>
            <w:r w:rsidRPr="00DE0B51">
              <w:t xml:space="preserve">communicating verbally and in writing with team members and site/project managers </w:t>
            </w:r>
          </w:p>
          <w:p w:rsidR="00000000" w:rsidRPr="00DE0B51" w:rsidP="00DE0B51">
            <w:pPr>
              <w:pStyle w:val="ListBullet"/>
            </w:pPr>
            <w:r w:rsidRPr="00DE0B51">
              <w:t>interpreting diagrams and drawings</w:t>
            </w:r>
          </w:p>
          <w:p w:rsidR="00000000" w:rsidRPr="00DE0B51" w:rsidP="00DE0B51">
            <w:pPr>
              <w:pStyle w:val="ListBullet"/>
            </w:pPr>
            <w:r w:rsidRPr="00DE0B51">
              <w:t>taking accurate measurements</w:t>
            </w:r>
          </w:p>
          <w:p w:rsidR="00000000" w:rsidRPr="00DE0B51" w:rsidP="00DE0B51">
            <w:pPr>
              <w:pStyle w:val="ListBullet"/>
            </w:pPr>
            <w:r w:rsidRPr="00DE0B51">
              <w:t>using mathematical ideas and techniques to correctly complete measurements, calculate area, perimeter, volume</w:t>
            </w:r>
            <w:r w:rsidRPr="00DE0B51">
              <w:t xml:space="preserve">, mass, scales and ratios </w:t>
            </w:r>
          </w:p>
          <w:p w:rsidR="00000000" w:rsidRPr="00DE0B51" w:rsidP="00DE0B51">
            <w:pPr>
              <w:pStyle w:val="ListBullet"/>
            </w:pPr>
            <w:r w:rsidRPr="00DE0B51">
              <w:t xml:space="preserve">using pre-checking techniques to anticipate measurement and drawing problems and avoid reworking </w:t>
            </w:r>
          </w:p>
          <w:p w:rsidR="00000000" w:rsidRPr="00DE0B51" w:rsidP="00DE0B51">
            <w:pPr>
              <w:pStyle w:val="ListBullet"/>
            </w:pPr>
            <w:r w:rsidRPr="00DE0B51">
              <w:t>using workplace technology related to measurement and drawing, including tools, equipment, calculators and measuring devices</w:t>
            </w:r>
          </w:p>
          <w:p w:rsidR="00000000" w:rsidRPr="00DE0B51" w:rsidP="00DE0B51">
            <w:pPr>
              <w:pStyle w:val="ListBullet"/>
            </w:pPr>
            <w:r w:rsidRPr="00DE0B51">
              <w:t>accura</w:t>
            </w:r>
            <w:r w:rsidRPr="00DE0B51">
              <w:t>tely calculating angles</w:t>
            </w:r>
          </w:p>
          <w:p w:rsidR="00000000" w:rsidRPr="00DE0B51" w:rsidP="00DE0B51">
            <w:pPr>
              <w:pStyle w:val="ListBullet"/>
            </w:pPr>
            <w:r w:rsidRPr="00DE0B51">
              <w:t>selecting principal axes and angles</w:t>
            </w:r>
          </w:p>
          <w:p w:rsidR="00000000" w:rsidRPr="00DE0B51" w:rsidP="00DE0B51">
            <w:pPr>
              <w:pStyle w:val="ListBullet"/>
            </w:pPr>
            <w:r w:rsidRPr="00DE0B51">
              <w:t>establishing positions of clear panels</w:t>
            </w:r>
          </w:p>
          <w:p w:rsidR="00000000" w:rsidRPr="00DE0B51" w:rsidP="00DE0B51">
            <w:pPr>
              <w:pStyle w:val="ListBullet"/>
            </w:pPr>
            <w:r w:rsidRPr="00DE0B51">
              <w:t>reading, interpreting and following information on work specifications, standard operating procedures, work instructions and other reference material</w:t>
            </w:r>
          </w:p>
          <w:p w:rsidR="00000000" w:rsidRPr="00DE0B51" w:rsidP="00DE0B51">
            <w:pPr>
              <w:pStyle w:val="ListBullet"/>
            </w:pPr>
            <w:r w:rsidRPr="00DE0B51">
              <w:t>maintai</w:t>
            </w:r>
            <w:r w:rsidRPr="00DE0B51">
              <w:t>ning accurate records</w:t>
            </w:r>
          </w:p>
          <w:p w:rsidR="00000000" w:rsidRPr="00DE0B51" w:rsidP="00DE0B51">
            <w:pPr>
              <w:pStyle w:val="ListBullet"/>
            </w:pPr>
            <w:r w:rsidRPr="00DE0B51">
              <w:t>carrying out work according to OHS practices</w:t>
            </w:r>
          </w:p>
          <w:p w:rsidR="00000000" w:rsidRPr="00DE0B51" w:rsidP="00DE0B51">
            <w:pPr>
              <w:pStyle w:val="ListBullet"/>
            </w:pPr>
            <w:r w:rsidRPr="00DE0B51">
              <w:t>completing industry standard freehand drawings and sketches</w:t>
            </w:r>
          </w:p>
          <w:p w:rsidR="00000000" w:rsidP="00DE0B51">
            <w:pPr>
              <w:pStyle w:val="BodyText"/>
              <w:rPr>
                <w:lang w:val="en-NZ"/>
              </w:rPr>
            </w:pPr>
          </w:p>
        </w:tc>
      </w:tr>
      <w:tr w:rsidTr="00DE0B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0B51">
            <w:pPr>
              <w:pStyle w:val="BodyText"/>
              <w:rPr>
                <w:lang w:val="en-NZ"/>
              </w:rPr>
            </w:pPr>
            <w:r w:rsidRPr="00DE0B51">
              <w:rPr>
                <w:rStyle w:val="SpecialBold"/>
              </w:rPr>
              <w:t>Required knowledge</w:t>
            </w:r>
          </w:p>
        </w:tc>
      </w:tr>
      <w:tr w:rsidTr="00DE0B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E0B51" w:rsidP="00DE0B51">
            <w:pPr>
              <w:pStyle w:val="BodyText"/>
            </w:pPr>
            <w:r w:rsidRPr="00DE0B51">
              <w:t>Required knowledge includes:</w:t>
            </w:r>
          </w:p>
          <w:p w:rsidR="00000000" w:rsidRPr="00DE0B51" w:rsidP="00DE0B51">
            <w:pPr>
              <w:pStyle w:val="ListBullet"/>
            </w:pPr>
            <w:r w:rsidRPr="00DE0B51">
              <w:t>relevant legislation</w:t>
            </w:r>
          </w:p>
          <w:p w:rsidR="00000000" w:rsidRPr="00DE0B51" w:rsidP="00DE0B51">
            <w:pPr>
              <w:pStyle w:val="ListBullet"/>
            </w:pPr>
            <w:r w:rsidRPr="00DE0B51">
              <w:t>OHS requirements for the engineering industry</w:t>
            </w:r>
          </w:p>
          <w:p w:rsidR="00000000" w:rsidRPr="00DE0B51" w:rsidP="00DE0B51">
            <w:pPr>
              <w:pStyle w:val="ListBullet"/>
            </w:pPr>
            <w:r w:rsidRPr="00DE0B51">
              <w:t>quality assurance procedures</w:t>
            </w:r>
          </w:p>
          <w:p w:rsidR="00000000" w:rsidRPr="00DE0B51" w:rsidP="00DE0B51">
            <w:pPr>
              <w:pStyle w:val="ListBullet"/>
            </w:pPr>
            <w:r w:rsidRPr="00DE0B51">
              <w:t xml:space="preserve">the theory and practice of calculations (addition, subtraction, multiplication and division) </w:t>
            </w:r>
          </w:p>
          <w:p w:rsidR="00000000" w:rsidRPr="00DE0B51" w:rsidP="00DE0B51">
            <w:pPr>
              <w:pStyle w:val="ListBullet"/>
            </w:pPr>
            <w:r w:rsidRPr="00DE0B51">
              <w:t>conventional signs and markings for plans and drawings</w:t>
            </w:r>
          </w:p>
          <w:p w:rsidR="00000000" w:rsidRPr="00DE0B51" w:rsidP="00DE0B51">
            <w:pPr>
              <w:pStyle w:val="ListBullet"/>
            </w:pPr>
            <w:r w:rsidRPr="00DE0B51">
              <w:t>the principles of plane geometry</w:t>
            </w:r>
          </w:p>
          <w:p w:rsidR="00000000" w:rsidRPr="00DE0B51" w:rsidP="00DE0B51">
            <w:pPr>
              <w:pStyle w:val="ListBullet"/>
            </w:pPr>
            <w:r w:rsidRPr="00DE0B51">
              <w:t xml:space="preserve">measurement techniques and equipment/tools </w:t>
            </w:r>
          </w:p>
        </w:tc>
      </w:tr>
    </w:tbl>
    <w:p w:rsidR="00000000" w:rsidRPr="00DE0B51" w:rsidP="00DE0B51">
      <w:pPr>
        <w:pStyle w:val="BodyText"/>
      </w:pPr>
    </w:p>
    <w:p w:rsidR="00000000" w:rsidRPr="00DE0B51" w:rsidP="00DE0B51">
      <w:pPr>
        <w:pStyle w:val="AllowPageBreak"/>
      </w:pPr>
    </w:p>
    <w:p w:rsidR="00000000" w:rsidRPr="00DE0B51" w:rsidP="00DE0B51">
      <w:pPr>
        <w:pStyle w:val="Heading1"/>
      </w:pPr>
      <w:bookmarkStart w:id="10" w:name="O_476726"/>
      <w:bookmarkEnd w:id="10"/>
      <w:r w:rsidRPr="00DE0B51">
        <w:t>Evidence Guide</w:t>
      </w:r>
    </w:p>
    <w:tbl>
      <w:tblPr>
        <w:tblW w:w="0" w:type="auto"/>
        <w:tblLayout w:type="fixed"/>
        <w:tblCellMar>
          <w:left w:w="62" w:type="dxa"/>
          <w:right w:w="62" w:type="dxa"/>
        </w:tblCellMar>
        <w:tblLook w:val="0000"/>
      </w:tblPr>
      <w:tblGrid>
        <w:gridCol w:w="3540"/>
        <w:gridCol w:w="5352"/>
      </w:tblGrid>
      <w:tr w:rsidTr="00DE0B51">
        <w:tblPrEx>
          <w:tblW w:w="0" w:type="auto"/>
          <w:tblLayout w:type="fixed"/>
          <w:tblCellMar>
            <w:left w:w="62" w:type="dxa"/>
            <w:right w:w="62" w:type="dxa"/>
          </w:tblCellMar>
          <w:tblLook w:val="0000"/>
        </w:tblPrEx>
        <w:trPr>
          <w:trHeight w:val="764"/>
        </w:trPr>
        <w:tc>
          <w:tcPr>
            <w:tcW w:w="8892" w:type="dxa"/>
            <w:gridSpan w:val="2"/>
            <w:tcBorders>
              <w:top w:val="nil"/>
              <w:left w:val="nil"/>
              <w:bottom w:val="single" w:sz="4" w:space="0" w:color="auto"/>
              <w:right w:val="nil"/>
            </w:tcBorders>
            <w:tcMar>
              <w:top w:w="0" w:type="dxa"/>
              <w:left w:w="62" w:type="dxa"/>
              <w:bottom w:w="0" w:type="dxa"/>
              <w:right w:w="62" w:type="dxa"/>
            </w:tcMar>
          </w:tcPr>
          <w:p w:rsidR="00000000" w:rsidP="00DE0B51">
            <w:pPr>
              <w:pStyle w:val="BodyText"/>
              <w:rPr>
                <w:lang w:val="en-NZ"/>
              </w:rPr>
            </w:pPr>
            <w:r w:rsidRPr="00DE0B51">
              <w:t>The evidence guide provides advice on assessment and must be read in conjunction with the performance criteria required skills and knowledge range statement and the Assessment Guidelines for the Training Package.</w:t>
            </w:r>
          </w:p>
        </w:tc>
      </w:tr>
      <w:tr w:rsidTr="00DE0B51">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B51">
            <w:pPr>
              <w:pStyle w:val="BodyText"/>
              <w:rPr>
                <w:lang w:val="en-NZ"/>
              </w:rPr>
            </w:pPr>
            <w:r w:rsidRPr="00DE0B51">
              <w:rPr>
                <w:rStyle w:val="SpecialBold"/>
              </w:rPr>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B51">
            <w:pPr>
              <w:pStyle w:val="BodyText"/>
              <w:rPr>
                <w:lang w:val="en-NZ"/>
              </w:rPr>
            </w:pPr>
            <w:r w:rsidRPr="00DE0B51">
              <w:t>A person who demonstrates competency in this unit must be able to conduct an onsite visit and complete industry standard drawings, sketches and other documentation that includes measurements and all relevant site information to infor</w:t>
            </w:r>
            <w:r w:rsidRPr="00DE0B51">
              <w:t xml:space="preserve">m drafting work. </w:t>
            </w:r>
          </w:p>
        </w:tc>
      </w:tr>
      <w:tr w:rsidTr="00DE0B51">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B51">
            <w:pPr>
              <w:pStyle w:val="BodyText"/>
              <w:rPr>
                <w:lang w:val="en-NZ"/>
              </w:rPr>
            </w:pPr>
            <w:r w:rsidRPr="00DE0B51">
              <w:rPr>
                <w:rStyle w:val="SpecialBold"/>
              </w:rPr>
              <w:t>Critical aspects for assessment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B51" w:rsidP="00DE0B51">
            <w:pPr>
              <w:pStyle w:val="BodyText"/>
            </w:pPr>
            <w:r w:rsidRPr="00DE0B51">
              <w:t>Assessors must be satisfied that the candidate can competently and consistently perform all elements of the unit as specified by the criteria, i</w:t>
            </w:r>
            <w:r w:rsidRPr="00DE0B51">
              <w:t>ncluding required knowledge, and be capable of applying the competency in new and different situations and contexts.</w:t>
            </w:r>
          </w:p>
          <w:p w:rsidR="00000000" w:rsidRPr="00DE0B51" w:rsidP="00DE0B51">
            <w:pPr>
              <w:pStyle w:val="BodyText"/>
            </w:pPr>
            <w:r w:rsidRPr="00DE0B51">
              <w:t>Specifically the candidate must be able to:</w:t>
            </w:r>
          </w:p>
          <w:p w:rsidR="00000000" w:rsidRPr="00DE0B51" w:rsidP="00DE0B51">
            <w:pPr>
              <w:pStyle w:val="ListBullet"/>
            </w:pPr>
            <w:r w:rsidRPr="00DE0B51">
              <w:t xml:space="preserve">work within typical site/teamwork structures and methods </w:t>
            </w:r>
          </w:p>
          <w:p w:rsidR="00000000" w:rsidRPr="00DE0B51" w:rsidP="00DE0B51">
            <w:pPr>
              <w:pStyle w:val="ListBullet"/>
            </w:pPr>
            <w:r w:rsidRPr="00DE0B51">
              <w:t xml:space="preserve">apply worksite communication procedures </w:t>
            </w:r>
          </w:p>
          <w:p w:rsidR="00000000" w:rsidRPr="00DE0B51" w:rsidP="00DE0B51">
            <w:pPr>
              <w:pStyle w:val="ListBullet"/>
            </w:pPr>
            <w:r w:rsidRPr="00DE0B51">
              <w:t xml:space="preserve">comply with organisational policies and procedures, including quality requirements </w:t>
            </w:r>
          </w:p>
          <w:p w:rsidR="00000000" w:rsidRPr="00DE0B51" w:rsidP="00DE0B51">
            <w:pPr>
              <w:pStyle w:val="ListBullet"/>
            </w:pPr>
            <w:r w:rsidRPr="00DE0B51">
              <w:t>participate in work meetings</w:t>
            </w:r>
          </w:p>
          <w:p w:rsidR="00000000" w:rsidRPr="00DE0B51" w:rsidP="00DE0B51">
            <w:pPr>
              <w:pStyle w:val="ListBullet"/>
            </w:pPr>
            <w:r w:rsidRPr="00DE0B51">
              <w:t>comply with quality requirements</w:t>
            </w:r>
          </w:p>
          <w:p w:rsidR="00000000" w:rsidRPr="00DE0B51" w:rsidP="00DE0B51">
            <w:pPr>
              <w:pStyle w:val="ListBullet"/>
            </w:pPr>
            <w:r w:rsidRPr="00DE0B51">
              <w:t xml:space="preserve">use industry terminology </w:t>
            </w:r>
          </w:p>
          <w:p w:rsidR="00000000" w:rsidRPr="00DE0B51" w:rsidP="00DE0B51">
            <w:pPr>
              <w:pStyle w:val="ListBullet"/>
            </w:pPr>
            <w:r w:rsidRPr="00DE0B51">
              <w:t>apply appropriate safety procedures</w:t>
            </w:r>
          </w:p>
          <w:p w:rsidR="00000000" w:rsidP="00DE0B51">
            <w:pPr>
              <w:pStyle w:val="ListBullet"/>
              <w:rPr>
                <w:lang w:val="en-NZ"/>
              </w:rPr>
            </w:pPr>
            <w:r w:rsidRPr="00DE0B51">
              <w:t>take ac</w:t>
            </w:r>
            <w:r w:rsidRPr="00DE0B51">
              <w:t>curate site measurements and produce detailed sketch to inform detail drafting work.</w:t>
            </w:r>
          </w:p>
        </w:tc>
      </w:tr>
      <w:tr w:rsidTr="00DE0B51">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B51">
            <w:pPr>
              <w:pStyle w:val="BodyText"/>
              <w:rPr>
                <w:lang w:val="en-NZ"/>
              </w:rPr>
            </w:pPr>
            <w:r w:rsidRPr="00DE0B51">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B51" w:rsidP="00DE0B51">
            <w:pPr>
              <w:pStyle w:val="BodyText"/>
            </w:pPr>
            <w:r w:rsidRPr="00DE0B51">
              <w:t>This unit may be assessed on the job, off the job or a combination of both on and off the job. Where assessment occurs of</w:t>
            </w:r>
            <w:r w:rsidRPr="00DE0B51">
              <w:t>f the job, that is the candidate is not in productive work, then an appropriate simulation must be used where the range of conditions reflects realistic workplace situations. The competencies covered by this unit would be demonstrated by an individual work</w:t>
            </w:r>
            <w:r w:rsidRPr="00DE0B51">
              <w:t xml:space="preserve">ing alone or as part of a team. </w:t>
            </w:r>
          </w:p>
          <w:p w:rsidR="00000000" w:rsidRPr="00DE0B51" w:rsidP="00DE0B51">
            <w:pPr>
              <w:pStyle w:val="BodyText"/>
            </w:pPr>
            <w:r w:rsidRPr="00DE0B51">
              <w:t>Where applicable, reasonable adjustment must be made to work environments and training situations to accommodate ethnicity, age, gender, demographics and disability.</w:t>
            </w:r>
          </w:p>
          <w:p w:rsidR="00000000" w:rsidRPr="00DE0B51" w:rsidP="00DE0B51">
            <w:pPr>
              <w:pStyle w:val="BodyText"/>
            </w:pPr>
            <w:r w:rsidRPr="00DE0B51">
              <w:t>Access must be provided to appropriate learning and/or as</w:t>
            </w:r>
            <w:r w:rsidRPr="00DE0B51">
              <w:t>sessment support when required. Where applicable, physical resources should include equipment modified for people with disabilities.</w:t>
            </w:r>
          </w:p>
          <w:p w:rsidR="00000000" w:rsidP="00DE0B51">
            <w:pPr>
              <w:pStyle w:val="BodyText"/>
              <w:rPr>
                <w:lang w:val="en-NZ"/>
              </w:rPr>
            </w:pPr>
            <w:r w:rsidRPr="00DE0B51">
              <w:t>This unit could be assessed in conjunction with any other relevant units requiring the exercise of the skills and knowledge</w:t>
            </w:r>
            <w:r w:rsidRPr="00DE0B51">
              <w:t xml:space="preserve"> covered by this unit.</w:t>
            </w:r>
          </w:p>
        </w:tc>
      </w:tr>
      <w:tr w:rsidTr="00DE0B51">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B51">
            <w:pPr>
              <w:pStyle w:val="BodyText"/>
              <w:rPr>
                <w:lang w:val="en-NZ"/>
              </w:rPr>
            </w:pPr>
            <w:r w:rsidRPr="00DE0B51">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B51" w:rsidP="00DE0B51">
            <w:pPr>
              <w:pStyle w:val="BodyText"/>
            </w:pPr>
            <w:r w:rsidRPr="00DE0B51">
              <w:t xml:space="preserve">Assessors should gather a range of evidence that is valid, sufficient, current and authentic. Evidence can be gathered through a variety of </w:t>
            </w:r>
            <w:r w:rsidRPr="00DE0B51">
              <w:t>ways, including direct observation, supervisor's reports, project work, samples and questioning. Questioning techniques should not require language, literacy and numeracy skills beyond those required in this unit of competency. The candidate must have acce</w:t>
            </w:r>
            <w:r w:rsidRPr="00DE0B51">
              <w:t xml:space="preserve">ss to all tools, equipment, materials and </w:t>
            </w:r>
            <w:r w:rsidRPr="00DE0B51">
              <w:t>documentation required. The candidate must be permitted to refer to any relevant workplace procedures, product and manufacturing specifications, codes, standards, manuals and reference materials.</w:t>
            </w:r>
          </w:p>
        </w:tc>
      </w:tr>
    </w:tbl>
    <w:p w:rsidR="00000000" w:rsidRPr="00DE0B51" w:rsidP="00DE0B51">
      <w:pPr>
        <w:pStyle w:val="BodyText"/>
      </w:pPr>
    </w:p>
    <w:p w:rsidR="00000000" w:rsidRPr="00DE0B51" w:rsidP="00DE0B51">
      <w:pPr>
        <w:pStyle w:val="AllowPageBreak"/>
      </w:pPr>
    </w:p>
    <w:p w:rsidR="00000000" w:rsidRPr="00DE0B51" w:rsidP="00DE0B51">
      <w:pPr>
        <w:pStyle w:val="Heading1"/>
      </w:pPr>
      <w:bookmarkStart w:id="11" w:name="O_476727"/>
      <w:bookmarkEnd w:id="11"/>
      <w:r w:rsidRPr="00DE0B51">
        <w:t>Range Statement</w:t>
      </w:r>
    </w:p>
    <w:tbl>
      <w:tblPr>
        <w:tblW w:w="0" w:type="auto"/>
        <w:tblLayout w:type="fixed"/>
        <w:tblCellMar>
          <w:left w:w="62" w:type="dxa"/>
          <w:right w:w="62" w:type="dxa"/>
        </w:tblCellMar>
        <w:tblLook w:val="0000"/>
      </w:tblPr>
      <w:tblGrid>
        <w:gridCol w:w="3674"/>
        <w:gridCol w:w="5398"/>
      </w:tblGrid>
      <w:tr w:rsidTr="00DE0B5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B51">
            <w:pPr>
              <w:pStyle w:val="BodyText"/>
              <w:rPr>
                <w:lang w:val="en-NZ"/>
              </w:rPr>
            </w:pPr>
            <w:r w:rsidRPr="00DE0B51">
              <w:rPr>
                <w:rStyle w:val="SpecialBold"/>
              </w:rPr>
              <w:t xml:space="preserve">Required materials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B51" w:rsidP="00DE0B51">
            <w:pPr>
              <w:pStyle w:val="BodyText"/>
            </w:pPr>
            <w:r w:rsidRPr="00DE0B51">
              <w:t>Required materials may include:</w:t>
            </w:r>
          </w:p>
          <w:p w:rsidR="00000000" w:rsidRPr="00DE0B51" w:rsidP="00DE0B51">
            <w:pPr>
              <w:pStyle w:val="ListBullet"/>
            </w:pPr>
            <w:r w:rsidRPr="00DE0B51">
              <w:t>measuring equipment</w:t>
            </w:r>
          </w:p>
          <w:p w:rsidR="00000000" w:rsidRPr="00DE0B51" w:rsidP="00DE0B51">
            <w:pPr>
              <w:pStyle w:val="ListBullet"/>
            </w:pPr>
            <w:r w:rsidRPr="00DE0B51">
              <w:t>camera</w:t>
            </w:r>
          </w:p>
          <w:p w:rsidR="00000000" w:rsidRPr="00DE0B51" w:rsidP="00DE0B51">
            <w:pPr>
              <w:pStyle w:val="ListBullet"/>
            </w:pPr>
            <w:r w:rsidRPr="00DE0B51">
              <w:t>drawing paper, pencils and eraser</w:t>
            </w:r>
          </w:p>
          <w:p w:rsidR="00000000" w:rsidRPr="00DE0B51" w:rsidP="00DE0B51">
            <w:pPr>
              <w:pStyle w:val="ListBullet"/>
            </w:pPr>
            <w:r w:rsidRPr="00DE0B51">
              <w:t>compass</w:t>
            </w:r>
          </w:p>
          <w:p w:rsidR="00000000" w:rsidRPr="00DE0B51" w:rsidP="00DE0B51">
            <w:pPr>
              <w:pStyle w:val="ListBullet"/>
            </w:pPr>
            <w:r w:rsidRPr="00DE0B51">
              <w:t>straight edge</w:t>
            </w:r>
          </w:p>
          <w:p w:rsidR="00000000" w:rsidRPr="00DE0B51" w:rsidP="00DE0B51">
            <w:pPr>
              <w:pStyle w:val="ListBullet"/>
            </w:pPr>
            <w:r w:rsidRPr="00DE0B51">
              <w:t>chalk</w:t>
            </w:r>
          </w:p>
          <w:p w:rsidR="00000000" w:rsidP="00DE0B51">
            <w:pPr>
              <w:pStyle w:val="ListBullet"/>
              <w:rPr>
                <w:lang w:val="en-NZ"/>
              </w:rPr>
            </w:pPr>
            <w:r w:rsidRPr="00DE0B51">
              <w:t>string</w:t>
            </w:r>
          </w:p>
        </w:tc>
      </w:tr>
      <w:tr w:rsidTr="00DE0B5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B51">
            <w:pPr>
              <w:pStyle w:val="BodyText"/>
              <w:rPr>
                <w:lang w:val="en-NZ"/>
              </w:rPr>
            </w:pPr>
            <w:r w:rsidRPr="00DE0B51">
              <w:rPr>
                <w:rStyle w:val="SpecialBold"/>
              </w:rPr>
              <w:t>Calculations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B51" w:rsidP="00DE0B51">
            <w:pPr>
              <w:pStyle w:val="BodyText"/>
            </w:pPr>
            <w:r w:rsidRPr="00DE0B51">
              <w:t>Calculations may include:</w:t>
            </w:r>
          </w:p>
          <w:p w:rsidR="00000000" w:rsidRPr="00DE0B51" w:rsidP="00DE0B51">
            <w:pPr>
              <w:pStyle w:val="ListBullet"/>
            </w:pPr>
            <w:r w:rsidRPr="00DE0B51">
              <w:t>area</w:t>
            </w:r>
          </w:p>
          <w:p w:rsidR="00000000" w:rsidRPr="00DE0B51" w:rsidP="00DE0B51">
            <w:pPr>
              <w:pStyle w:val="ListBullet"/>
            </w:pPr>
            <w:r w:rsidRPr="00DE0B51">
              <w:t>perimeter</w:t>
            </w:r>
          </w:p>
          <w:p w:rsidR="00000000" w:rsidRPr="00DE0B51" w:rsidP="00DE0B51">
            <w:pPr>
              <w:pStyle w:val="ListBullet"/>
            </w:pPr>
            <w:r w:rsidRPr="00DE0B51">
              <w:t>volume</w:t>
            </w:r>
          </w:p>
          <w:p w:rsidR="00000000" w:rsidRPr="00DE0B51" w:rsidP="00DE0B51">
            <w:pPr>
              <w:pStyle w:val="ListBullet"/>
            </w:pPr>
            <w:r w:rsidRPr="00DE0B51">
              <w:t>mass</w:t>
            </w:r>
          </w:p>
          <w:p w:rsidR="00000000" w:rsidRPr="00DE0B51" w:rsidP="00DE0B51">
            <w:pPr>
              <w:pStyle w:val="ListBullet"/>
            </w:pPr>
            <w:r w:rsidRPr="00DE0B51">
              <w:t>scales and ratios (ingredients/elements and triangulation) and addition</w:t>
            </w:r>
          </w:p>
          <w:p w:rsidR="00000000" w:rsidRPr="00DE0B51" w:rsidP="00DE0B51">
            <w:pPr>
              <w:pStyle w:val="ListBullet"/>
            </w:pPr>
            <w:r w:rsidRPr="00DE0B51">
              <w:t>subtraction</w:t>
            </w:r>
          </w:p>
          <w:p w:rsidR="00000000" w:rsidP="00DE0B51">
            <w:pPr>
              <w:pStyle w:val="ListBullet"/>
              <w:rPr>
                <w:lang w:val="en-NZ"/>
              </w:rPr>
            </w:pPr>
            <w:r w:rsidRPr="00DE0B51">
              <w:t>multiplication and division processes</w:t>
            </w:r>
          </w:p>
        </w:tc>
      </w:tr>
      <w:tr w:rsidTr="00DE0B5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B51">
            <w:pPr>
              <w:pStyle w:val="BodyText"/>
              <w:rPr>
                <w:lang w:val="en-NZ"/>
              </w:rPr>
            </w:pPr>
            <w:r w:rsidRPr="00DE0B51">
              <w:rPr>
                <w:rStyle w:val="SpecialBold"/>
              </w:rPr>
              <w:t>Other details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B51" w:rsidP="00DE0B51">
            <w:pPr>
              <w:pStyle w:val="BodyText"/>
            </w:pPr>
            <w:r w:rsidRPr="00DE0B51">
              <w:t>Other details may include:</w:t>
            </w:r>
          </w:p>
          <w:p w:rsidR="00000000" w:rsidRPr="00DE0B51" w:rsidP="00DE0B51">
            <w:pPr>
              <w:pStyle w:val="ListBullet"/>
            </w:pPr>
            <w:r w:rsidRPr="00DE0B51">
              <w:t>vegetation</w:t>
            </w:r>
          </w:p>
          <w:p w:rsidR="00000000" w:rsidRPr="00DE0B51" w:rsidP="00DE0B51">
            <w:pPr>
              <w:pStyle w:val="ListBullet"/>
            </w:pPr>
            <w:r w:rsidRPr="00DE0B51">
              <w:t>surrounding objects or structures</w:t>
            </w:r>
          </w:p>
          <w:p w:rsidR="00000000" w:rsidRPr="00DE0B51" w:rsidP="00DE0B51">
            <w:pPr>
              <w:pStyle w:val="ListBullet"/>
            </w:pPr>
            <w:r w:rsidRPr="00DE0B51">
              <w:t>access for vehicles</w:t>
            </w:r>
          </w:p>
          <w:p w:rsidR="00000000" w:rsidP="00DE0B51">
            <w:pPr>
              <w:pStyle w:val="ListBullet"/>
              <w:rPr>
                <w:lang w:val="en-NZ"/>
              </w:rPr>
            </w:pPr>
            <w:r w:rsidRPr="00DE0B51">
              <w:t>any other conditions which may impact on the project</w:t>
            </w:r>
          </w:p>
        </w:tc>
      </w:tr>
      <w:tr w:rsidTr="00DE0B5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B51">
            <w:pPr>
              <w:pStyle w:val="BodyText"/>
              <w:rPr>
                <w:lang w:val="en-NZ"/>
              </w:rPr>
            </w:pPr>
            <w:r w:rsidRPr="00DE0B51">
              <w:rPr>
                <w:rStyle w:val="SpecialBold"/>
              </w:rPr>
              <w:t>Standard drawing conventions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B51" w:rsidP="00DE0B51">
            <w:pPr>
              <w:pStyle w:val="BodyText"/>
            </w:pPr>
            <w:r w:rsidRPr="00DE0B51">
              <w:t>Standard drawing conventions may include:</w:t>
            </w:r>
          </w:p>
          <w:p w:rsidR="00000000" w:rsidRPr="00DE0B51" w:rsidP="00DE0B51">
            <w:pPr>
              <w:pStyle w:val="ListBullet"/>
            </w:pPr>
            <w:r w:rsidRPr="00DE0B51">
              <w:t xml:space="preserve">use of correct sectioning technique </w:t>
            </w:r>
          </w:p>
          <w:p w:rsidR="00000000" w:rsidRPr="00DE0B51" w:rsidP="00DE0B51">
            <w:pPr>
              <w:pStyle w:val="ListBullet"/>
            </w:pPr>
            <w:r w:rsidRPr="00DE0B51">
              <w:t xml:space="preserve">identification of cutting plane </w:t>
            </w:r>
          </w:p>
          <w:p w:rsidR="00000000" w:rsidRPr="00DE0B51" w:rsidP="00DE0B51">
            <w:pPr>
              <w:pStyle w:val="ListBullet"/>
            </w:pPr>
            <w:r w:rsidRPr="00DE0B51">
              <w:t xml:space="preserve">accurate line types </w:t>
            </w:r>
          </w:p>
          <w:p w:rsidR="00000000" w:rsidRPr="00DE0B51" w:rsidP="00DE0B51">
            <w:pPr>
              <w:pStyle w:val="ListBullet"/>
            </w:pPr>
            <w:r w:rsidRPr="00DE0B51">
              <w:t>appropriate view positions</w:t>
            </w:r>
          </w:p>
          <w:p w:rsidR="00000000" w:rsidRPr="00DE0B51" w:rsidP="00DE0B51">
            <w:pPr>
              <w:pStyle w:val="ListBullet"/>
            </w:pPr>
            <w:r w:rsidRPr="00DE0B51">
              <w:t>use of corre</w:t>
            </w:r>
            <w:r w:rsidRPr="00DE0B51">
              <w:t xml:space="preserve">ct symbols </w:t>
            </w:r>
          </w:p>
          <w:p w:rsidR="00000000" w:rsidRPr="00DE0B51" w:rsidP="00DE0B51">
            <w:pPr>
              <w:pStyle w:val="ListBullet"/>
            </w:pPr>
            <w:r w:rsidRPr="00DE0B51">
              <w:t xml:space="preserve">use of correct dimensioning technique </w:t>
            </w:r>
          </w:p>
          <w:p w:rsidR="00000000" w:rsidRPr="00DE0B51" w:rsidP="00DE0B51">
            <w:pPr>
              <w:pStyle w:val="ListBullet"/>
            </w:pPr>
            <w:r w:rsidRPr="00DE0B51">
              <w:t xml:space="preserve">provision of suitable number of views </w:t>
            </w:r>
          </w:p>
          <w:p w:rsidR="00000000" w:rsidRPr="00DE0B51" w:rsidP="00DE0B51">
            <w:pPr>
              <w:pStyle w:val="ListBullet"/>
            </w:pPr>
            <w:r w:rsidRPr="00DE0B51">
              <w:t xml:space="preserve">use of correct scales </w:t>
            </w:r>
          </w:p>
          <w:p w:rsidR="00000000" w:rsidP="00DE0B51">
            <w:pPr>
              <w:pStyle w:val="ListBullet"/>
              <w:rPr>
                <w:lang w:val="en-NZ"/>
              </w:rPr>
            </w:pPr>
            <w:r w:rsidRPr="00DE0B51">
              <w:t xml:space="preserve">neat presentation </w:t>
            </w:r>
          </w:p>
        </w:tc>
      </w:tr>
      <w:tr w:rsidTr="00DE0B5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B51">
            <w:pPr>
              <w:pStyle w:val="BodyText"/>
              <w:rPr>
                <w:lang w:val="en-NZ"/>
              </w:rPr>
            </w:pPr>
            <w:r w:rsidRPr="00DE0B51">
              <w:rPr>
                <w:rStyle w:val="SpecialBold"/>
              </w:rPr>
              <w:t xml:space="preserve">Drawing techniques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B51" w:rsidP="00DE0B51">
            <w:pPr>
              <w:pStyle w:val="BodyText"/>
            </w:pPr>
            <w:r w:rsidRPr="00DE0B51">
              <w:t>Drawing techniques may include:</w:t>
            </w:r>
          </w:p>
          <w:p w:rsidR="00000000" w:rsidRPr="00DE0B51" w:rsidP="00DE0B51">
            <w:pPr>
              <w:pStyle w:val="ListBullet"/>
            </w:pPr>
            <w:r w:rsidRPr="00DE0B51">
              <w:t>orthogonal projection:</w:t>
            </w:r>
          </w:p>
          <w:p w:rsidR="00000000" w:rsidRPr="00DE0B51" w:rsidP="00DE0B51">
            <w:pPr>
              <w:pStyle w:val="ListBullet2"/>
            </w:pPr>
            <w:r w:rsidRPr="00DE0B51">
              <w:t>first angle projection</w:t>
            </w:r>
          </w:p>
          <w:p w:rsidR="00000000" w:rsidRPr="00DE0B51" w:rsidP="00DE0B51">
            <w:pPr>
              <w:pStyle w:val="ListBullet2"/>
            </w:pPr>
            <w:r w:rsidRPr="00DE0B51">
              <w:t>third angle projection</w:t>
            </w:r>
          </w:p>
          <w:p w:rsidR="00000000" w:rsidRPr="00DE0B51" w:rsidP="00DE0B51">
            <w:pPr>
              <w:pStyle w:val="ListBullet2"/>
            </w:pPr>
            <w:r w:rsidRPr="00DE0B51">
              <w:t>projection symbol</w:t>
            </w:r>
          </w:p>
          <w:p w:rsidR="00000000" w:rsidRPr="00DE0B51" w:rsidP="00DE0B51">
            <w:pPr>
              <w:pStyle w:val="ListBullet2"/>
            </w:pPr>
            <w:r w:rsidRPr="00DE0B51">
              <w:t>preferred system of projection in Australia</w:t>
            </w:r>
          </w:p>
          <w:p w:rsidR="00000000" w:rsidRPr="00DE0B51" w:rsidP="00DE0B51">
            <w:pPr>
              <w:pStyle w:val="ListBullet2"/>
            </w:pPr>
            <w:r w:rsidRPr="00DE0B51">
              <w:t>number of views</w:t>
            </w:r>
          </w:p>
          <w:p w:rsidR="00000000" w:rsidRPr="00DE0B51" w:rsidP="00DE0B51">
            <w:pPr>
              <w:pStyle w:val="ListBullet2"/>
            </w:pPr>
            <w:r w:rsidRPr="00DE0B51">
              <w:t>relationship of views</w:t>
            </w:r>
          </w:p>
          <w:p w:rsidR="00000000" w:rsidRPr="00DE0B51" w:rsidP="00DE0B51">
            <w:pPr>
              <w:pStyle w:val="ListBullet"/>
            </w:pPr>
            <w:r w:rsidRPr="00DE0B51">
              <w:t>pictorial sketching:</w:t>
            </w:r>
          </w:p>
          <w:p w:rsidR="00000000" w:rsidRPr="00DE0B51" w:rsidP="00DE0B51">
            <w:pPr>
              <w:pStyle w:val="ListBullet2"/>
            </w:pPr>
            <w:r w:rsidRPr="00DE0B51">
              <w:t>isometric</w:t>
            </w:r>
          </w:p>
          <w:p w:rsidR="00000000" w:rsidRPr="00DE0B51" w:rsidP="00DE0B51">
            <w:pPr>
              <w:pStyle w:val="ListBullet2"/>
            </w:pPr>
            <w:r w:rsidRPr="00DE0B51">
              <w:t>orthogonal (cabinet and cavalier)</w:t>
            </w:r>
          </w:p>
          <w:p w:rsidR="00000000" w:rsidRPr="00DE0B51" w:rsidP="00DE0B51">
            <w:pPr>
              <w:pStyle w:val="ListBullet2"/>
            </w:pPr>
            <w:r w:rsidRPr="00DE0B51">
              <w:t>pictorial</w:t>
            </w:r>
          </w:p>
          <w:p w:rsidR="00000000" w:rsidRPr="00DE0B51" w:rsidP="00DE0B51">
            <w:pPr>
              <w:pStyle w:val="ListBullet"/>
            </w:pPr>
            <w:r w:rsidRPr="00DE0B51">
              <w:t>sheet format:</w:t>
            </w:r>
          </w:p>
          <w:p w:rsidR="00000000" w:rsidRPr="00DE0B51" w:rsidP="00DE0B51">
            <w:pPr>
              <w:pStyle w:val="ListBullet2"/>
            </w:pPr>
            <w:r w:rsidRPr="00DE0B51">
              <w:t>borders and title blocks</w:t>
            </w:r>
          </w:p>
          <w:p w:rsidR="00000000" w:rsidRPr="00DE0B51" w:rsidP="00DE0B51">
            <w:pPr>
              <w:pStyle w:val="ListBullet2"/>
            </w:pPr>
            <w:r w:rsidRPr="00DE0B51">
              <w:t>application of projection symbol</w:t>
            </w:r>
          </w:p>
          <w:p w:rsidR="00000000" w:rsidRPr="00DE0B51" w:rsidP="00DE0B51">
            <w:pPr>
              <w:pStyle w:val="ListBullet2"/>
            </w:pPr>
            <w:r w:rsidRPr="00DE0B51">
              <w:t>drawing sheets and sizes</w:t>
            </w:r>
          </w:p>
          <w:p w:rsidR="00000000" w:rsidRPr="00DE0B51" w:rsidP="00DE0B51">
            <w:pPr>
              <w:pStyle w:val="ListBullet2"/>
            </w:pPr>
            <w:r w:rsidRPr="00DE0B51">
              <w:t>lettering styles</w:t>
            </w:r>
          </w:p>
          <w:p w:rsidR="00000000" w:rsidRPr="00DE0B51" w:rsidP="00DE0B51">
            <w:pPr>
              <w:pStyle w:val="ListBullet2"/>
            </w:pPr>
            <w:r w:rsidRPr="00DE0B51">
              <w:t>Australian Standards</w:t>
            </w:r>
          </w:p>
          <w:p w:rsidR="00000000" w:rsidRPr="00DE0B51" w:rsidP="00DE0B51">
            <w:pPr>
              <w:pStyle w:val="ListBullet"/>
            </w:pPr>
            <w:r w:rsidRPr="00DE0B51">
              <w:t>dimensioning:</w:t>
            </w:r>
          </w:p>
          <w:p w:rsidR="00000000" w:rsidRPr="00DE0B51" w:rsidP="00DE0B51">
            <w:pPr>
              <w:pStyle w:val="ListBullet2"/>
            </w:pPr>
            <w:r w:rsidRPr="00DE0B51">
              <w:t>unidirectional dimensioning</w:t>
            </w:r>
          </w:p>
          <w:p w:rsidR="00000000" w:rsidRPr="00DE0B51" w:rsidP="00DE0B51">
            <w:pPr>
              <w:pStyle w:val="ListBullet2"/>
            </w:pPr>
            <w:r w:rsidRPr="00DE0B51">
              <w:t>aligned dimensioning</w:t>
            </w:r>
          </w:p>
          <w:p w:rsidR="00000000" w:rsidRPr="00DE0B51" w:rsidP="00DE0B51">
            <w:pPr>
              <w:pStyle w:val="ListBullet2"/>
            </w:pPr>
            <w:r w:rsidRPr="00DE0B51">
              <w:t xml:space="preserve">projection and dimension lines </w:t>
            </w:r>
          </w:p>
          <w:p w:rsidR="00000000" w:rsidRPr="00DE0B51" w:rsidP="00DE0B51">
            <w:pPr>
              <w:pStyle w:val="ListBullet2"/>
            </w:pPr>
            <w:r w:rsidRPr="00DE0B51">
              <w:t>arrow heads</w:t>
            </w:r>
          </w:p>
          <w:p w:rsidR="00000000" w:rsidRPr="00DE0B51" w:rsidP="00DE0B51">
            <w:pPr>
              <w:pStyle w:val="ListBullet2"/>
            </w:pPr>
            <w:r w:rsidRPr="00DE0B51">
              <w:t>dimension placement</w:t>
            </w:r>
          </w:p>
          <w:p w:rsidR="00000000" w:rsidRPr="00DE0B51" w:rsidP="00DE0B51">
            <w:pPr>
              <w:pStyle w:val="ListBullet"/>
            </w:pPr>
            <w:r w:rsidRPr="00DE0B51">
              <w:t>sectioning:</w:t>
            </w:r>
          </w:p>
          <w:p w:rsidR="00000000" w:rsidRPr="00DE0B51" w:rsidP="00DE0B51">
            <w:pPr>
              <w:pStyle w:val="ListBullet2"/>
            </w:pPr>
            <w:r w:rsidRPr="00DE0B51">
              <w:t>types of sections</w:t>
            </w:r>
          </w:p>
          <w:p w:rsidR="00000000" w:rsidRPr="00DE0B51" w:rsidP="00DE0B51">
            <w:pPr>
              <w:pStyle w:val="ListBullet2"/>
            </w:pPr>
            <w:r w:rsidRPr="00DE0B51">
              <w:t>required section views</w:t>
            </w:r>
          </w:p>
          <w:p w:rsidR="00000000" w:rsidRPr="00DE0B51" w:rsidP="00DE0B51">
            <w:pPr>
              <w:pStyle w:val="ListBullet2"/>
            </w:pPr>
            <w:r w:rsidRPr="00DE0B51">
              <w:t>placement</w:t>
            </w:r>
            <w:r w:rsidRPr="00DE0B51">
              <w:t xml:space="preserve"> of views</w:t>
            </w:r>
          </w:p>
          <w:p w:rsidR="00000000" w:rsidRPr="00DE0B51" w:rsidP="00DE0B51">
            <w:pPr>
              <w:pStyle w:val="ListBullet2"/>
            </w:pPr>
            <w:r w:rsidRPr="00DE0B51">
              <w:t>cutting planes</w:t>
            </w:r>
          </w:p>
          <w:p w:rsidR="00000000" w:rsidP="00DE0B51">
            <w:pPr>
              <w:pStyle w:val="ListBullet2"/>
              <w:rPr>
                <w:lang w:val="en-NZ"/>
              </w:rPr>
            </w:pPr>
            <w:r w:rsidRPr="00DE0B51">
              <w:t>labelling of cutting planes and section views</w:t>
            </w:r>
          </w:p>
        </w:tc>
      </w:tr>
      <w:tr w:rsidTr="00DE0B5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B51">
            <w:pPr>
              <w:pStyle w:val="BodyText"/>
              <w:rPr>
                <w:lang w:val="en-NZ"/>
              </w:rPr>
            </w:pPr>
            <w:r w:rsidRPr="00DE0B51">
              <w:rPr>
                <w:rStyle w:val="SpecialBold"/>
              </w:rPr>
              <w:t>Drawing constructions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B51" w:rsidP="00DE0B51">
            <w:pPr>
              <w:pStyle w:val="BodyText"/>
            </w:pPr>
            <w:r w:rsidRPr="00DE0B51">
              <w:t>Drawing constructions may include:</w:t>
            </w:r>
          </w:p>
          <w:p w:rsidR="00000000" w:rsidRPr="00DE0B51" w:rsidP="00DE0B51">
            <w:pPr>
              <w:pStyle w:val="ListBullet"/>
            </w:pPr>
            <w:r w:rsidRPr="00DE0B51">
              <w:t>isometric axes</w:t>
            </w:r>
          </w:p>
          <w:p w:rsidR="00000000" w:rsidRPr="00DE0B51" w:rsidP="00DE0B51">
            <w:pPr>
              <w:pStyle w:val="ListBullet"/>
            </w:pPr>
            <w:r w:rsidRPr="00DE0B51">
              <w:t>isometric angles</w:t>
            </w:r>
          </w:p>
          <w:p w:rsidR="00000000" w:rsidRPr="00DE0B51" w:rsidP="00DE0B51">
            <w:pPr>
              <w:pStyle w:val="ListBullet"/>
            </w:pPr>
            <w:r w:rsidRPr="00DE0B51">
              <w:t>isometric lines</w:t>
            </w:r>
          </w:p>
          <w:p w:rsidR="00000000" w:rsidRPr="00DE0B51" w:rsidP="00DE0B51">
            <w:pPr>
              <w:pStyle w:val="ListBullet"/>
            </w:pPr>
            <w:r w:rsidRPr="00DE0B51">
              <w:t>non-isometric lines</w:t>
            </w:r>
          </w:p>
          <w:p w:rsidR="00000000" w:rsidRPr="00DE0B51" w:rsidP="00DE0B51">
            <w:pPr>
              <w:pStyle w:val="ListBullet"/>
            </w:pPr>
            <w:r w:rsidRPr="00DE0B51">
              <w:t>isometric circles:</w:t>
            </w:r>
          </w:p>
          <w:p w:rsidR="00000000" w:rsidRPr="00DE0B51" w:rsidP="00DE0B51">
            <w:pPr>
              <w:pStyle w:val="ListBullet2"/>
            </w:pPr>
            <w:r w:rsidRPr="00DE0B51">
              <w:t>four centre method</w:t>
            </w:r>
          </w:p>
          <w:p w:rsidR="00000000" w:rsidRPr="00DE0B51" w:rsidP="00DE0B51">
            <w:pPr>
              <w:pStyle w:val="ListBullet2"/>
            </w:pPr>
            <w:r w:rsidRPr="00DE0B51">
              <w:t>ordinate method</w:t>
            </w:r>
          </w:p>
          <w:p w:rsidR="00000000" w:rsidRPr="00DE0B51" w:rsidP="00DE0B51">
            <w:pPr>
              <w:pStyle w:val="ListBullet"/>
            </w:pPr>
            <w:r w:rsidRPr="00DE0B51">
              <w:t>sectioning isometric shapes</w:t>
            </w:r>
          </w:p>
        </w:tc>
      </w:tr>
    </w:tbl>
    <w:p w:rsidR="00000000" w:rsidRPr="00DE0B51" w:rsidP="00DE0B51">
      <w:pPr>
        <w:pStyle w:val="BodyText"/>
      </w:pPr>
    </w:p>
    <w:p w:rsidR="00000000" w:rsidRPr="00DE0B51" w:rsidP="00DE0B51">
      <w:pPr>
        <w:pStyle w:val="AllowPageBreak"/>
      </w:pPr>
    </w:p>
    <w:p w:rsidR="00000000" w:rsidRPr="00DE0B51" w:rsidP="00DE0B51">
      <w:pPr>
        <w:pStyle w:val="Heading1"/>
      </w:pPr>
      <w:bookmarkStart w:id="12" w:name="O_476728"/>
      <w:bookmarkEnd w:id="12"/>
      <w:r w:rsidRPr="00DE0B51">
        <w:t>Unit Sector(s)</w:t>
      </w:r>
    </w:p>
    <w:p w:rsidR="00000000" w:rsidRPr="00DE0B51" w:rsidP="00DE0B51">
      <w:pPr>
        <w:pStyle w:val="BodyText"/>
      </w:pPr>
      <w:r w:rsidRPr="00DE0B51">
        <w:t>Drawing, drafting and design</w:t>
      </w:r>
    </w:p>
    <w:p w:rsidR="00000000" w:rsidRPr="00DE0B51" w:rsidP="00DE0B51">
      <w:pPr>
        <w:pStyle w:val="AllowPageBreak"/>
      </w:pPr>
    </w:p>
    <w:p w:rsidR="00000000" w:rsidRPr="00DE0B51" w:rsidP="00DE0B51">
      <w:pPr>
        <w:pStyle w:val="Heading1"/>
      </w:pPr>
      <w:bookmarkStart w:id="13" w:name="O_476729"/>
      <w:bookmarkEnd w:id="13"/>
      <w:r w:rsidRPr="00DE0B51">
        <w:t>Custom Content Section</w:t>
      </w:r>
    </w:p>
    <w:p w:rsidR="00000000" w:rsidRPr="00DE0B51" w:rsidP="00DE0B51">
      <w:pPr>
        <w:pStyle w:val="BodyText"/>
      </w:pPr>
      <w:r w:rsidRPr="00DE0B51">
        <w:t>Not applicable.</w:t>
      </w:r>
    </w:p>
    <w:p w:rsidR="00000000" w:rsidRPr="00DE0B51" w:rsidP="00DE0B51"/>
    <w:sectPr w:rsidSect="00DE0B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0DF3" w:rsidP="00D60DF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DF3" w:rsidP="00DE0B5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0DF3" w:rsidP="00DE0B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60DF3" w:rsidP="00DE0B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51" w:rsidRPr="00D60DF3" w:rsidP="00D60D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DF3" w:rsidP="00DE0B51">
    <w:pPr>
      <w:pStyle w:val="Header"/>
      <w:framePr w:wrap="around"/>
    </w:pPr>
    <w:r>
      <w:fldChar w:fldCharType="begin"/>
    </w:r>
    <w:r>
      <w:instrText xml:space="preserve"> TITLE   \* MERGEFORMAT </w:instrText>
    </w:r>
    <w:r>
      <w:fldChar w:fldCharType="separate"/>
    </w:r>
    <w:r>
      <w:t>MEM09203A Measure and sketch site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D60DF3" w:rsidP="00DE0B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EE9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2C4B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F2B3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B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0B51"/>
    <w:pPr>
      <w:spacing w:before="360" w:after="60"/>
      <w:outlineLvl w:val="0"/>
    </w:pPr>
    <w:rPr>
      <w:sz w:val="32"/>
    </w:rPr>
  </w:style>
  <w:style w:type="paragraph" w:styleId="Heading2">
    <w:name w:val="heading 2"/>
    <w:basedOn w:val="HeadingBase"/>
    <w:next w:val="BodyText"/>
    <w:link w:val="Heading2Char"/>
    <w:qFormat/>
    <w:rsid w:val="00DE0B51"/>
    <w:pPr>
      <w:keepLines/>
      <w:spacing w:before="240" w:after="120"/>
      <w:outlineLvl w:val="1"/>
    </w:pPr>
    <w:rPr>
      <w:sz w:val="28"/>
      <w:szCs w:val="40"/>
    </w:rPr>
  </w:style>
  <w:style w:type="paragraph" w:styleId="Heading3">
    <w:name w:val="heading 3"/>
    <w:basedOn w:val="HeadingBase"/>
    <w:next w:val="BodyText"/>
    <w:link w:val="Heading3Char"/>
    <w:qFormat/>
    <w:rsid w:val="00DE0B51"/>
    <w:pPr>
      <w:spacing w:before="180" w:after="120"/>
      <w:outlineLvl w:val="2"/>
    </w:pPr>
    <w:rPr>
      <w:spacing w:val="-10"/>
      <w:kern w:val="32"/>
    </w:rPr>
  </w:style>
  <w:style w:type="paragraph" w:styleId="Heading4">
    <w:name w:val="heading 4"/>
    <w:basedOn w:val="HeadingBase"/>
    <w:next w:val="BodyText"/>
    <w:link w:val="Heading4Char"/>
    <w:qFormat/>
    <w:rsid w:val="00DE0B51"/>
    <w:pPr>
      <w:spacing w:before="160" w:after="120"/>
      <w:outlineLvl w:val="3"/>
    </w:pPr>
    <w:rPr>
      <w:sz w:val="22"/>
    </w:rPr>
  </w:style>
  <w:style w:type="paragraph" w:styleId="Heading5">
    <w:name w:val="heading 5"/>
    <w:basedOn w:val="HeadingBase"/>
    <w:next w:val="Normal"/>
    <w:link w:val="Heading5Char"/>
    <w:qFormat/>
    <w:rsid w:val="00DE0B51"/>
    <w:pPr>
      <w:spacing w:before="80"/>
      <w:outlineLvl w:val="4"/>
    </w:pPr>
    <w:rPr>
      <w:color w:val="918585"/>
      <w:sz w:val="20"/>
    </w:rPr>
  </w:style>
  <w:style w:type="paragraph" w:styleId="Heading6">
    <w:name w:val="heading 6"/>
    <w:basedOn w:val="HeadingBase"/>
    <w:next w:val="Normal"/>
    <w:link w:val="Heading6Char"/>
    <w:qFormat/>
    <w:rsid w:val="00DE0B51"/>
    <w:pPr>
      <w:spacing w:before="60"/>
      <w:outlineLvl w:val="5"/>
    </w:pPr>
    <w:rPr>
      <w:color w:val="918585"/>
      <w:sz w:val="20"/>
    </w:rPr>
  </w:style>
  <w:style w:type="paragraph" w:styleId="Heading7">
    <w:name w:val="heading 7"/>
    <w:basedOn w:val="Normal"/>
    <w:next w:val="Normal"/>
    <w:link w:val="Heading7Char"/>
    <w:qFormat/>
    <w:rsid w:val="00DE0B51"/>
    <w:pPr>
      <w:ind w:left="720"/>
      <w:outlineLvl w:val="6"/>
    </w:pPr>
    <w:rPr>
      <w:i/>
    </w:rPr>
  </w:style>
  <w:style w:type="paragraph" w:styleId="Heading8">
    <w:name w:val="heading 8"/>
    <w:basedOn w:val="Normal"/>
    <w:next w:val="Normal"/>
    <w:link w:val="Heading8Char"/>
    <w:qFormat/>
    <w:rsid w:val="00DE0B51"/>
    <w:pPr>
      <w:ind w:left="720"/>
      <w:outlineLvl w:val="7"/>
    </w:pPr>
    <w:rPr>
      <w:i/>
    </w:rPr>
  </w:style>
  <w:style w:type="paragraph" w:styleId="Heading9">
    <w:name w:val="heading 9"/>
    <w:basedOn w:val="Normal"/>
    <w:next w:val="Normal"/>
    <w:link w:val="Heading9Char"/>
    <w:qFormat/>
    <w:rsid w:val="00DE0B51"/>
    <w:pPr>
      <w:ind w:left="720"/>
      <w:outlineLvl w:val="8"/>
    </w:pPr>
    <w:rPr>
      <w:i/>
    </w:rPr>
  </w:style>
  <w:style w:type="character" w:default="1" w:styleId="DefaultParagraphFont">
    <w:name w:val="Default Paragraph Font"/>
    <w:uiPriority w:val="1"/>
    <w:unhideWhenUsed/>
    <w:rsid w:val="00DE0B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0B51"/>
  </w:style>
  <w:style w:type="character" w:customStyle="1" w:styleId="Heading1Char">
    <w:name w:val="Heading 1 Char"/>
    <w:basedOn w:val="DefaultParagraphFont"/>
    <w:link w:val="Heading1"/>
    <w:rsid w:val="00DE0B51"/>
    <w:rPr>
      <w:rFonts w:ascii="Times New Roman" w:eastAsia="Times New Roman" w:hAnsi="Times New Roman" w:cs="Times New Roman"/>
      <w:b/>
      <w:sz w:val="32"/>
      <w:szCs w:val="20"/>
      <w:lang w:eastAsia="en-US"/>
    </w:rPr>
  </w:style>
  <w:style w:type="paragraph" w:styleId="BodyText">
    <w:name w:val="Body Text"/>
    <w:basedOn w:val="Normal"/>
    <w:link w:val="BodyTextChar"/>
    <w:rsid w:val="00DE0B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0B51"/>
    <w:rPr>
      <w:rFonts w:ascii="Times New Roman" w:eastAsia="Times New Roman" w:hAnsi="Times New Roman" w:cs="Times New Roman"/>
      <w:sz w:val="24"/>
      <w:lang w:eastAsia="en-US"/>
    </w:rPr>
  </w:style>
  <w:style w:type="paragraph" w:styleId="Footer">
    <w:name w:val="footer"/>
    <w:basedOn w:val="Normal"/>
    <w:link w:val="FooterChar"/>
    <w:rsid w:val="00DE0B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0B51"/>
    <w:rPr>
      <w:rFonts w:ascii="Times New Roman" w:eastAsia="Times New Roman" w:hAnsi="Times New Roman" w:cs="Times New Roman"/>
      <w:sz w:val="16"/>
      <w:lang w:eastAsia="en-US"/>
    </w:rPr>
  </w:style>
  <w:style w:type="paragraph" w:styleId="ListBullet">
    <w:name w:val="List Bullet"/>
    <w:basedOn w:val="List"/>
    <w:rsid w:val="00DE0B51"/>
    <w:pPr>
      <w:numPr>
        <w:numId w:val="13"/>
      </w:numPr>
      <w:tabs>
        <w:tab w:val="clear" w:pos="340"/>
      </w:tabs>
      <w:spacing w:before="40" w:after="40"/>
    </w:pPr>
  </w:style>
  <w:style w:type="character" w:customStyle="1" w:styleId="SpecialBold">
    <w:name w:val="Special Bold"/>
    <w:basedOn w:val="DefaultParagraphFont"/>
    <w:rsid w:val="00DE0B51"/>
    <w:rPr>
      <w:b/>
      <w:spacing w:val="0"/>
    </w:rPr>
  </w:style>
  <w:style w:type="paragraph" w:styleId="ListBullet2">
    <w:name w:val="List Bullet 2"/>
    <w:basedOn w:val="List2"/>
    <w:rsid w:val="00DE0B51"/>
    <w:pPr>
      <w:numPr>
        <w:numId w:val="14"/>
      </w:numPr>
      <w:tabs>
        <w:tab w:val="clear" w:pos="680"/>
      </w:tabs>
    </w:pPr>
  </w:style>
  <w:style w:type="paragraph" w:customStyle="1" w:styleId="SuperHeading">
    <w:name w:val="SuperHeading"/>
    <w:basedOn w:val="Normal"/>
    <w:rsid w:val="00DE0B51"/>
    <w:pPr>
      <w:spacing w:before="240" w:after="120"/>
      <w:outlineLvl w:val="0"/>
    </w:pPr>
    <w:rPr>
      <w:rFonts w:ascii="Times New Roman" w:hAnsi="Times New Roman"/>
      <w:b/>
      <w:sz w:val="28"/>
    </w:rPr>
  </w:style>
  <w:style w:type="paragraph" w:customStyle="1" w:styleId="AllowPageBreak">
    <w:name w:val="AllowPageBreak"/>
    <w:rsid w:val="00DE0B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0B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0B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0B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0B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0B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0B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0B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0B51"/>
    <w:rPr>
      <w:rFonts w:ascii="Courier New" w:eastAsia="Times New Roman" w:hAnsi="Courier New" w:cs="Times New Roman"/>
      <w:i/>
      <w:szCs w:val="20"/>
      <w:lang w:eastAsia="en-US"/>
    </w:rPr>
  </w:style>
  <w:style w:type="paragraph" w:customStyle="1" w:styleId="HeadingBase">
    <w:name w:val="Heading Base"/>
    <w:rsid w:val="00DE0B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0B51"/>
    <w:pPr>
      <w:tabs>
        <w:tab w:val="right" w:leader="dot" w:pos="9072"/>
      </w:tabs>
      <w:ind w:left="567"/>
    </w:pPr>
    <w:rPr>
      <w:szCs w:val="22"/>
    </w:rPr>
  </w:style>
  <w:style w:type="paragraph" w:customStyle="1" w:styleId="TOCBase">
    <w:name w:val="TOC Base"/>
    <w:rsid w:val="00DE0B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0B51"/>
    <w:pPr>
      <w:tabs>
        <w:tab w:val="right" w:leader="dot" w:pos="9072"/>
      </w:tabs>
      <w:spacing w:before="40" w:after="40"/>
      <w:ind w:left="284"/>
    </w:pPr>
    <w:rPr>
      <w:rFonts w:ascii="Times New Roman" w:hAnsi="Times New Roman"/>
    </w:rPr>
  </w:style>
  <w:style w:type="paragraph" w:styleId="TOC1">
    <w:name w:val="toc 1"/>
    <w:basedOn w:val="TOCBase"/>
    <w:next w:val="Normal"/>
    <w:rsid w:val="00DE0B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0B51"/>
    <w:pPr>
      <w:spacing w:before="5040"/>
      <w:jc w:val="center"/>
    </w:pPr>
    <w:rPr>
      <w:sz w:val="48"/>
      <w:szCs w:val="72"/>
      <w:lang w:val="en-US"/>
    </w:rPr>
  </w:style>
  <w:style w:type="character" w:customStyle="1" w:styleId="TitleChar">
    <w:name w:val="Title Char"/>
    <w:basedOn w:val="DefaultParagraphFont"/>
    <w:link w:val="Title"/>
    <w:rsid w:val="00DE0B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0B51"/>
    <w:pPr>
      <w:tabs>
        <w:tab w:val="left" w:pos="3600"/>
        <w:tab w:val="left" w:pos="3958"/>
      </w:tabs>
    </w:pPr>
  </w:style>
  <w:style w:type="paragraph" w:styleId="List">
    <w:name w:val="List"/>
    <w:basedOn w:val="BodyText"/>
    <w:next w:val="BodyText"/>
    <w:rsid w:val="00DE0B51"/>
    <w:pPr>
      <w:tabs>
        <w:tab w:val="left" w:pos="340"/>
      </w:tabs>
      <w:spacing w:before="60" w:after="60"/>
      <w:ind w:left="340" w:hanging="340"/>
    </w:pPr>
  </w:style>
  <w:style w:type="paragraph" w:customStyle="1" w:styleId="Note">
    <w:name w:val="Note"/>
    <w:basedOn w:val="BodyText"/>
    <w:rsid w:val="00DE0B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0B51"/>
    <w:pPr>
      <w:framePr w:wrap="auto" w:hAnchor="text" w:y="6049"/>
    </w:pPr>
    <w:rPr>
      <w:color w:val="000000"/>
      <w:sz w:val="40"/>
    </w:rPr>
  </w:style>
  <w:style w:type="paragraph" w:customStyle="1" w:styleId="TOCTitle">
    <w:name w:val="TOCTitle"/>
    <w:basedOn w:val="Heading1"/>
    <w:rsid w:val="00DE0B51"/>
    <w:pPr>
      <w:spacing w:after="240"/>
      <w:jc w:val="center"/>
      <w:outlineLvl w:val="9"/>
    </w:pPr>
    <w:rPr>
      <w:caps/>
    </w:rPr>
  </w:style>
  <w:style w:type="paragraph" w:customStyle="1" w:styleId="Version">
    <w:name w:val="Version"/>
    <w:rsid w:val="00DE0B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0B51"/>
    <w:pPr>
      <w:keepNext w:val="0"/>
      <w:tabs>
        <w:tab w:val="right" w:pos="4176"/>
      </w:tabs>
      <w:ind w:left="198" w:hanging="198"/>
    </w:pPr>
    <w:rPr>
      <w:rFonts w:ascii="Garamond" w:hAnsi="Garamond"/>
    </w:rPr>
  </w:style>
  <w:style w:type="paragraph" w:styleId="IndexHeading">
    <w:name w:val="index heading"/>
    <w:basedOn w:val="Normal"/>
    <w:next w:val="Index1"/>
    <w:semiHidden/>
    <w:rsid w:val="00DE0B51"/>
    <w:pPr>
      <w:spacing w:before="120" w:after="120"/>
    </w:pPr>
    <w:rPr>
      <w:rFonts w:ascii="Arial" w:hAnsi="Arial"/>
      <w:b/>
      <w:color w:val="918585"/>
      <w:sz w:val="24"/>
    </w:rPr>
  </w:style>
  <w:style w:type="paragraph" w:styleId="Header">
    <w:name w:val="header"/>
    <w:basedOn w:val="Normal"/>
    <w:link w:val="HeaderChar"/>
    <w:rsid w:val="00DE0B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0B51"/>
    <w:rPr>
      <w:rFonts w:ascii="Times New Roman" w:eastAsia="Times New Roman" w:hAnsi="Times New Roman" w:cs="Times New Roman"/>
      <w:sz w:val="16"/>
      <w:szCs w:val="20"/>
      <w:lang w:val="en-GB" w:eastAsia="en-US"/>
    </w:rPr>
  </w:style>
  <w:style w:type="paragraph" w:customStyle="1" w:styleId="Chapter">
    <w:name w:val="Chapter"/>
    <w:basedOn w:val="Normal"/>
    <w:rsid w:val="00DE0B51"/>
    <w:pPr>
      <w:spacing w:before="240"/>
    </w:pPr>
    <w:rPr>
      <w:rFonts w:ascii="Times New Roman" w:hAnsi="Times New Roman"/>
      <w:smallCaps/>
      <w:spacing w:val="80"/>
      <w:sz w:val="28"/>
    </w:rPr>
  </w:style>
  <w:style w:type="paragraph" w:customStyle="1" w:styleId="InChapter">
    <w:name w:val="InChapter"/>
    <w:basedOn w:val="Heading3"/>
    <w:rsid w:val="00DE0B51"/>
    <w:pPr>
      <w:spacing w:after="240"/>
      <w:outlineLvl w:val="9"/>
    </w:pPr>
    <w:rPr>
      <w:noProof/>
    </w:rPr>
  </w:style>
  <w:style w:type="paragraph" w:styleId="Index2">
    <w:name w:val="index 2"/>
    <w:basedOn w:val="Normal"/>
    <w:next w:val="Normal"/>
    <w:semiHidden/>
    <w:rsid w:val="00DE0B51"/>
    <w:pPr>
      <w:tabs>
        <w:tab w:val="right" w:pos="4176"/>
      </w:tabs>
      <w:ind w:left="568" w:hanging="284"/>
    </w:pPr>
    <w:rPr>
      <w:rFonts w:ascii="Garamond" w:hAnsi="Garamond"/>
    </w:rPr>
  </w:style>
  <w:style w:type="paragraph" w:customStyle="1" w:styleId="Byline">
    <w:name w:val="Byline"/>
    <w:rsid w:val="00DE0B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0B51"/>
    <w:pPr>
      <w:tabs>
        <w:tab w:val="clear" w:pos="3600"/>
        <w:tab w:val="clear" w:pos="3958"/>
      </w:tabs>
      <w:jc w:val="right"/>
    </w:pPr>
  </w:style>
  <w:style w:type="character" w:styleId="Emphasis">
    <w:name w:val="Emphasis"/>
    <w:basedOn w:val="DefaultParagraphFont"/>
    <w:qFormat/>
    <w:rsid w:val="00DE0B51"/>
    <w:rPr>
      <w:i/>
    </w:rPr>
  </w:style>
  <w:style w:type="paragraph" w:styleId="Caption">
    <w:name w:val="caption"/>
    <w:basedOn w:val="BodyText"/>
    <w:next w:val="Normal"/>
    <w:qFormat/>
    <w:rsid w:val="00DE0B51"/>
    <w:pPr>
      <w:framePr w:w="2268" w:hSpace="181" w:vSpace="181" w:wrap="around" w:vAnchor="text" w:hAnchor="page" w:x="1135" w:y="285" w:anchorLock="1"/>
    </w:pPr>
    <w:rPr>
      <w:i/>
    </w:rPr>
  </w:style>
  <w:style w:type="paragraph" w:customStyle="1" w:styleId="MiniTOCTitle">
    <w:name w:val="MiniTOCTitle"/>
    <w:basedOn w:val="Heading4"/>
    <w:rsid w:val="00DE0B51"/>
    <w:pPr>
      <w:spacing w:before="240"/>
      <w:outlineLvl w:val="9"/>
    </w:pPr>
    <w:rPr>
      <w:noProof/>
      <w:sz w:val="24"/>
    </w:rPr>
  </w:style>
  <w:style w:type="paragraph" w:customStyle="1" w:styleId="MiniTOCItem">
    <w:name w:val="MiniTOCItem"/>
    <w:basedOn w:val="ListBullet"/>
    <w:rsid w:val="00DE0B51"/>
    <w:pPr>
      <w:numPr>
        <w:numId w:val="0"/>
      </w:numPr>
      <w:tabs>
        <w:tab w:val="right" w:leader="dot" w:pos="6521"/>
      </w:tabs>
      <w:spacing w:before="0" w:after="0"/>
    </w:pPr>
  </w:style>
  <w:style w:type="paragraph" w:customStyle="1" w:styleId="TOFTitle">
    <w:name w:val="TOFTitle"/>
    <w:basedOn w:val="TOCTitle"/>
    <w:rsid w:val="00DE0B51"/>
  </w:style>
  <w:style w:type="paragraph" w:styleId="TableofFigures">
    <w:name w:val="table of figures"/>
    <w:basedOn w:val="Normal"/>
    <w:next w:val="Normal"/>
    <w:semiHidden/>
    <w:rsid w:val="00DE0B51"/>
    <w:pPr>
      <w:tabs>
        <w:tab w:val="right" w:leader="dot" w:pos="9072"/>
      </w:tabs>
      <w:ind w:left="970" w:hanging="403"/>
    </w:pPr>
    <w:rPr>
      <w:rFonts w:ascii="Times New Roman" w:hAnsi="Times New Roman"/>
      <w:b/>
    </w:rPr>
  </w:style>
  <w:style w:type="paragraph" w:styleId="ListNumber">
    <w:name w:val="List Number"/>
    <w:basedOn w:val="List"/>
    <w:rsid w:val="00DE0B51"/>
    <w:pPr>
      <w:numPr>
        <w:numId w:val="11"/>
      </w:numPr>
    </w:pPr>
  </w:style>
  <w:style w:type="character" w:customStyle="1" w:styleId="WingdingSymbols">
    <w:name w:val="Wingding Symbols"/>
    <w:rsid w:val="00DE0B51"/>
    <w:rPr>
      <w:rFonts w:ascii="Wingdings" w:hAnsi="Wingdings"/>
    </w:rPr>
  </w:style>
  <w:style w:type="paragraph" w:customStyle="1" w:styleId="TableHeading">
    <w:name w:val="Table Heading"/>
    <w:basedOn w:val="HeadingBase"/>
    <w:rsid w:val="00DE0B51"/>
    <w:pPr>
      <w:keepLines/>
      <w:pBdr>
        <w:bottom w:val="single" w:sz="6" w:space="1" w:color="918585"/>
      </w:pBdr>
      <w:spacing w:before="240"/>
    </w:pPr>
  </w:style>
  <w:style w:type="character" w:customStyle="1" w:styleId="HotSpot">
    <w:name w:val="HotSpot"/>
    <w:rsid w:val="00DE0B51"/>
    <w:rPr>
      <w:color w:val="0033CC"/>
      <w:u w:val="none"/>
    </w:rPr>
  </w:style>
  <w:style w:type="paragraph" w:customStyle="1" w:styleId="BodyTextRight">
    <w:name w:val="Body Text Right"/>
    <w:basedOn w:val="BodyText"/>
    <w:rsid w:val="00DE0B51"/>
    <w:pPr>
      <w:spacing w:before="0" w:after="0"/>
      <w:jc w:val="right"/>
    </w:pPr>
  </w:style>
  <w:style w:type="paragraph" w:styleId="Index3">
    <w:name w:val="index 3"/>
    <w:basedOn w:val="ListNumber2"/>
    <w:next w:val="Normal"/>
    <w:semiHidden/>
    <w:rsid w:val="00DE0B51"/>
    <w:pPr>
      <w:numPr>
        <w:numId w:val="0"/>
      </w:numPr>
      <w:tabs>
        <w:tab w:val="right" w:leader="dot" w:pos="4176"/>
      </w:tabs>
    </w:pPr>
  </w:style>
  <w:style w:type="paragraph" w:styleId="ListNumber2">
    <w:name w:val="List Number 2"/>
    <w:basedOn w:val="List2"/>
    <w:rsid w:val="00DE0B51"/>
    <w:pPr>
      <w:numPr>
        <w:numId w:val="10"/>
      </w:numPr>
      <w:tabs>
        <w:tab w:val="clear" w:pos="1060"/>
      </w:tabs>
    </w:pPr>
  </w:style>
  <w:style w:type="paragraph" w:customStyle="1" w:styleId="MarginNote">
    <w:name w:val="Margin Note"/>
    <w:basedOn w:val="BodyText"/>
    <w:rsid w:val="00DE0B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0B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0B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0B51"/>
    <w:rPr>
      <w:sz w:val="32"/>
    </w:rPr>
  </w:style>
  <w:style w:type="paragraph" w:customStyle="1" w:styleId="HeadingProcedure">
    <w:name w:val="Heading Procedure"/>
    <w:basedOn w:val="HeadingBase"/>
    <w:next w:val="Normal"/>
    <w:rsid w:val="00DE0B51"/>
    <w:pPr>
      <w:tabs>
        <w:tab w:val="left" w:pos="0"/>
      </w:tabs>
      <w:spacing w:before="120" w:after="60"/>
    </w:pPr>
    <w:rPr>
      <w:i/>
      <w:color w:val="918585"/>
      <w:sz w:val="22"/>
    </w:rPr>
  </w:style>
  <w:style w:type="paragraph" w:customStyle="1" w:styleId="TableBodyText">
    <w:name w:val="Table Body Text"/>
    <w:basedOn w:val="BodyText"/>
    <w:rsid w:val="00DE0B51"/>
    <w:pPr>
      <w:spacing w:before="60" w:after="60"/>
    </w:pPr>
  </w:style>
  <w:style w:type="paragraph" w:styleId="ListContinue">
    <w:name w:val="List Continue"/>
    <w:basedOn w:val="List"/>
    <w:rsid w:val="00DE0B51"/>
    <w:pPr>
      <w:ind w:firstLine="0"/>
    </w:pPr>
  </w:style>
  <w:style w:type="paragraph" w:customStyle="1" w:styleId="ListNote">
    <w:name w:val="List Note"/>
    <w:basedOn w:val="List"/>
    <w:rsid w:val="00DE0B51"/>
    <w:pPr>
      <w:pBdr>
        <w:top w:val="single" w:sz="6" w:space="2" w:color="918585"/>
        <w:bottom w:val="single" w:sz="6" w:space="2" w:color="918585"/>
      </w:pBdr>
      <w:tabs>
        <w:tab w:val="left" w:pos="1021"/>
      </w:tabs>
      <w:ind w:firstLine="0"/>
    </w:pPr>
  </w:style>
  <w:style w:type="paragraph" w:customStyle="1" w:styleId="Warning">
    <w:name w:val="Warning"/>
    <w:basedOn w:val="BodyText"/>
    <w:rsid w:val="00DE0B51"/>
    <w:pPr>
      <w:shd w:val="clear" w:color="auto" w:fill="D9D9D9"/>
      <w:tabs>
        <w:tab w:val="left" w:pos="992"/>
      </w:tabs>
      <w:ind w:left="119" w:right="119"/>
    </w:pPr>
    <w:rPr>
      <w:sz w:val="20"/>
    </w:rPr>
  </w:style>
  <w:style w:type="paragraph" w:customStyle="1" w:styleId="MarginIcons">
    <w:name w:val="Margin Icons"/>
    <w:basedOn w:val="BodyText"/>
    <w:rsid w:val="00DE0B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0B51"/>
    <w:rPr>
      <w:rFonts w:ascii="Courier New" w:hAnsi="Courier New"/>
    </w:rPr>
  </w:style>
  <w:style w:type="paragraph" w:customStyle="1" w:styleId="NoteBullet">
    <w:name w:val="Note Bullet"/>
    <w:basedOn w:val="Note"/>
    <w:rsid w:val="00DE0B51"/>
    <w:pPr>
      <w:tabs>
        <w:tab w:val="clear" w:pos="680"/>
      </w:tabs>
      <w:spacing w:before="60" w:after="60"/>
    </w:pPr>
  </w:style>
  <w:style w:type="paragraph" w:customStyle="1" w:styleId="SubHeading2">
    <w:name w:val="SubHeading2"/>
    <w:basedOn w:val="HeadingBase"/>
    <w:rsid w:val="00DE0B51"/>
    <w:pPr>
      <w:spacing w:before="240" w:after="60"/>
    </w:pPr>
    <w:rPr>
      <w:sz w:val="20"/>
    </w:rPr>
  </w:style>
  <w:style w:type="paragraph" w:customStyle="1" w:styleId="SubHeading1">
    <w:name w:val="SubHeading1"/>
    <w:basedOn w:val="HeadingBase"/>
    <w:rsid w:val="00DE0B51"/>
    <w:pPr>
      <w:spacing w:before="240" w:after="60"/>
    </w:pPr>
    <w:rPr>
      <w:color w:val="918585"/>
      <w:sz w:val="22"/>
    </w:rPr>
  </w:style>
  <w:style w:type="paragraph" w:customStyle="1" w:styleId="SideHeading">
    <w:name w:val="Side Heading"/>
    <w:basedOn w:val="HeadingBase"/>
    <w:rsid w:val="00DE0B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0B51"/>
    <w:pPr>
      <w:numPr>
        <w:numId w:val="12"/>
      </w:numPr>
    </w:pPr>
  </w:style>
  <w:style w:type="paragraph" w:styleId="PlainText">
    <w:name w:val="Plain Text"/>
    <w:basedOn w:val="Normal"/>
    <w:link w:val="PlainTextChar"/>
    <w:rsid w:val="00DE0B51"/>
    <w:rPr>
      <w:sz w:val="20"/>
    </w:rPr>
  </w:style>
  <w:style w:type="character" w:customStyle="1" w:styleId="PlainTextChar">
    <w:name w:val="Plain Text Char"/>
    <w:basedOn w:val="DefaultParagraphFont"/>
    <w:link w:val="PlainText"/>
    <w:rsid w:val="00DE0B51"/>
    <w:rPr>
      <w:rFonts w:ascii="Courier New" w:eastAsia="Times New Roman" w:hAnsi="Courier New" w:cs="Times New Roman"/>
      <w:sz w:val="20"/>
      <w:szCs w:val="20"/>
      <w:lang w:eastAsia="en-US"/>
    </w:rPr>
  </w:style>
  <w:style w:type="character" w:customStyle="1" w:styleId="MenuOption">
    <w:name w:val="Menu Option"/>
    <w:basedOn w:val="DefaultParagraphFont"/>
    <w:rsid w:val="00DE0B51"/>
    <w:rPr>
      <w:b/>
      <w:smallCaps/>
    </w:rPr>
  </w:style>
  <w:style w:type="paragraph" w:customStyle="1" w:styleId="TableListNumber">
    <w:name w:val="Table List Number"/>
    <w:basedOn w:val="ListNumber"/>
    <w:rsid w:val="00DE0B51"/>
    <w:pPr>
      <w:numPr>
        <w:numId w:val="0"/>
      </w:numPr>
    </w:pPr>
  </w:style>
  <w:style w:type="paragraph" w:styleId="TOC4">
    <w:name w:val="toc 4"/>
    <w:basedOn w:val="TOCBase"/>
    <w:next w:val="Normal"/>
    <w:semiHidden/>
    <w:rsid w:val="00DE0B51"/>
    <w:pPr>
      <w:tabs>
        <w:tab w:val="right" w:leader="dot" w:pos="9071"/>
      </w:tabs>
      <w:ind w:left="1701"/>
    </w:pPr>
  </w:style>
  <w:style w:type="paragraph" w:customStyle="1" w:styleId="ListAlpha">
    <w:name w:val="List Alpha"/>
    <w:basedOn w:val="List"/>
    <w:rsid w:val="00DE0B51"/>
    <w:pPr>
      <w:numPr>
        <w:numId w:val="9"/>
      </w:numPr>
    </w:pPr>
  </w:style>
  <w:style w:type="paragraph" w:customStyle="1" w:styleId="ListAlpha2">
    <w:name w:val="List Alpha 2"/>
    <w:basedOn w:val="List2"/>
    <w:rsid w:val="00DE0B51"/>
    <w:pPr>
      <w:numPr>
        <w:numId w:val="8"/>
      </w:numPr>
    </w:pPr>
  </w:style>
  <w:style w:type="paragraph" w:styleId="List2">
    <w:name w:val="List 2"/>
    <w:basedOn w:val="BodyText"/>
    <w:rsid w:val="00DE0B51"/>
    <w:pPr>
      <w:tabs>
        <w:tab w:val="left" w:pos="680"/>
      </w:tabs>
      <w:spacing w:before="60" w:after="60"/>
      <w:ind w:left="680" w:hanging="340"/>
    </w:pPr>
  </w:style>
  <w:style w:type="paragraph" w:styleId="List3">
    <w:name w:val="List 3"/>
    <w:basedOn w:val="BodyText"/>
    <w:rsid w:val="00DE0B51"/>
    <w:pPr>
      <w:tabs>
        <w:tab w:val="left" w:pos="1021"/>
      </w:tabs>
      <w:spacing w:before="60" w:after="60"/>
      <w:ind w:left="1020" w:hanging="340"/>
    </w:pPr>
  </w:style>
  <w:style w:type="paragraph" w:styleId="List4">
    <w:name w:val="List 4"/>
    <w:basedOn w:val="BodyText"/>
    <w:rsid w:val="00DE0B51"/>
    <w:pPr>
      <w:tabs>
        <w:tab w:val="left" w:pos="1361"/>
      </w:tabs>
      <w:spacing w:before="60" w:after="60"/>
      <w:ind w:left="1361" w:hanging="340"/>
    </w:pPr>
  </w:style>
  <w:style w:type="paragraph" w:styleId="List5">
    <w:name w:val="List 5"/>
    <w:basedOn w:val="BodyText"/>
    <w:rsid w:val="00DE0B51"/>
    <w:pPr>
      <w:tabs>
        <w:tab w:val="left" w:pos="1701"/>
      </w:tabs>
      <w:spacing w:before="60" w:after="60"/>
      <w:ind w:left="1701" w:hanging="340"/>
    </w:pPr>
  </w:style>
  <w:style w:type="paragraph" w:styleId="ListBullet3">
    <w:name w:val="List Bullet 3"/>
    <w:basedOn w:val="List3"/>
    <w:rsid w:val="00DE0B51"/>
    <w:pPr>
      <w:numPr>
        <w:numId w:val="15"/>
      </w:numPr>
      <w:tabs>
        <w:tab w:val="clear" w:pos="1021"/>
      </w:tabs>
      <w:ind w:left="1037" w:hanging="357"/>
    </w:pPr>
  </w:style>
  <w:style w:type="paragraph" w:styleId="ListBullet4">
    <w:name w:val="List Bullet 4"/>
    <w:basedOn w:val="List4"/>
    <w:rsid w:val="00DE0B51"/>
    <w:pPr>
      <w:numPr>
        <w:numId w:val="3"/>
      </w:numPr>
    </w:pPr>
  </w:style>
  <w:style w:type="paragraph" w:styleId="ListBullet5">
    <w:name w:val="List Bullet 5"/>
    <w:basedOn w:val="List5"/>
    <w:rsid w:val="00DE0B51"/>
    <w:pPr>
      <w:numPr>
        <w:numId w:val="4"/>
      </w:numPr>
    </w:pPr>
  </w:style>
  <w:style w:type="paragraph" w:styleId="ListContinue2">
    <w:name w:val="List Continue 2"/>
    <w:basedOn w:val="List2"/>
    <w:rsid w:val="00DE0B51"/>
    <w:pPr>
      <w:ind w:firstLine="0"/>
    </w:pPr>
  </w:style>
  <w:style w:type="paragraph" w:styleId="ListContinue3">
    <w:name w:val="List Continue 3"/>
    <w:basedOn w:val="List3"/>
    <w:rsid w:val="00DE0B51"/>
    <w:pPr>
      <w:ind w:left="1021" w:firstLine="0"/>
    </w:pPr>
  </w:style>
  <w:style w:type="paragraph" w:styleId="ListContinue4">
    <w:name w:val="List Continue 4"/>
    <w:basedOn w:val="List4"/>
    <w:rsid w:val="00DE0B51"/>
    <w:pPr>
      <w:ind w:firstLine="0"/>
    </w:pPr>
  </w:style>
  <w:style w:type="paragraph" w:styleId="ListContinue5">
    <w:name w:val="List Continue 5"/>
    <w:basedOn w:val="List5"/>
    <w:rsid w:val="00DE0B51"/>
    <w:pPr>
      <w:ind w:firstLine="0"/>
    </w:pPr>
  </w:style>
  <w:style w:type="paragraph" w:styleId="ListNumber3">
    <w:name w:val="List Number 3"/>
    <w:basedOn w:val="List3"/>
    <w:rsid w:val="00DE0B51"/>
    <w:pPr>
      <w:numPr>
        <w:numId w:val="5"/>
      </w:numPr>
    </w:pPr>
  </w:style>
  <w:style w:type="paragraph" w:styleId="ListNumber4">
    <w:name w:val="List Number 4"/>
    <w:basedOn w:val="List4"/>
    <w:rsid w:val="00DE0B51"/>
    <w:pPr>
      <w:numPr>
        <w:numId w:val="6"/>
      </w:numPr>
    </w:pPr>
  </w:style>
  <w:style w:type="paragraph" w:styleId="ListNumber5">
    <w:name w:val="List Number 5"/>
    <w:basedOn w:val="List5"/>
    <w:rsid w:val="00DE0B51"/>
    <w:pPr>
      <w:numPr>
        <w:numId w:val="7"/>
      </w:numPr>
    </w:pPr>
  </w:style>
  <w:style w:type="paragraph" w:styleId="BlockText">
    <w:name w:val="Block Text"/>
    <w:basedOn w:val="Normal"/>
    <w:rsid w:val="00DE0B51"/>
    <w:pPr>
      <w:spacing w:after="120"/>
      <w:ind w:left="1440" w:right="1440"/>
    </w:pPr>
  </w:style>
  <w:style w:type="character" w:customStyle="1" w:styleId="Subscript">
    <w:name w:val="Subscript"/>
    <w:basedOn w:val="DefaultParagraphFont"/>
    <w:rsid w:val="00DE0B51"/>
    <w:rPr>
      <w:sz w:val="16"/>
      <w:vertAlign w:val="subscript"/>
    </w:rPr>
  </w:style>
  <w:style w:type="character" w:customStyle="1" w:styleId="Superscript">
    <w:name w:val="Superscript"/>
    <w:basedOn w:val="DefaultParagraphFont"/>
    <w:rsid w:val="00DE0B51"/>
    <w:rPr>
      <w:sz w:val="16"/>
      <w:vertAlign w:val="superscript"/>
    </w:rPr>
  </w:style>
  <w:style w:type="character" w:customStyle="1" w:styleId="Symbols">
    <w:name w:val="Symbols"/>
    <w:basedOn w:val="DefaultParagraphFont"/>
    <w:rsid w:val="00DE0B51"/>
    <w:rPr>
      <w:rFonts w:ascii="Symbol" w:hAnsi="Symbol"/>
    </w:rPr>
  </w:style>
  <w:style w:type="character" w:customStyle="1" w:styleId="MenuOptions">
    <w:name w:val="Menu Options"/>
    <w:basedOn w:val="DefaultParagraphFont"/>
    <w:rsid w:val="00DE0B51"/>
    <w:rPr>
      <w:rFonts w:ascii="Arial Narrow" w:hAnsi="Arial Narrow"/>
      <w:smallCaps/>
    </w:rPr>
  </w:style>
  <w:style w:type="character" w:customStyle="1" w:styleId="Buttons">
    <w:name w:val="Buttons"/>
    <w:basedOn w:val="DefaultParagraphFont"/>
    <w:rsid w:val="00DE0B51"/>
    <w:rPr>
      <w:b/>
    </w:rPr>
  </w:style>
  <w:style w:type="character" w:customStyle="1" w:styleId="Underlined">
    <w:name w:val="Underlined"/>
    <w:basedOn w:val="DefaultParagraphFont"/>
    <w:rsid w:val="00DE0B51"/>
    <w:rPr>
      <w:u w:val="single"/>
    </w:rPr>
  </w:style>
  <w:style w:type="paragraph" w:customStyle="1" w:styleId="TableBodyTextRight">
    <w:name w:val="Table Body Text Right"/>
    <w:basedOn w:val="TableBodyText"/>
    <w:rsid w:val="00DE0B51"/>
    <w:pPr>
      <w:widowControl w:val="0"/>
      <w:autoSpaceDE w:val="0"/>
      <w:autoSpaceDN w:val="0"/>
      <w:adjustRightInd w:val="0"/>
      <w:jc w:val="right"/>
    </w:pPr>
    <w:rPr>
      <w:rFonts w:cs="Arial"/>
      <w:szCs w:val="18"/>
    </w:rPr>
  </w:style>
  <w:style w:type="paragraph" w:customStyle="1" w:styleId="CopyrightText">
    <w:name w:val="Copyright Text"/>
    <w:basedOn w:val="BodyText"/>
    <w:rsid w:val="00DE0B51"/>
    <w:rPr>
      <w:sz w:val="18"/>
    </w:rPr>
  </w:style>
  <w:style w:type="paragraph" w:customStyle="1" w:styleId="BodySmallRight">
    <w:name w:val="Body Small Right"/>
    <w:basedOn w:val="BodyTextRight"/>
    <w:rsid w:val="00DE0B51"/>
    <w:rPr>
      <w:sz w:val="18"/>
      <w:szCs w:val="18"/>
    </w:rPr>
  </w:style>
  <w:style w:type="paragraph" w:customStyle="1" w:styleId="MarginEdition">
    <w:name w:val="Margin Edition"/>
    <w:basedOn w:val="MarginNote"/>
    <w:rsid w:val="00DE0B51"/>
    <w:pPr>
      <w:spacing w:before="0" w:after="0"/>
    </w:pPr>
    <w:rPr>
      <w:rFonts w:ascii="Times New Roman" w:hAnsi="Times New Roman"/>
      <w:color w:val="999999"/>
    </w:rPr>
  </w:style>
  <w:style w:type="paragraph" w:customStyle="1" w:styleId="Spacer">
    <w:name w:val="Spacer"/>
    <w:basedOn w:val="Normal"/>
    <w:rsid w:val="00DE0B51"/>
    <w:rPr>
      <w:sz w:val="2"/>
      <w:szCs w:val="2"/>
    </w:rPr>
  </w:style>
  <w:style w:type="character" w:customStyle="1" w:styleId="Small">
    <w:name w:val="Small"/>
    <w:basedOn w:val="DefaultParagraphFont"/>
    <w:rsid w:val="00DE0B51"/>
    <w:rPr>
      <w:sz w:val="16"/>
    </w:rPr>
  </w:style>
  <w:style w:type="paragraph" w:customStyle="1" w:styleId="WideTable">
    <w:name w:val="Wide Table"/>
    <w:basedOn w:val="Normal"/>
    <w:rsid w:val="00DE0B51"/>
    <w:pPr>
      <w:ind w:left="-1418"/>
    </w:pPr>
    <w:rPr>
      <w:sz w:val="2"/>
      <w:szCs w:val="2"/>
    </w:rPr>
  </w:style>
  <w:style w:type="character" w:styleId="PageNumber">
    <w:name w:val="page number"/>
    <w:basedOn w:val="DefaultParagraphFont"/>
    <w:rsid w:val="00DE0B51"/>
  </w:style>
  <w:style w:type="paragraph" w:styleId="Quote">
    <w:name w:val="Quote"/>
    <w:basedOn w:val="Heading1"/>
    <w:link w:val="QuoteChar"/>
    <w:qFormat/>
    <w:rsid w:val="00DE0B51"/>
    <w:rPr>
      <w:b w:val="0"/>
      <w:sz w:val="72"/>
      <w:szCs w:val="72"/>
      <w:lang w:val="en-NZ"/>
    </w:rPr>
  </w:style>
  <w:style w:type="character" w:customStyle="1" w:styleId="QuoteChar">
    <w:name w:val="Quote Char"/>
    <w:basedOn w:val="DefaultParagraphFont"/>
    <w:link w:val="Quote"/>
    <w:rsid w:val="00DE0B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0B51"/>
    <w:pPr>
      <w:pageBreakBefore/>
    </w:pPr>
  </w:style>
  <w:style w:type="paragraph" w:customStyle="1" w:styleId="Border">
    <w:name w:val="Border"/>
    <w:basedOn w:val="Normal"/>
    <w:qFormat/>
    <w:rsid w:val="00DE0B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0B51"/>
    <w:rPr>
      <w:b/>
      <w:bCs/>
      <w:i/>
      <w:iCs/>
      <w:color w:val="auto"/>
    </w:rPr>
  </w:style>
  <w:style w:type="paragraph" w:styleId="IntenseQuote">
    <w:name w:val="Intense Quote"/>
    <w:basedOn w:val="Normal"/>
    <w:next w:val="Normal"/>
    <w:link w:val="IntenseQuoteChar"/>
    <w:uiPriority w:val="30"/>
    <w:qFormat/>
    <w:rsid w:val="00DE0B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0B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0B51"/>
    <w:rPr>
      <w:smallCaps/>
      <w:color w:val="auto"/>
      <w:u w:val="single"/>
    </w:rPr>
  </w:style>
  <w:style w:type="character" w:styleId="IntenseReference">
    <w:name w:val="Intense Reference"/>
    <w:basedOn w:val="DefaultParagraphFont"/>
    <w:uiPriority w:val="32"/>
    <w:qFormat/>
    <w:rsid w:val="00DE0B51"/>
    <w:rPr>
      <w:b/>
      <w:bCs/>
      <w:smallCaps/>
      <w:color w:val="auto"/>
      <w:spacing w:val="5"/>
      <w:u w:val="single"/>
    </w:rPr>
  </w:style>
  <w:style w:type="paragraph" w:customStyle="1" w:styleId="2ColumnHeading">
    <w:name w:val="2Column Heading"/>
    <w:basedOn w:val="BodyText"/>
    <w:qFormat/>
    <w:rsid w:val="00DE0B51"/>
    <w:pPr>
      <w:spacing w:after="60"/>
      <w:ind w:left="-2268"/>
    </w:pPr>
    <w:rPr>
      <w:b/>
    </w:rPr>
  </w:style>
  <w:style w:type="paragraph" w:customStyle="1" w:styleId="Heading1TOC">
    <w:name w:val="Heading1 TOC"/>
    <w:basedOn w:val="Normal"/>
    <w:qFormat/>
    <w:rsid w:val="00DE0B51"/>
    <w:pPr>
      <w:spacing w:before="240" w:after="120"/>
    </w:pPr>
    <w:rPr>
      <w:rFonts w:ascii="Times New Roman" w:hAnsi="Times New Roman"/>
      <w:b/>
      <w:sz w:val="32"/>
    </w:rPr>
  </w:style>
  <w:style w:type="paragraph" w:customStyle="1" w:styleId="Heading2TOC">
    <w:name w:val="Heading2 TOC"/>
    <w:basedOn w:val="Normal"/>
    <w:qFormat/>
    <w:rsid w:val="00DE0B51"/>
    <w:pPr>
      <w:spacing w:before="240" w:after="60"/>
    </w:pPr>
    <w:rPr>
      <w:rFonts w:ascii="Times New Roman" w:hAnsi="Times New Roman"/>
      <w:b/>
      <w:sz w:val="28"/>
    </w:rPr>
  </w:style>
  <w:style w:type="character" w:customStyle="1" w:styleId="Underline">
    <w:name w:val="Underline"/>
    <w:basedOn w:val="DefaultParagraphFont"/>
    <w:qFormat/>
    <w:rsid w:val="00DE0B51"/>
    <w:rPr>
      <w:u w:val="single"/>
    </w:rPr>
  </w:style>
  <w:style w:type="character" w:customStyle="1" w:styleId="BoldandItalics">
    <w:name w:val="Bold and Italics"/>
    <w:qFormat/>
    <w:rsid w:val="00DE0B51"/>
    <w:rPr>
      <w:b/>
      <w:i/>
      <w:u w:val="none"/>
    </w:rPr>
  </w:style>
  <w:style w:type="paragraph" w:styleId="BalloonText">
    <w:name w:val="Balloon Text"/>
    <w:basedOn w:val="Normal"/>
    <w:link w:val="BalloonTextChar"/>
    <w:rsid w:val="00DE0B51"/>
    <w:rPr>
      <w:rFonts w:ascii="Tahoma" w:hAnsi="Tahoma" w:cs="Tahoma"/>
      <w:sz w:val="16"/>
      <w:szCs w:val="16"/>
    </w:rPr>
  </w:style>
  <w:style w:type="character" w:customStyle="1" w:styleId="BalloonTextChar">
    <w:name w:val="Balloon Text Char"/>
    <w:basedOn w:val="DefaultParagraphFont"/>
    <w:link w:val="BalloonText"/>
    <w:rsid w:val="00DE0B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0B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0B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0B51"/>
    <w:rPr>
      <w:b/>
      <w:color w:val="660033"/>
      <w:spacing w:val="0"/>
    </w:rPr>
  </w:style>
  <w:style w:type="paragraph" w:customStyle="1" w:styleId="Nameditemlist">
    <w:name w:val="Named item list"/>
    <w:basedOn w:val="BodyText"/>
    <w:qFormat/>
    <w:rsid w:val="00DE0B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1347</Words>
  <Characters>8524</Characters>
  <Application>Microsoft Office Word</Application>
  <DocSecurity>0</DocSecurity>
  <Lines>360</Lines>
  <Paragraphs>209</Paragraphs>
  <ScaleCrop>false</ScaleCrop>
  <Company>Author-it Software Corporation Ltd.</Company>
  <LinksUpToDate>false</LinksUpToDate>
  <CharactersWithSpaces>9778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MEM09203A Measure and sketch site information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2012-07-02T02:20:00Z</dcterms:created>
  <dcterms:modified xsi:type="dcterms:W3CDTF">2012-07-02T02:20:00Z</dcterms:modified>
</cp:coreProperties>
</file>