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EED" w:rsidP="00602EED">
      <w:pPr>
        <w:pStyle w:val="Title"/>
      </w:pPr>
      <w:bookmarkStart w:id="0" w:name="_GoBack"/>
      <w:bookmarkEnd w:id="0"/>
      <w:r>
        <w:fldChar w:fldCharType="begin"/>
      </w:r>
      <w:r>
        <w:instrText xml:space="preserve"> TITLE   \* MERGEFORMAT </w:instrText>
      </w:r>
      <w:r>
        <w:fldChar w:fldCharType="separate"/>
      </w:r>
      <w:r>
        <w:t>MEM09202A Produce freehand sketches</w:t>
      </w:r>
      <w:r>
        <w:fldChar w:fldCharType="end"/>
      </w:r>
    </w:p>
    <w:p w:rsidR="00602EED" w:rsidP="00602EED">
      <w:pPr>
        <w:pStyle w:val="Version"/>
        <w:sectPr w:rsidSect="00A57E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E65" w:rsidP="00A57E65">
      <w:pPr>
        <w:pStyle w:val="SuperHeading"/>
      </w:pPr>
      <w:r w:rsidRPr="00A57E65">
        <w:t>MEM09202A Produce freehand sketches</w:t>
      </w:r>
    </w:p>
    <w:p w:rsidR="00000000" w:rsidRPr="00A57E65" w:rsidP="00A57E65">
      <w:pPr>
        <w:pStyle w:val="Heading1"/>
      </w:pPr>
      <w:bookmarkStart w:id="1" w:name="O_476688"/>
      <w:bookmarkEnd w:id="1"/>
      <w:r w:rsidRPr="00A57E65">
        <w:t>Modification History</w:t>
      </w:r>
    </w:p>
    <w:p w:rsidR="00000000" w:rsidRPr="00A57E65" w:rsidP="00A57E65">
      <w:pPr>
        <w:pStyle w:val="BodyText"/>
      </w:pPr>
      <w:r w:rsidRPr="00A57E65">
        <w:t>Release 1 - New unit of competency</w:t>
      </w:r>
    </w:p>
    <w:p w:rsidR="00000000" w:rsidRPr="00A57E65" w:rsidP="00A57E65">
      <w:pPr>
        <w:pStyle w:val="AllowPageBreak"/>
      </w:pPr>
    </w:p>
    <w:p w:rsidR="00000000" w:rsidRPr="00A57E65" w:rsidP="00A57E65">
      <w:pPr>
        <w:pStyle w:val="Heading1"/>
      </w:pPr>
      <w:bookmarkStart w:id="2" w:name="O_476689"/>
      <w:bookmarkEnd w:id="2"/>
      <w:r w:rsidRPr="00A57E65">
        <w:t>Unit Descriptor</w:t>
      </w:r>
    </w:p>
    <w:p w:rsidR="00000000" w:rsidRPr="00A57E65" w:rsidP="00A57E65">
      <w:pPr>
        <w:pStyle w:val="BodyText"/>
      </w:pPr>
      <w:r w:rsidRPr="00A57E65">
        <w:t>This unit of competency covers the skills and knowledge required to complete freehand sketches to illustr</w:t>
      </w:r>
      <w:r w:rsidRPr="00A57E65">
        <w:t>ate or communicate information to be used in engineering drafting applications. It covers standard drawing conventions and techniques to represent the subject in appropriate proportion and view.</w:t>
      </w:r>
    </w:p>
    <w:p w:rsidR="00000000" w:rsidRPr="00A57E65" w:rsidP="00A57E65">
      <w:pPr>
        <w:pStyle w:val="AllowPageBreak"/>
      </w:pPr>
    </w:p>
    <w:p w:rsidR="00000000" w:rsidRPr="00A57E65" w:rsidP="00A57E65">
      <w:pPr>
        <w:pStyle w:val="Heading1"/>
      </w:pPr>
      <w:bookmarkStart w:id="3" w:name="O_476690"/>
      <w:bookmarkEnd w:id="3"/>
      <w:r w:rsidRPr="00A57E65">
        <w:t>Application of the Unit</w:t>
      </w:r>
    </w:p>
    <w:p w:rsidR="00000000" w:rsidRPr="00A57E65" w:rsidP="00A57E65">
      <w:pPr>
        <w:pStyle w:val="BodyText"/>
      </w:pPr>
      <w:r w:rsidRPr="00A57E65">
        <w:t>This unit is suitabl</w:t>
      </w:r>
      <w:r w:rsidRPr="00A57E65">
        <w:t>e for those working within a computer-aided design (CAD) or drafting work environment. Sketches may be used as part of the drafting process to illustrate or communicate information about design, worksite, layout plan or construction features. The unit incl</w:t>
      </w:r>
      <w:r w:rsidRPr="00A57E65">
        <w:t>udes the ability to apply standard drawing conventions to sketching 2-D orthogonal and pictorial freehand drawings and sectional views.</w:t>
      </w:r>
    </w:p>
    <w:p w:rsidR="00000000" w:rsidRPr="00A57E65" w:rsidP="00A57E65">
      <w:pPr>
        <w:pStyle w:val="AllowPageBreak"/>
      </w:pPr>
    </w:p>
    <w:p w:rsidR="00000000" w:rsidRPr="00A57E65" w:rsidP="00A57E65">
      <w:pPr>
        <w:pStyle w:val="Heading1"/>
      </w:pPr>
      <w:bookmarkStart w:id="4" w:name="O_476691"/>
      <w:bookmarkEnd w:id="4"/>
      <w:r w:rsidRPr="00A57E65">
        <w:t>Licensing/Regulatory Information</w:t>
      </w:r>
    </w:p>
    <w:p w:rsidR="00000000" w:rsidRPr="00A57E65" w:rsidP="00A57E65">
      <w:pPr>
        <w:pStyle w:val="BodyText"/>
      </w:pPr>
      <w:r w:rsidRPr="00A57E65">
        <w:t>No licensing, legislative, regulatory or certification requirements ap</w:t>
      </w:r>
      <w:r w:rsidRPr="00A57E65">
        <w:t>ply to this unit at the time of publication.</w:t>
      </w:r>
    </w:p>
    <w:p w:rsidR="00000000" w:rsidRPr="00A57E65" w:rsidP="00A57E65">
      <w:pPr>
        <w:pStyle w:val="AllowPageBreak"/>
      </w:pPr>
    </w:p>
    <w:p w:rsidR="00000000" w:rsidRPr="00A57E65" w:rsidP="00A57E65">
      <w:pPr>
        <w:pStyle w:val="Heading1"/>
      </w:pPr>
      <w:bookmarkStart w:id="5" w:name="O_476692"/>
      <w:bookmarkEnd w:id="5"/>
      <w:r w:rsidRPr="00A57E65">
        <w:t>Pre-Requisites</w:t>
      </w:r>
    </w:p>
    <w:p w:rsidR="00000000" w:rsidRPr="00A57E65" w:rsidP="00A57E65">
      <w:pPr>
        <w:pStyle w:val="BodyText"/>
      </w:pPr>
      <w:r w:rsidRPr="00A57E65">
        <w:t>Not applicable.</w:t>
      </w:r>
    </w:p>
    <w:p w:rsidR="00000000" w:rsidRPr="00A57E65" w:rsidP="00A57E65">
      <w:pPr>
        <w:pStyle w:val="AllowPageBreak"/>
      </w:pPr>
    </w:p>
    <w:p w:rsidR="00000000" w:rsidRPr="00A57E65" w:rsidP="00A57E65">
      <w:pPr>
        <w:pStyle w:val="Heading1"/>
      </w:pPr>
      <w:bookmarkStart w:id="6" w:name="O_476693"/>
      <w:bookmarkEnd w:id="6"/>
      <w:r w:rsidRPr="00A57E65">
        <w:t>Employability Skills Information</w:t>
      </w:r>
    </w:p>
    <w:p w:rsidR="00000000" w:rsidRPr="00A57E65" w:rsidP="00A57E65">
      <w:pPr>
        <w:pStyle w:val="BodyText"/>
      </w:pPr>
      <w:r w:rsidRPr="00A57E65">
        <w:t>This unit contains employability skills</w:t>
      </w:r>
    </w:p>
    <w:p w:rsidR="00000000" w:rsidRPr="00A57E65" w:rsidP="00A57E65">
      <w:pPr>
        <w:pStyle w:val="AllowPageBreak"/>
      </w:pPr>
    </w:p>
    <w:p w:rsidR="00000000" w:rsidRPr="00A57E65" w:rsidP="00A57E65">
      <w:pPr>
        <w:pStyle w:val="Heading1"/>
      </w:pPr>
      <w:bookmarkStart w:id="7" w:name="O_476694"/>
      <w:bookmarkEnd w:id="7"/>
      <w:r w:rsidRPr="00A57E65">
        <w:t>Elements and Performance Criteria Pre-Content</w:t>
      </w:r>
    </w:p>
    <w:tbl>
      <w:tblPr>
        <w:tblW w:w="0" w:type="auto"/>
        <w:tblLayout w:type="fixed"/>
        <w:tblCellMar>
          <w:left w:w="62" w:type="dxa"/>
          <w:right w:w="62" w:type="dxa"/>
        </w:tblCellMar>
        <w:tblLook w:val="0000"/>
      </w:tblPr>
      <w:tblGrid>
        <w:gridCol w:w="2640"/>
        <w:gridCol w:w="6380"/>
      </w:tblGrid>
      <w:tr w:rsidTr="00A57E6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57E65" w:rsidP="00A57E65">
            <w:pPr>
              <w:pStyle w:val="BodyText"/>
            </w:pPr>
            <w:r w:rsidRPr="00A57E65">
              <w:t>Performance criteria describe the performance needed to demonstrate achievement of the element. Where bold italicised text is used, further information is detailed in the required skills and</w:t>
            </w:r>
            <w:r w:rsidRPr="00A57E65">
              <w:t xml:space="preserve"> knowledge section and the range statement. Assessment of performance is to be consistent with the evidence guide.</w:t>
            </w:r>
          </w:p>
        </w:tc>
      </w:tr>
    </w:tbl>
    <w:p w:rsidR="00000000" w:rsidRPr="00A57E65" w:rsidP="00A57E65">
      <w:pPr>
        <w:pStyle w:val="BodyText"/>
      </w:pPr>
    </w:p>
    <w:p w:rsidR="00000000" w:rsidRPr="00A57E65" w:rsidP="00A57E65">
      <w:pPr>
        <w:pStyle w:val="AllowPageBreak"/>
      </w:pPr>
    </w:p>
    <w:p w:rsidR="00000000" w:rsidRPr="00A57E65" w:rsidP="00A57E65">
      <w:pPr>
        <w:pStyle w:val="Heading1"/>
      </w:pPr>
      <w:bookmarkStart w:id="8" w:name="O_476695"/>
      <w:bookmarkEnd w:id="8"/>
      <w:r w:rsidRPr="00A57E6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1</w:t>
            </w:r>
          </w:p>
        </w:tc>
        <w:tc>
          <w:tcPr>
            <w:tcW w:w="1962" w:type="dxa"/>
            <w:vMerge w:val="restart"/>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 xml:space="preserve">Determine sketch requirements </w:t>
            </w: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1.1</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Determine purpose, scope and presentation context f</w:t>
            </w:r>
            <w:r w:rsidRPr="00A57E65">
              <w:t>or sketch, and the information needs of the audience</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1.2</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Identify key features, dimensions and orientation, structures, services and features for inclusion</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1.3</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Obtain any additional information required</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1.4</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Determine suitable sketching techniques and select and prepare materials</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1.5</w:t>
            </w:r>
          </w:p>
        </w:tc>
        <w:tc>
          <w:tcPr>
            <w:tcW w:w="5610" w:type="dxa"/>
            <w:tcBorders>
              <w:top w:val="nil"/>
              <w:left w:val="nil"/>
              <w:bottom w:val="nil"/>
              <w:right w:val="nil"/>
            </w:tcBorders>
            <w:tcMar>
              <w:top w:w="0" w:type="dxa"/>
              <w:left w:w="62" w:type="dxa"/>
              <w:bottom w:w="0" w:type="dxa"/>
              <w:right w:w="62" w:type="dxa"/>
            </w:tcMar>
          </w:tcPr>
          <w:p w:rsidR="00000000" w:rsidRPr="00A57E65" w:rsidP="00A57E65">
            <w:pPr>
              <w:pStyle w:val="BodyText"/>
            </w:pPr>
            <w:r w:rsidRPr="00A57E65">
              <w:t>Access, interpret and apply compliance or safety procedures relevant to the work activity</w:t>
            </w:r>
          </w:p>
        </w:tc>
      </w:tr>
    </w:tbl>
    <w:p w:rsidR="00000000" w:rsidRPr="00A57E65" w:rsidP="00A57E65">
      <w:pPr>
        <w:pStyle w:val="BodyText"/>
      </w:pPr>
    </w:p>
    <w:tbl>
      <w:tblPr>
        <w:tblW w:w="0" w:type="auto"/>
        <w:tblLayout w:type="fixed"/>
        <w:tblCellMar>
          <w:left w:w="62" w:type="dxa"/>
          <w:right w:w="62" w:type="dxa"/>
        </w:tblCellMar>
        <w:tblLook w:val="0000"/>
      </w:tblPr>
      <w:tblGrid>
        <w:gridCol w:w="678"/>
        <w:gridCol w:w="1962"/>
        <w:gridCol w:w="770"/>
        <w:gridCol w:w="5610"/>
      </w:tblGrid>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2</w:t>
            </w:r>
          </w:p>
        </w:tc>
        <w:tc>
          <w:tcPr>
            <w:tcW w:w="1962" w:type="dxa"/>
            <w:vMerge w:val="restart"/>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 xml:space="preserve">Create simple sketches of pictorial, orthographic and sectional views </w:t>
            </w:r>
          </w:p>
        </w:tc>
        <w:tc>
          <w:tcPr>
            <w:tcW w:w="770" w:type="dxa"/>
            <w:vMerge w:val="restart"/>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2.1</w:t>
            </w:r>
          </w:p>
        </w:tc>
        <w:tc>
          <w:tcPr>
            <w:tcW w:w="5610" w:type="dxa"/>
            <w:vMerge w:val="restart"/>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Prepare simple freehand sketches using standard orthogonal and pictorial conventions</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A57E65">
            <w:pPr>
              <w:pStyle w:val="BodyText"/>
              <w:rPr>
                <w:lang w:val="en-NZ"/>
              </w:rPr>
            </w:pP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2.2</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Prepare sectional details of simple structural or mechanical elements and elevations using standard orthogonal drawing practice</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2.3</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Examine and a</w:t>
            </w:r>
            <w:r w:rsidRPr="00A57E65">
              <w:t>pply principles of descriptive geometry to ensure correct perspective is achieved</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2.4</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Apply industry specific terminology and symbols, and include specifications, as required, to convey required information</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2.5</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Identify and label sketch to confirm currency and purpose</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2.6</w:t>
            </w:r>
          </w:p>
        </w:tc>
        <w:tc>
          <w:tcPr>
            <w:tcW w:w="5610" w:type="dxa"/>
            <w:tcBorders>
              <w:top w:val="nil"/>
              <w:left w:val="nil"/>
              <w:bottom w:val="nil"/>
              <w:right w:val="nil"/>
            </w:tcBorders>
            <w:tcMar>
              <w:top w:w="0" w:type="dxa"/>
              <w:left w:w="62" w:type="dxa"/>
              <w:bottom w:w="0" w:type="dxa"/>
              <w:right w:w="62" w:type="dxa"/>
            </w:tcMar>
          </w:tcPr>
          <w:p w:rsidR="00000000" w:rsidRPr="00A57E65" w:rsidP="00A57E65">
            <w:pPr>
              <w:pStyle w:val="BodyText"/>
            </w:pPr>
            <w:r w:rsidRPr="00A57E65">
              <w:t>Confirm sketch is an accurate representation of subject and applies standard drawing conventions</w:t>
            </w:r>
          </w:p>
        </w:tc>
      </w:tr>
    </w:tbl>
    <w:p w:rsidR="00000000" w:rsidRPr="00A57E65" w:rsidP="00A57E65">
      <w:pPr>
        <w:pStyle w:val="BodyText"/>
      </w:pPr>
    </w:p>
    <w:tbl>
      <w:tblPr>
        <w:tblW w:w="0" w:type="auto"/>
        <w:tblLayout w:type="fixed"/>
        <w:tblCellMar>
          <w:left w:w="62" w:type="dxa"/>
          <w:right w:w="62" w:type="dxa"/>
        </w:tblCellMar>
        <w:tblLook w:val="0000"/>
      </w:tblPr>
      <w:tblGrid>
        <w:gridCol w:w="678"/>
        <w:gridCol w:w="1962"/>
        <w:gridCol w:w="770"/>
        <w:gridCol w:w="5610"/>
      </w:tblGrid>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3</w:t>
            </w:r>
          </w:p>
        </w:tc>
        <w:tc>
          <w:tcPr>
            <w:tcW w:w="1962" w:type="dxa"/>
            <w:vMerge w:val="restart"/>
            <w:tcBorders>
              <w:top w:val="nil"/>
              <w:left w:val="nil"/>
              <w:bottom w:val="nil"/>
              <w:right w:val="nil"/>
            </w:tcBorders>
            <w:tcMar>
              <w:top w:w="0" w:type="dxa"/>
              <w:left w:w="62" w:type="dxa"/>
              <w:bottom w:w="0" w:type="dxa"/>
              <w:right w:w="62" w:type="dxa"/>
            </w:tcMar>
          </w:tcPr>
          <w:p w:rsidR="00000000" w:rsidRPr="00A57E65" w:rsidP="00A57E65">
            <w:pPr>
              <w:pStyle w:val="BodyText"/>
            </w:pPr>
            <w:r w:rsidRPr="00A57E65">
              <w:t>Produce sketches of geometric shaped objects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3.1</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Sketch geometric shapes using correct co</w:t>
            </w:r>
            <w:r w:rsidRPr="00A57E65">
              <w:t>nstruction techniques</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3.2</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Obtain tangent points using correct drawing techniques</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3.3</w:t>
            </w:r>
          </w:p>
        </w:tc>
        <w:tc>
          <w:tcPr>
            <w:tcW w:w="5610" w:type="dxa"/>
            <w:tcBorders>
              <w:top w:val="nil"/>
              <w:left w:val="nil"/>
              <w:bottom w:val="nil"/>
              <w:right w:val="nil"/>
            </w:tcBorders>
            <w:tcMar>
              <w:top w:w="0" w:type="dxa"/>
              <w:left w:w="62" w:type="dxa"/>
              <w:bottom w:w="0" w:type="dxa"/>
              <w:right w:w="62" w:type="dxa"/>
            </w:tcMar>
          </w:tcPr>
          <w:p w:rsidR="00000000" w:rsidRPr="00A57E65" w:rsidP="00A57E65">
            <w:pPr>
              <w:pStyle w:val="BodyText"/>
            </w:pPr>
            <w:r w:rsidRPr="00A57E65">
              <w:t>Confirm sketch is an accurate representation of subject and applies standard drawing conventions</w:t>
            </w:r>
          </w:p>
        </w:tc>
      </w:tr>
    </w:tbl>
    <w:p w:rsidR="00000000" w:rsidRPr="00A57E65" w:rsidP="00A57E65">
      <w:pPr>
        <w:pStyle w:val="BodyText"/>
      </w:pPr>
    </w:p>
    <w:tbl>
      <w:tblPr>
        <w:tblW w:w="0" w:type="auto"/>
        <w:tblLayout w:type="fixed"/>
        <w:tblCellMar>
          <w:left w:w="62" w:type="dxa"/>
          <w:right w:w="62" w:type="dxa"/>
        </w:tblCellMar>
        <w:tblLook w:val="0000"/>
      </w:tblPr>
      <w:tblGrid>
        <w:gridCol w:w="678"/>
        <w:gridCol w:w="1962"/>
        <w:gridCol w:w="770"/>
        <w:gridCol w:w="5610"/>
      </w:tblGrid>
      <w:tr w:rsidTr="00A57E65">
        <w:tblPrEx>
          <w:tblW w:w="0" w:type="auto"/>
          <w:tblLayout w:type="fixed"/>
          <w:tblCellMar>
            <w:left w:w="62" w:type="dxa"/>
            <w:right w:w="62" w:type="dxa"/>
          </w:tblCellMar>
          <w:tblLook w:val="0000"/>
        </w:tblPrEx>
        <w:trPr>
          <w:trHeight w:val="77"/>
        </w:trPr>
        <w:tc>
          <w:tcPr>
            <w:tcW w:w="678"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4</w:t>
            </w:r>
          </w:p>
        </w:tc>
        <w:tc>
          <w:tcPr>
            <w:tcW w:w="1962" w:type="dxa"/>
            <w:vMerge w:val="restart"/>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 xml:space="preserve">Produce pictorial sketches of engineering components </w:t>
            </w: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4.1</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Select principal axes and angles</w:t>
            </w:r>
          </w:p>
        </w:tc>
      </w:tr>
      <w:tr w:rsidTr="00A57E65">
        <w:tblPrEx>
          <w:tblW w:w="0" w:type="auto"/>
          <w:tblLayout w:type="fixed"/>
          <w:tblCellMar>
            <w:left w:w="62" w:type="dxa"/>
            <w:right w:w="62" w:type="dxa"/>
          </w:tblCellMar>
          <w:tblLook w:val="0000"/>
        </w:tblPrEx>
        <w:trPr>
          <w:trHeight w:val="77"/>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4.2</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Sketch isometric and non-isometric lines</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4.3</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Construct pictorial circles and arcs</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4.4</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 xml:space="preserve">Sketch isometric, oblique and perspective views </w:t>
            </w:r>
          </w:p>
        </w:tc>
      </w:tr>
      <w:tr w:rsidTr="00A57E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4.5</w:t>
            </w:r>
          </w:p>
        </w:tc>
        <w:tc>
          <w:tcPr>
            <w:tcW w:w="561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 xml:space="preserve">Conduct calculations, as required, to ensure correct dimensions and proportions and construct and use scales for sketch </w:t>
            </w:r>
          </w:p>
        </w:tc>
      </w:tr>
      <w:tr w:rsidTr="00A57E65">
        <w:tblPrEx>
          <w:tblW w:w="0" w:type="auto"/>
          <w:tblLayout w:type="fixed"/>
          <w:tblCellMar>
            <w:left w:w="62" w:type="dxa"/>
            <w:right w:w="62" w:type="dxa"/>
          </w:tblCellMar>
          <w:tblLook w:val="0000"/>
        </w:tblPrEx>
        <w:trPr>
          <w:trHeight w:val="77"/>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t>4.6</w:t>
            </w:r>
          </w:p>
        </w:tc>
        <w:tc>
          <w:tcPr>
            <w:tcW w:w="5610" w:type="dxa"/>
            <w:tcBorders>
              <w:top w:val="nil"/>
              <w:left w:val="nil"/>
              <w:bottom w:val="nil"/>
              <w:right w:val="nil"/>
            </w:tcBorders>
            <w:tcMar>
              <w:top w:w="0" w:type="dxa"/>
              <w:left w:w="62" w:type="dxa"/>
              <w:bottom w:w="0" w:type="dxa"/>
              <w:right w:w="62" w:type="dxa"/>
            </w:tcMar>
          </w:tcPr>
          <w:p w:rsidR="00000000" w:rsidRPr="00A57E65" w:rsidP="00A57E65">
            <w:pPr>
              <w:pStyle w:val="BodyText"/>
            </w:pPr>
            <w:r w:rsidRPr="00A57E65">
              <w:t>Complete border and title blocks and confirm sketch is an accurate representation of subject and applies standard drawing conven</w:t>
            </w:r>
            <w:r w:rsidRPr="00A57E65">
              <w:t>tions</w:t>
            </w:r>
          </w:p>
        </w:tc>
      </w:tr>
    </w:tbl>
    <w:p w:rsidR="00000000" w:rsidRPr="00A57E65" w:rsidP="00A57E65">
      <w:pPr>
        <w:pStyle w:val="BodyText"/>
      </w:pPr>
    </w:p>
    <w:p w:rsidR="00000000" w:rsidRPr="00A57E65" w:rsidP="00A57E65">
      <w:pPr>
        <w:pStyle w:val="AllowPageBreak"/>
      </w:pPr>
    </w:p>
    <w:p w:rsidR="00000000" w:rsidRPr="00A57E65" w:rsidP="00A57E65">
      <w:pPr>
        <w:pStyle w:val="Heading1"/>
      </w:pPr>
      <w:bookmarkStart w:id="9" w:name="O_476696"/>
      <w:bookmarkEnd w:id="9"/>
      <w:r w:rsidRPr="00A57E65">
        <w:t>Required Skills and Knowledge</w:t>
      </w:r>
    </w:p>
    <w:tbl>
      <w:tblPr>
        <w:tblW w:w="0" w:type="auto"/>
        <w:tblLayout w:type="fixed"/>
        <w:tblCellMar>
          <w:left w:w="62" w:type="dxa"/>
          <w:right w:w="62" w:type="dxa"/>
        </w:tblCellMar>
        <w:tblLook w:val="0000"/>
      </w:tblPr>
      <w:tblGrid>
        <w:gridCol w:w="9072"/>
      </w:tblGrid>
      <w:tr w:rsidTr="00A57E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rPr>
                <w:rStyle w:val="SpecialBold"/>
              </w:rPr>
              <w:t>Required skills</w:t>
            </w:r>
          </w:p>
        </w:tc>
      </w:tr>
      <w:tr w:rsidTr="00A57E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7E65" w:rsidP="00A57E65">
            <w:pPr>
              <w:pStyle w:val="BodyText"/>
            </w:pPr>
            <w:r w:rsidRPr="00A57E65">
              <w:t>Required skills include:</w:t>
            </w:r>
          </w:p>
          <w:p w:rsidR="00000000" w:rsidRPr="00A57E65" w:rsidP="00A57E65">
            <w:pPr>
              <w:pStyle w:val="ListBullet"/>
            </w:pPr>
            <w:r w:rsidRPr="00A57E65">
              <w:t>literacy skills sufficient to read product safety labels and instructions and to prepare sketches for presentation</w:t>
            </w:r>
          </w:p>
          <w:p w:rsidR="00000000" w:rsidRPr="00A57E65" w:rsidP="00A57E65">
            <w:pPr>
              <w:pStyle w:val="ListBullet"/>
            </w:pPr>
            <w:r w:rsidRPr="00A57E65">
              <w:t xml:space="preserve">numeracy skills sufficient to determine layout issues and to deal with scaling </w:t>
            </w:r>
          </w:p>
          <w:p w:rsidR="00000000" w:rsidRPr="00A57E65" w:rsidP="00A57E65">
            <w:pPr>
              <w:pStyle w:val="ListBullet"/>
            </w:pPr>
            <w:r w:rsidRPr="00A57E65">
              <w:t>applying spatial principles to achieve scale and proportion</w:t>
            </w:r>
          </w:p>
          <w:p w:rsidR="00000000" w:rsidRPr="00A57E65" w:rsidP="00A57E65">
            <w:pPr>
              <w:pStyle w:val="ListBullet"/>
            </w:pPr>
            <w:r w:rsidRPr="00A57E65">
              <w:t>selecting correct media and graded pencils to produce a freehand sketch of components</w:t>
            </w:r>
          </w:p>
          <w:p w:rsidR="00000000" w:rsidRPr="00A57E65" w:rsidP="00A57E65">
            <w:pPr>
              <w:pStyle w:val="ListBullet"/>
            </w:pPr>
            <w:r w:rsidRPr="00A57E65">
              <w:t>applying freehand drawing tech</w:t>
            </w:r>
            <w:r w:rsidRPr="00A57E65">
              <w:t>niques and conventions in the production of sketches in pictorial, orthographic and sectional views</w:t>
            </w:r>
          </w:p>
          <w:p w:rsidR="00000000" w:rsidP="00A57E65">
            <w:pPr>
              <w:pStyle w:val="BodyText"/>
              <w:rPr>
                <w:lang w:val="en-NZ"/>
              </w:rPr>
            </w:pPr>
          </w:p>
        </w:tc>
      </w:tr>
      <w:tr w:rsidTr="00A57E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7E65">
            <w:pPr>
              <w:pStyle w:val="BodyText"/>
              <w:rPr>
                <w:lang w:val="en-NZ"/>
              </w:rPr>
            </w:pPr>
            <w:r w:rsidRPr="00A57E65">
              <w:rPr>
                <w:rStyle w:val="SpecialBold"/>
              </w:rPr>
              <w:t>Required knowledge</w:t>
            </w:r>
          </w:p>
        </w:tc>
      </w:tr>
      <w:tr w:rsidTr="00A57E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7E65" w:rsidP="00A57E65">
            <w:pPr>
              <w:pStyle w:val="BodyText"/>
            </w:pPr>
            <w:r w:rsidRPr="00A57E65">
              <w:t>Required knowledge includes:</w:t>
            </w:r>
          </w:p>
          <w:p w:rsidR="00000000" w:rsidRPr="00A57E65" w:rsidP="00A57E65">
            <w:pPr>
              <w:pStyle w:val="ListBullet"/>
            </w:pPr>
            <w:r w:rsidRPr="00A57E65">
              <w:t>general knowledge of the elements and principles of design and their specific application to drawing</w:t>
            </w:r>
          </w:p>
          <w:p w:rsidR="00000000" w:rsidRPr="00A57E65" w:rsidP="00A57E65">
            <w:pPr>
              <w:pStyle w:val="ListBullet"/>
            </w:pPr>
            <w:r w:rsidRPr="00A57E65">
              <w:t>gen</w:t>
            </w:r>
            <w:r w:rsidRPr="00A57E65">
              <w:t xml:space="preserve">eral knowledge of different approaches to drawing </w:t>
            </w:r>
          </w:p>
          <w:p w:rsidR="00000000" w:rsidRPr="00A57E65" w:rsidP="00A57E65">
            <w:pPr>
              <w:pStyle w:val="ListBullet"/>
            </w:pPr>
            <w:r w:rsidRPr="00A57E65">
              <w:t>techniques, methods and principles of technical drawing used in descriptive geometry</w:t>
            </w:r>
          </w:p>
          <w:p w:rsidR="00000000" w:rsidRPr="00A57E65" w:rsidP="00A57E65">
            <w:pPr>
              <w:pStyle w:val="ListBullet"/>
            </w:pPr>
            <w:r w:rsidRPr="00A57E65">
              <w:t>awareness of copyright and intellectual property issues and legislation in relation to drawing</w:t>
            </w:r>
          </w:p>
          <w:p w:rsidR="00000000" w:rsidRPr="00A57E65" w:rsidP="00A57E65">
            <w:pPr>
              <w:pStyle w:val="ListBullet"/>
            </w:pPr>
            <w:r w:rsidRPr="00A57E65">
              <w:t>environmental and occupat</w:t>
            </w:r>
            <w:r w:rsidRPr="00A57E65">
              <w:t>ional health and safety (OHS) issues associated with the tools and materials used for drawing</w:t>
            </w:r>
          </w:p>
          <w:p w:rsidR="00000000" w:rsidRPr="00A57E65" w:rsidP="00A57E65">
            <w:pPr>
              <w:pStyle w:val="ListBullet"/>
            </w:pPr>
            <w:r w:rsidRPr="00A57E65">
              <w:t>quality assurance procedures</w:t>
            </w:r>
          </w:p>
          <w:p w:rsidR="00000000" w:rsidRPr="00A57E65" w:rsidP="00A57E65">
            <w:pPr>
              <w:pStyle w:val="ListBullet"/>
            </w:pPr>
            <w:r w:rsidRPr="00A57E65">
              <w:t>principles of plane geometry:</w:t>
            </w:r>
          </w:p>
          <w:p w:rsidR="00000000" w:rsidRPr="00A57E65" w:rsidP="00A57E65">
            <w:pPr>
              <w:pStyle w:val="ListBullet2"/>
            </w:pPr>
            <w:r w:rsidRPr="00A57E65">
              <w:t>geometric shapes</w:t>
            </w:r>
          </w:p>
          <w:p w:rsidR="00000000" w:rsidRPr="00A57E65" w:rsidP="00A57E65">
            <w:pPr>
              <w:pStyle w:val="ListBullet2"/>
            </w:pPr>
            <w:r w:rsidRPr="00A57E65">
              <w:t>plane geometry</w:t>
            </w:r>
          </w:p>
          <w:p w:rsidR="00000000" w:rsidRPr="00A57E65" w:rsidP="00A57E65">
            <w:pPr>
              <w:pStyle w:val="ListBullet2"/>
            </w:pPr>
            <w:r w:rsidRPr="00A57E65">
              <w:t>geometric construction</w:t>
            </w:r>
          </w:p>
          <w:p w:rsidR="00000000" w:rsidRPr="00A57E65" w:rsidP="00A57E65">
            <w:pPr>
              <w:pStyle w:val="ListBullet2"/>
            </w:pPr>
            <w:r w:rsidRPr="00A57E65">
              <w:t>line types during construction</w:t>
            </w:r>
          </w:p>
          <w:p w:rsidR="00000000" w:rsidRPr="00A57E65" w:rsidP="00A57E65">
            <w:pPr>
              <w:pStyle w:val="ListBullet"/>
            </w:pPr>
            <w:r w:rsidRPr="00A57E65">
              <w:t>sketch construction:</w:t>
            </w:r>
          </w:p>
          <w:p w:rsidR="00000000" w:rsidRPr="00A57E65" w:rsidP="00A57E65">
            <w:pPr>
              <w:pStyle w:val="ListBullet2"/>
            </w:pPr>
            <w:r w:rsidRPr="00A57E65">
              <w:t>pictorial axes</w:t>
            </w:r>
          </w:p>
          <w:p w:rsidR="00000000" w:rsidRPr="00A57E65" w:rsidP="00A57E65">
            <w:pPr>
              <w:pStyle w:val="ListBullet2"/>
            </w:pPr>
            <w:r w:rsidRPr="00A57E65">
              <w:t>pictorial angles</w:t>
            </w:r>
          </w:p>
          <w:p w:rsidR="00000000" w:rsidRPr="00A57E65" w:rsidP="00A57E65">
            <w:pPr>
              <w:pStyle w:val="ListBullet2"/>
            </w:pPr>
            <w:r w:rsidRPr="00A57E65">
              <w:t>pictorial lines</w:t>
            </w:r>
          </w:p>
          <w:p w:rsidR="00000000" w:rsidRPr="00A57E65" w:rsidP="00A57E65">
            <w:pPr>
              <w:pStyle w:val="ListBullet2"/>
            </w:pPr>
            <w:r w:rsidRPr="00A57E65">
              <w:t>non-pictorial lines</w:t>
            </w:r>
          </w:p>
          <w:p w:rsidR="00000000" w:rsidRPr="00A57E65" w:rsidP="00A57E65">
            <w:pPr>
              <w:pStyle w:val="ListBullet2"/>
            </w:pPr>
            <w:r w:rsidRPr="00A57E65">
              <w:t>pictorial circles and arcs</w:t>
            </w:r>
          </w:p>
          <w:p w:rsidR="00000000" w:rsidRPr="00A57E65" w:rsidP="00A57E65">
            <w:pPr>
              <w:pStyle w:val="ListBullet"/>
            </w:pPr>
            <w:r w:rsidRPr="00A57E65">
              <w:t>four centre method</w:t>
            </w:r>
          </w:p>
          <w:p w:rsidR="00000000" w:rsidRPr="00A57E65" w:rsidP="00A57E65">
            <w:pPr>
              <w:pStyle w:val="ListBullet"/>
            </w:pPr>
            <w:r w:rsidRPr="00A57E65">
              <w:t>ordinate method:</w:t>
            </w:r>
          </w:p>
          <w:p w:rsidR="00000000" w:rsidRPr="00A57E65" w:rsidP="00A57E65">
            <w:pPr>
              <w:pStyle w:val="ListBullet2"/>
            </w:pPr>
            <w:r w:rsidRPr="00A57E65">
              <w:t>sectioning pictorial shapes</w:t>
            </w:r>
          </w:p>
          <w:p w:rsidR="00000000" w:rsidRPr="00A57E65" w:rsidP="00A57E65">
            <w:pPr>
              <w:pStyle w:val="ListBullet"/>
            </w:pPr>
            <w:r w:rsidRPr="00A57E65">
              <w:t>pictorial drawing:</w:t>
            </w:r>
          </w:p>
          <w:p w:rsidR="00000000" w:rsidRPr="00A57E65" w:rsidP="00A57E65">
            <w:pPr>
              <w:pStyle w:val="ListBullet2"/>
            </w:pPr>
            <w:r w:rsidRPr="00A57E65">
              <w:t>isometric</w:t>
            </w:r>
          </w:p>
          <w:p w:rsidR="00000000" w:rsidRPr="00A57E65" w:rsidP="00A57E65">
            <w:pPr>
              <w:pStyle w:val="ListBullet2"/>
            </w:pPr>
            <w:r w:rsidRPr="00A57E65">
              <w:t>oblique (cabinet and cavalier)</w:t>
            </w:r>
          </w:p>
          <w:p w:rsidR="00000000" w:rsidRPr="00A57E65" w:rsidP="00A57E65">
            <w:pPr>
              <w:pStyle w:val="ListBullet2"/>
            </w:pPr>
            <w:r w:rsidRPr="00A57E65">
              <w:t>perspective</w:t>
            </w:r>
          </w:p>
          <w:p w:rsidR="00000000" w:rsidRPr="00A57E65" w:rsidP="00A57E65">
            <w:pPr>
              <w:pStyle w:val="ListBullet2"/>
            </w:pPr>
            <w:r w:rsidRPr="00A57E65">
              <w:t>dimensioning requirements and techniques</w:t>
            </w:r>
          </w:p>
        </w:tc>
      </w:tr>
    </w:tbl>
    <w:p w:rsidR="00000000" w:rsidRPr="00A57E65" w:rsidP="00A57E65">
      <w:pPr>
        <w:pStyle w:val="BodyText"/>
      </w:pPr>
    </w:p>
    <w:p w:rsidR="00000000" w:rsidRPr="00A57E65" w:rsidP="00A57E65">
      <w:pPr>
        <w:pStyle w:val="AllowPageBreak"/>
      </w:pPr>
    </w:p>
    <w:p w:rsidR="00000000" w:rsidRPr="00A57E65" w:rsidP="00A57E65">
      <w:pPr>
        <w:pStyle w:val="Heading1"/>
      </w:pPr>
      <w:bookmarkStart w:id="10" w:name="O_476697"/>
      <w:bookmarkEnd w:id="10"/>
      <w:r w:rsidRPr="00A57E65">
        <w:t>Evidence Guide</w:t>
      </w:r>
    </w:p>
    <w:tbl>
      <w:tblPr>
        <w:tblW w:w="0" w:type="auto"/>
        <w:tblLayout w:type="fixed"/>
        <w:tblCellMar>
          <w:left w:w="62" w:type="dxa"/>
          <w:right w:w="62" w:type="dxa"/>
        </w:tblCellMar>
        <w:tblLook w:val="0000"/>
      </w:tblPr>
      <w:tblGrid>
        <w:gridCol w:w="3540"/>
        <w:gridCol w:w="5352"/>
      </w:tblGrid>
      <w:tr w:rsidTr="00A57E65">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A57E65">
            <w:pPr>
              <w:pStyle w:val="BodyText"/>
              <w:rPr>
                <w:lang w:val="en-NZ"/>
              </w:rPr>
            </w:pPr>
            <w:r w:rsidRPr="00A57E65">
              <w:t xml:space="preserve">The evidence guide provides advice on assessment and must be read in conjunction with the performance criteria required skills and knowledge </w:t>
            </w:r>
            <w:r w:rsidRPr="00A57E65">
              <w:t>range statement and the Assessment Guidelines for the Training Package.</w:t>
            </w:r>
          </w:p>
        </w:tc>
      </w:tr>
      <w:tr w:rsidTr="00A57E65">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t xml:space="preserve">A person who demonstrates competency in this unit must be able to produce freehand sketches to communicate or illustrate subject for further drafting work. </w:t>
            </w:r>
          </w:p>
        </w:tc>
      </w:tr>
      <w:tr w:rsidTr="00A57E65">
        <w:tblPrEx>
          <w:tblW w:w="0" w:type="auto"/>
          <w:tblLayout w:type="fixed"/>
          <w:tblCellMar>
            <w:left w:w="62" w:type="dxa"/>
            <w:right w:w="62" w:type="dxa"/>
          </w:tblCellMar>
          <w:tblLook w:val="0000"/>
        </w:tblPrEx>
        <w:trPr>
          <w:trHeight w:val="4584"/>
        </w:trPr>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C</w:t>
            </w:r>
            <w:r w:rsidRPr="00A57E65">
              <w:rPr>
                <w:rStyle w:val="SpecialBold"/>
              </w:rPr>
              <w:t>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Assessors must be satisfied that the candidate can competently and consistently perform all elements of the unit as specified by the criteria, including required kn</w:t>
            </w:r>
            <w:r w:rsidRPr="00A57E65">
              <w:t>owledge, and be capable of applying the competency in new and different situations and contexts.</w:t>
            </w:r>
          </w:p>
          <w:p w:rsidR="00000000" w:rsidRPr="00A57E65" w:rsidP="00A57E65">
            <w:pPr>
              <w:pStyle w:val="BodyText"/>
            </w:pPr>
            <w:r w:rsidRPr="00A57E65">
              <w:t>Specifically the candidate must be able to:</w:t>
            </w:r>
          </w:p>
          <w:p w:rsidR="00000000" w:rsidRPr="00A57E65" w:rsidP="00A57E65">
            <w:pPr>
              <w:pStyle w:val="ListBullet"/>
            </w:pPr>
            <w:r w:rsidRPr="00A57E65">
              <w:t xml:space="preserve">work within typical site/teamwork structures and methods </w:t>
            </w:r>
          </w:p>
          <w:p w:rsidR="00000000" w:rsidRPr="00A57E65" w:rsidP="00A57E65">
            <w:pPr>
              <w:pStyle w:val="ListBullet"/>
            </w:pPr>
            <w:r w:rsidRPr="00A57E65">
              <w:t xml:space="preserve">apply worksite communication procedures </w:t>
            </w:r>
          </w:p>
          <w:p w:rsidR="00000000" w:rsidRPr="00A57E65" w:rsidP="00A57E65">
            <w:pPr>
              <w:pStyle w:val="ListBullet"/>
            </w:pPr>
            <w:r w:rsidRPr="00A57E65">
              <w:t xml:space="preserve">comply with organisational policies and procedures, including quality requirements </w:t>
            </w:r>
          </w:p>
          <w:p w:rsidR="00000000" w:rsidRPr="00A57E65" w:rsidP="00A57E65">
            <w:pPr>
              <w:pStyle w:val="ListBullet"/>
            </w:pPr>
            <w:r w:rsidRPr="00A57E65">
              <w:t>comply with quality requirements</w:t>
            </w:r>
          </w:p>
          <w:p w:rsidR="00000000" w:rsidRPr="00A57E65" w:rsidP="00A57E65">
            <w:pPr>
              <w:pStyle w:val="ListBullet"/>
            </w:pPr>
            <w:r w:rsidRPr="00A57E65">
              <w:t xml:space="preserve">use industry terminology </w:t>
            </w:r>
          </w:p>
          <w:p w:rsidR="00000000" w:rsidRPr="00A57E65" w:rsidP="00A57E65">
            <w:pPr>
              <w:pStyle w:val="ListBullet"/>
            </w:pPr>
            <w:r w:rsidRPr="00A57E65">
              <w:t>apply appropriate safety procedures</w:t>
            </w:r>
          </w:p>
          <w:p w:rsidR="00000000" w:rsidP="00A57E65">
            <w:pPr>
              <w:pStyle w:val="ListBullet"/>
              <w:rPr>
                <w:lang w:val="en-NZ"/>
              </w:rPr>
            </w:pPr>
            <w:r w:rsidRPr="00A57E65">
              <w:t>produce freehand orthogonal sketches and sectional views with information req</w:t>
            </w:r>
            <w:r w:rsidRPr="00A57E65">
              <w:t>uired to inform drawing work.</w:t>
            </w:r>
          </w:p>
        </w:tc>
      </w:tr>
      <w:tr w:rsidTr="00A57E65">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This unit may be assessed on the job, off the job or a combination of both on and off the job. Where assessment occurs off the job, that is the candidate is not in productive w</w:t>
            </w:r>
            <w:r w:rsidRPr="00A57E65">
              <w:t xml:space="preserve">ork, then an appropriate simulation must be used where the range of conditions reflects realistic workplace situations. The competencies covered by this unit would be demonstrated by an individual working alone or as part of a team. </w:t>
            </w:r>
          </w:p>
          <w:p w:rsidR="00000000" w:rsidRPr="00A57E65" w:rsidP="00A57E65">
            <w:pPr>
              <w:pStyle w:val="BodyText"/>
            </w:pPr>
            <w:r w:rsidRPr="00A57E65">
              <w:t>Where applicable, reas</w:t>
            </w:r>
            <w:r w:rsidRPr="00A57E65">
              <w:t>onable adjustment must be made to work environments and training situations to accommodate ethnicity, age, gender, demographics and disability.</w:t>
            </w:r>
          </w:p>
          <w:p w:rsidR="00000000" w:rsidRPr="00A57E65" w:rsidP="00A57E65">
            <w:pPr>
              <w:pStyle w:val="BodyText"/>
            </w:pPr>
            <w:r w:rsidRPr="00A57E65">
              <w:t>Access must be provided to appropriate learning and/or assessment support when required. Where applicable, physi</w:t>
            </w:r>
            <w:r w:rsidRPr="00A57E65">
              <w:t>cal resources should include equipment modified for people with disabilities.</w:t>
            </w:r>
          </w:p>
          <w:p w:rsidR="00000000" w:rsidP="00A57E65">
            <w:pPr>
              <w:pStyle w:val="BodyText"/>
              <w:rPr>
                <w:lang w:val="en-NZ"/>
              </w:rPr>
            </w:pPr>
            <w:r w:rsidRPr="00A57E65">
              <w:t>This unit could be assessed in conjunction with any other units addressing the safety, quality, communication, materials handling, recording and reporting associated with draftin</w:t>
            </w:r>
            <w:r w:rsidRPr="00A57E65">
              <w:t>g or other units requiring the exercise of the skills and knowledge covered by this unit.</w:t>
            </w:r>
          </w:p>
        </w:tc>
      </w:tr>
      <w:tr w:rsidTr="00A57E65">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 xml:space="preserve">Assessors should gather a range of evidence that is valid, sufficient, current and authentic. Evidence can be gathered through a variety of </w:t>
            </w:r>
            <w:r w:rsidRPr="00A57E65">
              <w:t>ways, including direct observation, supervisor's reports, project work, samples and questioning. Questioning techniques should not require language, literacy and numeracy skills beyond those required in this unit of competency. The candidate must have acce</w:t>
            </w:r>
            <w:r w:rsidRPr="00A57E65">
              <w:t>ss to all tools, equipment, materials and documentation required. The candidate must be permitted to refer to any relevant workplace procedures, product and manufacturing specifications, codes, standards, manuals and reference materials.</w:t>
            </w:r>
          </w:p>
        </w:tc>
      </w:tr>
    </w:tbl>
    <w:p w:rsidR="00000000" w:rsidRPr="00A57E65" w:rsidP="00A57E65">
      <w:pPr>
        <w:pStyle w:val="BodyText"/>
      </w:pPr>
    </w:p>
    <w:p w:rsidR="00000000" w:rsidRPr="00A57E65" w:rsidP="00A57E65">
      <w:pPr>
        <w:pStyle w:val="AllowPageBreak"/>
      </w:pPr>
    </w:p>
    <w:p w:rsidR="00000000" w:rsidRPr="00A57E65" w:rsidP="00A57E65">
      <w:pPr>
        <w:pStyle w:val="Heading1"/>
      </w:pPr>
      <w:bookmarkStart w:id="11" w:name="O_476698"/>
      <w:bookmarkEnd w:id="11"/>
      <w:r w:rsidRPr="00A57E65">
        <w:t>Range Statement</w:t>
      </w:r>
    </w:p>
    <w:tbl>
      <w:tblPr>
        <w:tblW w:w="0" w:type="auto"/>
        <w:tblLayout w:type="fixed"/>
        <w:tblCellMar>
          <w:left w:w="62" w:type="dxa"/>
          <w:right w:w="62" w:type="dxa"/>
        </w:tblCellMar>
        <w:tblLook w:val="0000"/>
      </w:tblPr>
      <w:tblGrid>
        <w:gridCol w:w="3674"/>
        <w:gridCol w:w="5398"/>
      </w:tblGrid>
      <w:tr w:rsidTr="00A57E6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 xml:space="preserve">Key features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Key features may include:</w:t>
            </w:r>
          </w:p>
          <w:p w:rsidR="00000000" w:rsidRPr="00A57E65" w:rsidP="00A57E65">
            <w:pPr>
              <w:pStyle w:val="ListBullet"/>
            </w:pPr>
            <w:r w:rsidRPr="00A57E65">
              <w:t xml:space="preserve">shape </w:t>
            </w:r>
          </w:p>
          <w:p w:rsidR="00000000" w:rsidRPr="00A57E65" w:rsidP="00A57E65">
            <w:pPr>
              <w:pStyle w:val="ListBullet"/>
            </w:pPr>
            <w:r w:rsidRPr="00A57E65">
              <w:t>proposed subject</w:t>
            </w:r>
          </w:p>
          <w:p w:rsidR="00000000" w:rsidRPr="00A57E65" w:rsidP="00A57E65">
            <w:pPr>
              <w:pStyle w:val="ListBullet"/>
            </w:pPr>
            <w:r w:rsidRPr="00A57E65">
              <w:t>existing structures</w:t>
            </w:r>
          </w:p>
          <w:p w:rsidR="00000000" w:rsidRPr="00A57E65" w:rsidP="00A57E65">
            <w:pPr>
              <w:pStyle w:val="ListBullet"/>
            </w:pPr>
            <w:r w:rsidRPr="00A57E65">
              <w:t>services</w:t>
            </w:r>
          </w:p>
          <w:p w:rsidR="00000000" w:rsidRPr="00A57E65" w:rsidP="00A57E65">
            <w:pPr>
              <w:pStyle w:val="ListBullet"/>
            </w:pPr>
            <w:r w:rsidRPr="00A57E65">
              <w:t>dimensions</w:t>
            </w:r>
          </w:p>
          <w:p w:rsidR="00000000" w:rsidRPr="00A57E65" w:rsidP="00A57E65">
            <w:pPr>
              <w:pStyle w:val="ListBullet"/>
            </w:pPr>
            <w:r w:rsidRPr="00A57E65">
              <w:t>types of structure</w:t>
            </w:r>
          </w:p>
          <w:p w:rsidR="00000000" w:rsidRPr="00A57E65" w:rsidP="00A57E65">
            <w:pPr>
              <w:pStyle w:val="ListBullet"/>
            </w:pPr>
            <w:r w:rsidRPr="00A57E65">
              <w:t>shape of structure</w:t>
            </w:r>
          </w:p>
          <w:p w:rsidR="00000000" w:rsidRPr="00A57E65" w:rsidP="00A57E65">
            <w:pPr>
              <w:pStyle w:val="ListBullet"/>
            </w:pPr>
            <w:r w:rsidRPr="00A57E65">
              <w:t>type of construction</w:t>
            </w:r>
          </w:p>
          <w:p w:rsidR="00000000" w:rsidRPr="00A57E65" w:rsidP="00A57E65">
            <w:pPr>
              <w:pStyle w:val="ListBullet"/>
            </w:pPr>
            <w:r w:rsidRPr="00A57E65">
              <w:t>types of fasteners</w:t>
            </w:r>
          </w:p>
          <w:p w:rsidR="00000000" w:rsidRPr="00A57E65" w:rsidP="00A57E65">
            <w:pPr>
              <w:pStyle w:val="ListBullet"/>
            </w:pPr>
            <w:r w:rsidRPr="00A57E65">
              <w:t>layout</w:t>
            </w:r>
          </w:p>
          <w:p w:rsidR="00000000" w:rsidRPr="00A57E65" w:rsidP="00A57E65">
            <w:pPr>
              <w:pStyle w:val="ListBullet"/>
            </w:pPr>
            <w:r w:rsidRPr="00A57E65">
              <w:t>service requirements</w:t>
            </w:r>
          </w:p>
          <w:p w:rsidR="00000000" w:rsidRPr="00A57E65" w:rsidP="00A57E65">
            <w:pPr>
              <w:pStyle w:val="ListBullet"/>
            </w:pPr>
            <w:r w:rsidRPr="00A57E65">
              <w:t>location of plant and machinery</w:t>
            </w:r>
          </w:p>
          <w:p w:rsidR="00000000" w:rsidP="00A57E65">
            <w:pPr>
              <w:pStyle w:val="ListBullet"/>
              <w:rPr>
                <w:lang w:val="en-NZ"/>
              </w:rPr>
            </w:pPr>
            <w:r w:rsidRPr="00A57E65">
              <w:t>vertical and horizontal measurements</w:t>
            </w:r>
          </w:p>
        </w:tc>
      </w:tr>
      <w:tr w:rsidTr="00A57E6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Orientation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Orientation may include:</w:t>
            </w:r>
          </w:p>
          <w:p w:rsidR="00000000" w:rsidRPr="00A57E65" w:rsidP="00A57E65">
            <w:pPr>
              <w:pStyle w:val="ListBullet"/>
            </w:pPr>
            <w:r w:rsidRPr="00A57E65">
              <w:t>relationship to the north compass point</w:t>
            </w:r>
          </w:p>
          <w:p w:rsidR="00000000" w:rsidRPr="00A57E65" w:rsidP="00A57E65">
            <w:pPr>
              <w:pStyle w:val="ListBullet"/>
            </w:pPr>
            <w:r w:rsidRPr="00A57E65">
              <w:t>location of other subjects</w:t>
            </w:r>
          </w:p>
          <w:p w:rsidR="00000000" w:rsidP="00A57E65">
            <w:pPr>
              <w:pStyle w:val="ListBullet"/>
              <w:rPr>
                <w:lang w:val="en-NZ"/>
              </w:rPr>
            </w:pPr>
            <w:r w:rsidRPr="00A57E65">
              <w:t>relationship to other subjects</w:t>
            </w:r>
          </w:p>
        </w:tc>
      </w:tr>
      <w:tr w:rsidTr="00A57E6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Services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Services may include:</w:t>
            </w:r>
          </w:p>
          <w:p w:rsidR="00000000" w:rsidRPr="00A57E65" w:rsidP="00A57E65">
            <w:pPr>
              <w:pStyle w:val="ListBullet"/>
            </w:pPr>
            <w:r w:rsidRPr="00A57E65">
              <w:t>drainage</w:t>
            </w:r>
          </w:p>
          <w:p w:rsidR="00000000" w:rsidRPr="00A57E65" w:rsidP="00A57E65">
            <w:pPr>
              <w:pStyle w:val="ListBullet"/>
            </w:pPr>
            <w:r w:rsidRPr="00A57E65">
              <w:t>sewerage</w:t>
            </w:r>
          </w:p>
          <w:p w:rsidR="00000000" w:rsidRPr="00A57E65" w:rsidP="00A57E65">
            <w:pPr>
              <w:pStyle w:val="ListBullet"/>
            </w:pPr>
            <w:r w:rsidRPr="00A57E65">
              <w:t>gas</w:t>
            </w:r>
          </w:p>
          <w:p w:rsidR="00000000" w:rsidRPr="00A57E65" w:rsidP="00A57E65">
            <w:pPr>
              <w:pStyle w:val="ListBullet"/>
            </w:pPr>
            <w:r w:rsidRPr="00A57E65">
              <w:t>telephone and cable</w:t>
            </w:r>
          </w:p>
          <w:p w:rsidR="00000000" w:rsidRPr="00A57E65" w:rsidP="00A57E65">
            <w:pPr>
              <w:pStyle w:val="ListBullet"/>
            </w:pPr>
            <w:r w:rsidRPr="00A57E65">
              <w:t>water</w:t>
            </w:r>
          </w:p>
          <w:p w:rsidR="00000000" w:rsidRPr="00A57E65" w:rsidP="00A57E65">
            <w:pPr>
              <w:pStyle w:val="ListBullet"/>
            </w:pPr>
            <w:r w:rsidRPr="00A57E65">
              <w:t>electricity</w:t>
            </w:r>
          </w:p>
          <w:p w:rsidR="00000000" w:rsidRPr="00A57E65" w:rsidP="00A57E65">
            <w:pPr>
              <w:pStyle w:val="ListBullet"/>
            </w:pPr>
            <w:r w:rsidRPr="00A57E65">
              <w:t>air conditioning and ventilation</w:t>
            </w:r>
          </w:p>
          <w:p w:rsidR="00000000" w:rsidP="00A57E65">
            <w:pPr>
              <w:pStyle w:val="ListBullet"/>
              <w:rPr>
                <w:lang w:val="en-NZ"/>
              </w:rPr>
            </w:pPr>
            <w:r w:rsidRPr="00A57E65">
              <w:t>heating and cooling</w:t>
            </w:r>
          </w:p>
        </w:tc>
      </w:tr>
      <w:tr w:rsidTr="00A57E6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Additional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Additional information may include:</w:t>
            </w:r>
          </w:p>
          <w:p w:rsidR="00000000" w:rsidRPr="00A57E65" w:rsidP="00A57E65">
            <w:pPr>
              <w:pStyle w:val="ListBullet"/>
            </w:pPr>
            <w:r w:rsidRPr="00A57E65">
              <w:t>measurements and dimensions</w:t>
            </w:r>
          </w:p>
          <w:p w:rsidR="00000000" w:rsidRPr="00A57E65" w:rsidP="00A57E65">
            <w:pPr>
              <w:pStyle w:val="ListBullet"/>
            </w:pPr>
            <w:r w:rsidRPr="00A57E65">
              <w:t>design specifications</w:t>
            </w:r>
          </w:p>
          <w:p w:rsidR="00000000" w:rsidP="00A57E65">
            <w:pPr>
              <w:pStyle w:val="ListBullet"/>
              <w:rPr>
                <w:lang w:val="en-NZ"/>
              </w:rPr>
            </w:pPr>
            <w:r w:rsidRPr="00A57E65">
              <w:t>material</w:t>
            </w:r>
          </w:p>
        </w:tc>
      </w:tr>
      <w:tr w:rsidTr="00A57E6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 xml:space="preserve">Drawing materials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Drawing materials may include:</w:t>
            </w:r>
          </w:p>
          <w:p w:rsidR="00000000" w:rsidRPr="00A57E65" w:rsidP="00A57E65">
            <w:pPr>
              <w:pStyle w:val="ListBullet"/>
            </w:pPr>
            <w:r w:rsidRPr="00A57E65">
              <w:t>pen and ink</w:t>
            </w:r>
          </w:p>
          <w:p w:rsidR="00000000" w:rsidRPr="00A57E65" w:rsidP="00A57E65">
            <w:pPr>
              <w:pStyle w:val="ListBullet"/>
            </w:pPr>
            <w:r w:rsidRPr="00A57E65">
              <w:t>graphite pencils</w:t>
            </w:r>
          </w:p>
          <w:p w:rsidR="00000000" w:rsidRPr="00A57E65" w:rsidP="00A57E65">
            <w:pPr>
              <w:pStyle w:val="ListBullet"/>
            </w:pPr>
            <w:r w:rsidRPr="00A57E65">
              <w:t>graph paper</w:t>
            </w:r>
          </w:p>
          <w:p w:rsidR="00000000" w:rsidRPr="00A57E65" w:rsidP="00A57E65">
            <w:pPr>
              <w:pStyle w:val="ListBullet"/>
            </w:pPr>
            <w:r w:rsidRPr="00A57E65">
              <w:t>cartridge paper</w:t>
            </w:r>
          </w:p>
          <w:p w:rsidR="00000000" w:rsidP="00A57E65">
            <w:pPr>
              <w:pStyle w:val="ListBullet"/>
              <w:rPr>
                <w:lang w:val="en-NZ"/>
              </w:rPr>
            </w:pPr>
            <w:r w:rsidRPr="00A57E65">
              <w:t>tracing paper</w:t>
            </w:r>
          </w:p>
        </w:tc>
      </w:tr>
      <w:tr w:rsidTr="00A57E6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Standard drawing conventions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Standard drawing conventions may include:</w:t>
            </w:r>
          </w:p>
          <w:p w:rsidR="00000000" w:rsidRPr="00A57E65" w:rsidP="00A57E65">
            <w:pPr>
              <w:pStyle w:val="ListBullet"/>
            </w:pPr>
            <w:r w:rsidRPr="00A57E65">
              <w:t xml:space="preserve">use of correct sectioning technique </w:t>
            </w:r>
          </w:p>
          <w:p w:rsidR="00000000" w:rsidRPr="00A57E65" w:rsidP="00A57E65">
            <w:pPr>
              <w:pStyle w:val="ListBullet"/>
            </w:pPr>
            <w:r w:rsidRPr="00A57E65">
              <w:t xml:space="preserve">identification of cutting plane </w:t>
            </w:r>
          </w:p>
          <w:p w:rsidR="00000000" w:rsidRPr="00A57E65" w:rsidP="00A57E65">
            <w:pPr>
              <w:pStyle w:val="ListBullet"/>
            </w:pPr>
            <w:r w:rsidRPr="00A57E65">
              <w:t>accurate l</w:t>
            </w:r>
            <w:r w:rsidRPr="00A57E65">
              <w:t xml:space="preserve">ine types </w:t>
            </w:r>
          </w:p>
          <w:p w:rsidR="00000000" w:rsidRPr="00A57E65" w:rsidP="00A57E65">
            <w:pPr>
              <w:pStyle w:val="ListBullet"/>
            </w:pPr>
            <w:r w:rsidRPr="00A57E65">
              <w:t>appropriate view positions to the recognised drawing convention</w:t>
            </w:r>
          </w:p>
          <w:p w:rsidR="00000000" w:rsidRPr="00A57E65" w:rsidP="00A57E65">
            <w:pPr>
              <w:pStyle w:val="ListBullet"/>
            </w:pPr>
            <w:r w:rsidRPr="00A57E65">
              <w:t xml:space="preserve">use of correct symbols </w:t>
            </w:r>
          </w:p>
          <w:p w:rsidR="00000000" w:rsidRPr="00A57E65" w:rsidP="00A57E65">
            <w:pPr>
              <w:pStyle w:val="ListBullet"/>
            </w:pPr>
            <w:r w:rsidRPr="00A57E65">
              <w:t xml:space="preserve">use of correct dimensioning technique </w:t>
            </w:r>
          </w:p>
          <w:p w:rsidR="00000000" w:rsidRPr="00A57E65" w:rsidP="00A57E65">
            <w:pPr>
              <w:pStyle w:val="ListBullet"/>
            </w:pPr>
            <w:r w:rsidRPr="00A57E65">
              <w:t xml:space="preserve">provision of suitable number of views </w:t>
            </w:r>
          </w:p>
          <w:p w:rsidR="00000000" w:rsidRPr="00A57E65" w:rsidP="00A57E65">
            <w:pPr>
              <w:pStyle w:val="ListBullet"/>
            </w:pPr>
            <w:r w:rsidRPr="00A57E65">
              <w:t xml:space="preserve">use of correct proportions </w:t>
            </w:r>
          </w:p>
          <w:p w:rsidR="00000000" w:rsidP="00A57E65">
            <w:pPr>
              <w:pStyle w:val="ListBullet"/>
              <w:rPr>
                <w:lang w:val="en-NZ"/>
              </w:rPr>
            </w:pPr>
            <w:r w:rsidRPr="00A57E65">
              <w:t xml:space="preserve">neat presentation </w:t>
            </w:r>
          </w:p>
        </w:tc>
      </w:tr>
      <w:tr w:rsidTr="00A57E6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Construction techniques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Construction techniques may include:</w:t>
            </w:r>
          </w:p>
          <w:p w:rsidR="00000000" w:rsidRPr="00A57E65" w:rsidP="00A57E65">
            <w:pPr>
              <w:pStyle w:val="ListBullet"/>
            </w:pPr>
            <w:r w:rsidRPr="00A57E65">
              <w:t>use of parallel lines</w:t>
            </w:r>
          </w:p>
          <w:p w:rsidR="00000000" w:rsidRPr="00A57E65" w:rsidP="00A57E65">
            <w:pPr>
              <w:pStyle w:val="ListBullet"/>
            </w:pPr>
            <w:r w:rsidRPr="00A57E65">
              <w:t>bisection of lines, angles and arcs</w:t>
            </w:r>
          </w:p>
          <w:p w:rsidR="00000000" w:rsidRPr="00A57E65" w:rsidP="00A57E65">
            <w:pPr>
              <w:pStyle w:val="ListBullet"/>
            </w:pPr>
            <w:r w:rsidRPr="00A57E65">
              <w:t xml:space="preserve">equal division of lines </w:t>
            </w:r>
          </w:p>
          <w:p w:rsidR="00000000" w:rsidRPr="00A57E65" w:rsidP="00A57E65">
            <w:pPr>
              <w:pStyle w:val="ListBullet"/>
            </w:pPr>
            <w:r w:rsidRPr="00A57E65">
              <w:t>construction of angles at 90, 45, 30, 60, 75 and 15 degrees</w:t>
            </w:r>
          </w:p>
          <w:p w:rsidR="00000000" w:rsidRPr="00A57E65" w:rsidP="00A57E65">
            <w:pPr>
              <w:pStyle w:val="ListBullet"/>
            </w:pPr>
            <w:r w:rsidRPr="00A57E65">
              <w:t>construction of a hexagon</w:t>
            </w:r>
          </w:p>
          <w:p w:rsidR="00000000" w:rsidRPr="00A57E65" w:rsidP="00A57E65">
            <w:pPr>
              <w:pStyle w:val="ListBullet"/>
            </w:pPr>
            <w:r w:rsidRPr="00A57E65">
              <w:t>sketching arcs tangential to two lines</w:t>
            </w:r>
          </w:p>
          <w:p w:rsidR="00000000" w:rsidRPr="00A57E65" w:rsidP="00A57E65">
            <w:pPr>
              <w:pStyle w:val="ListBullet"/>
            </w:pPr>
            <w:r w:rsidRPr="00A57E65">
              <w:t xml:space="preserve">sketching </w:t>
            </w:r>
            <w:r w:rsidRPr="00A57E65">
              <w:t>arcs tangential to two other arcs, internally and externally</w:t>
            </w:r>
          </w:p>
          <w:p w:rsidR="00000000" w:rsidRPr="00A57E65" w:rsidP="00A57E65">
            <w:pPr>
              <w:pStyle w:val="ListBullet"/>
            </w:pPr>
            <w:r w:rsidRPr="00A57E65">
              <w:t>sketching an arc tangential to a straight line and another arc</w:t>
            </w:r>
          </w:p>
          <w:p w:rsidR="00000000" w:rsidP="00A57E65">
            <w:pPr>
              <w:pStyle w:val="ListBullet"/>
              <w:rPr>
                <w:lang w:val="en-NZ"/>
              </w:rPr>
            </w:pPr>
            <w:r w:rsidRPr="00A57E65">
              <w:t>determining and indicating tangent points</w:t>
            </w:r>
          </w:p>
        </w:tc>
      </w:tr>
      <w:tr w:rsidTr="00A57E6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65">
            <w:pPr>
              <w:pStyle w:val="BodyText"/>
              <w:rPr>
                <w:lang w:val="en-NZ"/>
              </w:rPr>
            </w:pPr>
            <w:r w:rsidRPr="00A57E65">
              <w:rPr>
                <w:rStyle w:val="SpecialBold"/>
              </w:rPr>
              <w:t>Drawing techniques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65" w:rsidP="00A57E65">
            <w:pPr>
              <w:pStyle w:val="BodyText"/>
            </w:pPr>
            <w:r w:rsidRPr="00A57E65">
              <w:t>Drawing techniques may include:</w:t>
            </w:r>
          </w:p>
          <w:p w:rsidR="00000000" w:rsidRPr="00A57E65" w:rsidP="00A57E65">
            <w:pPr>
              <w:pStyle w:val="ListBullet"/>
            </w:pPr>
            <w:r w:rsidRPr="00A57E65">
              <w:t>orthogonal projection:</w:t>
            </w:r>
          </w:p>
          <w:p w:rsidR="00000000" w:rsidRPr="00A57E65" w:rsidP="00A57E65">
            <w:pPr>
              <w:pStyle w:val="ListBullet2"/>
            </w:pPr>
            <w:r w:rsidRPr="00A57E65">
              <w:t>first angle projection</w:t>
            </w:r>
          </w:p>
          <w:p w:rsidR="00000000" w:rsidRPr="00A57E65" w:rsidP="00A57E65">
            <w:pPr>
              <w:pStyle w:val="ListBullet2"/>
            </w:pPr>
            <w:r w:rsidRPr="00A57E65">
              <w:t>third angle projection</w:t>
            </w:r>
          </w:p>
          <w:p w:rsidR="00000000" w:rsidRPr="00A57E65" w:rsidP="00A57E65">
            <w:pPr>
              <w:pStyle w:val="ListBullet2"/>
            </w:pPr>
            <w:r w:rsidRPr="00A57E65">
              <w:t>projection symbol</w:t>
            </w:r>
          </w:p>
          <w:p w:rsidR="00000000" w:rsidRPr="00A57E65" w:rsidP="00A57E65">
            <w:pPr>
              <w:pStyle w:val="ListBullet2"/>
            </w:pPr>
            <w:r w:rsidRPr="00A57E65">
              <w:t>preferred system of projection in Australia</w:t>
            </w:r>
          </w:p>
          <w:p w:rsidR="00000000" w:rsidRPr="00A57E65" w:rsidP="00A57E65">
            <w:pPr>
              <w:pStyle w:val="ListBullet2"/>
            </w:pPr>
            <w:r w:rsidRPr="00A57E65">
              <w:t>number of views</w:t>
            </w:r>
          </w:p>
          <w:p w:rsidR="00000000" w:rsidRPr="00A57E65" w:rsidP="00A57E65">
            <w:pPr>
              <w:pStyle w:val="ListBullet2"/>
            </w:pPr>
            <w:r w:rsidRPr="00A57E65">
              <w:t>relationship of views</w:t>
            </w:r>
          </w:p>
          <w:p w:rsidR="00000000" w:rsidRPr="00A57E65" w:rsidP="00A57E65">
            <w:pPr>
              <w:pStyle w:val="ListBullet"/>
            </w:pPr>
            <w:r w:rsidRPr="00A57E65">
              <w:t>sheet format:</w:t>
            </w:r>
          </w:p>
          <w:p w:rsidR="00000000" w:rsidRPr="00A57E65" w:rsidP="00A57E65">
            <w:pPr>
              <w:pStyle w:val="ListBullet2"/>
            </w:pPr>
            <w:r w:rsidRPr="00A57E65">
              <w:t>borders and title blocks</w:t>
            </w:r>
          </w:p>
          <w:p w:rsidR="00000000" w:rsidRPr="00A57E65" w:rsidP="00A57E65">
            <w:pPr>
              <w:pStyle w:val="ListBullet2"/>
            </w:pPr>
            <w:r w:rsidRPr="00A57E65">
              <w:t>application of projection symbol</w:t>
            </w:r>
          </w:p>
          <w:p w:rsidR="00000000" w:rsidRPr="00A57E65" w:rsidP="00A57E65">
            <w:pPr>
              <w:pStyle w:val="ListBullet2"/>
            </w:pPr>
            <w:r w:rsidRPr="00A57E65">
              <w:t>drawing sheets and sizes</w:t>
            </w:r>
          </w:p>
          <w:p w:rsidR="00000000" w:rsidRPr="00A57E65" w:rsidP="00A57E65">
            <w:pPr>
              <w:pStyle w:val="ListBullet2"/>
            </w:pPr>
            <w:r w:rsidRPr="00A57E65">
              <w:t>lettering styles</w:t>
            </w:r>
          </w:p>
          <w:p w:rsidR="00000000" w:rsidRPr="00A57E65" w:rsidP="00A57E65">
            <w:pPr>
              <w:pStyle w:val="ListBullet2"/>
            </w:pPr>
            <w:r w:rsidRPr="00A57E65">
              <w:t>Australian standards</w:t>
            </w:r>
          </w:p>
          <w:p w:rsidR="00000000" w:rsidRPr="00A57E65" w:rsidP="00A57E65">
            <w:pPr>
              <w:pStyle w:val="ListBullet"/>
            </w:pPr>
            <w:r w:rsidRPr="00A57E65">
              <w:t>dimensioning:</w:t>
            </w:r>
          </w:p>
          <w:p w:rsidR="00000000" w:rsidRPr="00A57E65" w:rsidP="00A57E65">
            <w:pPr>
              <w:pStyle w:val="ListBullet2"/>
            </w:pPr>
            <w:r w:rsidRPr="00A57E65">
              <w:t>unidirectional dimensioning</w:t>
            </w:r>
          </w:p>
          <w:p w:rsidR="00000000" w:rsidRPr="00A57E65" w:rsidP="00A57E65">
            <w:pPr>
              <w:pStyle w:val="ListBullet2"/>
            </w:pPr>
            <w:r w:rsidRPr="00A57E65">
              <w:t>aligned dimensioning</w:t>
            </w:r>
          </w:p>
          <w:p w:rsidR="00000000" w:rsidRPr="00A57E65" w:rsidP="00A57E65">
            <w:pPr>
              <w:pStyle w:val="ListBullet2"/>
            </w:pPr>
            <w:r w:rsidRPr="00A57E65">
              <w:t xml:space="preserve">projection and dimension lines </w:t>
            </w:r>
          </w:p>
          <w:p w:rsidR="00000000" w:rsidRPr="00A57E65" w:rsidP="00A57E65">
            <w:pPr>
              <w:pStyle w:val="ListBullet2"/>
            </w:pPr>
            <w:r w:rsidRPr="00A57E65">
              <w:t>arrow heads</w:t>
            </w:r>
          </w:p>
          <w:p w:rsidR="00000000" w:rsidRPr="00A57E65" w:rsidP="00A57E65">
            <w:pPr>
              <w:pStyle w:val="ListBullet2"/>
            </w:pPr>
            <w:r w:rsidRPr="00A57E65">
              <w:t>dimension placement</w:t>
            </w:r>
          </w:p>
          <w:p w:rsidR="00000000" w:rsidRPr="00A57E65" w:rsidP="00A57E65">
            <w:pPr>
              <w:pStyle w:val="ListBullet"/>
            </w:pPr>
            <w:r w:rsidRPr="00A57E65">
              <w:t>sectioning:</w:t>
            </w:r>
          </w:p>
          <w:p w:rsidR="00000000" w:rsidRPr="00A57E65" w:rsidP="00A57E65">
            <w:pPr>
              <w:pStyle w:val="ListBullet2"/>
            </w:pPr>
            <w:r w:rsidRPr="00A57E65">
              <w:t>types of sections</w:t>
            </w:r>
          </w:p>
          <w:p w:rsidR="00000000" w:rsidRPr="00A57E65" w:rsidP="00A57E65">
            <w:pPr>
              <w:pStyle w:val="ListBullet2"/>
            </w:pPr>
            <w:r w:rsidRPr="00A57E65">
              <w:t>required section views</w:t>
            </w:r>
          </w:p>
          <w:p w:rsidR="00000000" w:rsidRPr="00A57E65" w:rsidP="00A57E65">
            <w:pPr>
              <w:pStyle w:val="ListBullet2"/>
            </w:pPr>
            <w:r w:rsidRPr="00A57E65">
              <w:t>placement of views</w:t>
            </w:r>
          </w:p>
          <w:p w:rsidR="00000000" w:rsidRPr="00A57E65" w:rsidP="00A57E65">
            <w:pPr>
              <w:pStyle w:val="ListBullet2"/>
            </w:pPr>
            <w:r w:rsidRPr="00A57E65">
              <w:t>cutting planes</w:t>
            </w:r>
          </w:p>
          <w:p w:rsidR="00000000" w:rsidRPr="00A57E65" w:rsidP="00A57E65">
            <w:pPr>
              <w:pStyle w:val="ListBullet2"/>
            </w:pPr>
            <w:r w:rsidRPr="00A57E65">
              <w:t>labelling of cutting planes and section views</w:t>
            </w:r>
          </w:p>
        </w:tc>
      </w:tr>
    </w:tbl>
    <w:p w:rsidR="00000000" w:rsidRPr="00A57E65" w:rsidP="00A57E65">
      <w:pPr>
        <w:pStyle w:val="BodyText"/>
      </w:pPr>
    </w:p>
    <w:p w:rsidR="00000000" w:rsidRPr="00A57E65" w:rsidP="00A57E65">
      <w:pPr>
        <w:pStyle w:val="AllowPageBreak"/>
      </w:pPr>
    </w:p>
    <w:p w:rsidR="00000000" w:rsidRPr="00A57E65" w:rsidP="00A57E65">
      <w:pPr>
        <w:pStyle w:val="Heading1"/>
      </w:pPr>
      <w:bookmarkStart w:id="12" w:name="O_476699"/>
      <w:bookmarkEnd w:id="12"/>
      <w:r w:rsidRPr="00A57E65">
        <w:t>Unit Sector(s)</w:t>
      </w:r>
    </w:p>
    <w:p w:rsidR="00000000" w:rsidRPr="00A57E65" w:rsidP="00A57E65">
      <w:pPr>
        <w:pStyle w:val="BodyText"/>
      </w:pPr>
      <w:r w:rsidRPr="00A57E65">
        <w:t>Drawing, drafting and design</w:t>
      </w:r>
    </w:p>
    <w:p w:rsidR="00000000" w:rsidRPr="00A57E65" w:rsidP="00A57E65">
      <w:pPr>
        <w:pStyle w:val="AllowPageBreak"/>
      </w:pPr>
    </w:p>
    <w:p w:rsidR="00000000" w:rsidRPr="00A57E65" w:rsidP="00A57E65">
      <w:pPr>
        <w:pStyle w:val="Heading1"/>
      </w:pPr>
      <w:bookmarkStart w:id="13" w:name="O_476700"/>
      <w:bookmarkEnd w:id="13"/>
      <w:r w:rsidRPr="00A57E65">
        <w:t>Custom Content Section</w:t>
      </w:r>
    </w:p>
    <w:p w:rsidR="00000000" w:rsidRPr="00A57E65" w:rsidP="00A57E65">
      <w:pPr>
        <w:pStyle w:val="BodyText"/>
      </w:pPr>
      <w:r w:rsidRPr="00A57E65">
        <w:t>Not applicable.</w:t>
      </w:r>
    </w:p>
    <w:p w:rsidR="00000000" w:rsidRPr="00A57E65" w:rsidP="00A57E65"/>
    <w:sectPr w:rsidSect="00A57E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EED" w:rsidP="00602E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ED" w:rsidP="00A57E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2EED" w:rsidP="00A57E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2EED" w:rsidP="00A57E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65" w:rsidRPr="00602EED" w:rsidP="00602E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ED" w:rsidP="00A57E65">
    <w:pPr>
      <w:pStyle w:val="Header"/>
      <w:framePr w:wrap="around"/>
    </w:pPr>
    <w:r>
      <w:fldChar w:fldCharType="begin"/>
    </w:r>
    <w:r>
      <w:instrText xml:space="preserve"> TITLE   \* MERGEFORMAT </w:instrText>
    </w:r>
    <w:r>
      <w:fldChar w:fldCharType="separate"/>
    </w:r>
    <w:r>
      <w:t>MEM09202A Produce freehand sketches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602EED" w:rsidP="00A57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CF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3CC7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7A4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E65"/>
    <w:pPr>
      <w:spacing w:before="360" w:after="60"/>
      <w:outlineLvl w:val="0"/>
    </w:pPr>
    <w:rPr>
      <w:sz w:val="32"/>
    </w:rPr>
  </w:style>
  <w:style w:type="paragraph" w:styleId="Heading2">
    <w:name w:val="heading 2"/>
    <w:basedOn w:val="HeadingBase"/>
    <w:next w:val="BodyText"/>
    <w:link w:val="Heading2Char"/>
    <w:qFormat/>
    <w:rsid w:val="00A57E65"/>
    <w:pPr>
      <w:keepLines/>
      <w:spacing w:before="240" w:after="120"/>
      <w:outlineLvl w:val="1"/>
    </w:pPr>
    <w:rPr>
      <w:sz w:val="28"/>
      <w:szCs w:val="40"/>
    </w:rPr>
  </w:style>
  <w:style w:type="paragraph" w:styleId="Heading3">
    <w:name w:val="heading 3"/>
    <w:basedOn w:val="HeadingBase"/>
    <w:next w:val="BodyText"/>
    <w:link w:val="Heading3Char"/>
    <w:qFormat/>
    <w:rsid w:val="00A57E65"/>
    <w:pPr>
      <w:spacing w:before="180" w:after="120"/>
      <w:outlineLvl w:val="2"/>
    </w:pPr>
    <w:rPr>
      <w:spacing w:val="-10"/>
      <w:kern w:val="32"/>
    </w:rPr>
  </w:style>
  <w:style w:type="paragraph" w:styleId="Heading4">
    <w:name w:val="heading 4"/>
    <w:basedOn w:val="HeadingBase"/>
    <w:next w:val="BodyText"/>
    <w:link w:val="Heading4Char"/>
    <w:qFormat/>
    <w:rsid w:val="00A57E65"/>
    <w:pPr>
      <w:spacing w:before="160" w:after="120"/>
      <w:outlineLvl w:val="3"/>
    </w:pPr>
    <w:rPr>
      <w:sz w:val="22"/>
    </w:rPr>
  </w:style>
  <w:style w:type="paragraph" w:styleId="Heading5">
    <w:name w:val="heading 5"/>
    <w:basedOn w:val="HeadingBase"/>
    <w:next w:val="Normal"/>
    <w:link w:val="Heading5Char"/>
    <w:qFormat/>
    <w:rsid w:val="00A57E65"/>
    <w:pPr>
      <w:spacing w:before="80"/>
      <w:outlineLvl w:val="4"/>
    </w:pPr>
    <w:rPr>
      <w:color w:val="918585"/>
      <w:sz w:val="20"/>
    </w:rPr>
  </w:style>
  <w:style w:type="paragraph" w:styleId="Heading6">
    <w:name w:val="heading 6"/>
    <w:basedOn w:val="HeadingBase"/>
    <w:next w:val="Normal"/>
    <w:link w:val="Heading6Char"/>
    <w:qFormat/>
    <w:rsid w:val="00A57E65"/>
    <w:pPr>
      <w:spacing w:before="60"/>
      <w:outlineLvl w:val="5"/>
    </w:pPr>
    <w:rPr>
      <w:color w:val="918585"/>
      <w:sz w:val="20"/>
    </w:rPr>
  </w:style>
  <w:style w:type="paragraph" w:styleId="Heading7">
    <w:name w:val="heading 7"/>
    <w:basedOn w:val="Normal"/>
    <w:next w:val="Normal"/>
    <w:link w:val="Heading7Char"/>
    <w:qFormat/>
    <w:rsid w:val="00A57E65"/>
    <w:pPr>
      <w:ind w:left="720"/>
      <w:outlineLvl w:val="6"/>
    </w:pPr>
    <w:rPr>
      <w:i/>
    </w:rPr>
  </w:style>
  <w:style w:type="paragraph" w:styleId="Heading8">
    <w:name w:val="heading 8"/>
    <w:basedOn w:val="Normal"/>
    <w:next w:val="Normal"/>
    <w:link w:val="Heading8Char"/>
    <w:qFormat/>
    <w:rsid w:val="00A57E65"/>
    <w:pPr>
      <w:ind w:left="720"/>
      <w:outlineLvl w:val="7"/>
    </w:pPr>
    <w:rPr>
      <w:i/>
    </w:rPr>
  </w:style>
  <w:style w:type="paragraph" w:styleId="Heading9">
    <w:name w:val="heading 9"/>
    <w:basedOn w:val="Normal"/>
    <w:next w:val="Normal"/>
    <w:link w:val="Heading9Char"/>
    <w:qFormat/>
    <w:rsid w:val="00A57E65"/>
    <w:pPr>
      <w:ind w:left="720"/>
      <w:outlineLvl w:val="8"/>
    </w:pPr>
    <w:rPr>
      <w:i/>
    </w:rPr>
  </w:style>
  <w:style w:type="character" w:default="1" w:styleId="DefaultParagraphFont">
    <w:name w:val="Default Paragraph Font"/>
    <w:uiPriority w:val="1"/>
    <w:unhideWhenUsed/>
    <w:rsid w:val="00A57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E65"/>
  </w:style>
  <w:style w:type="character" w:customStyle="1" w:styleId="Heading1Char">
    <w:name w:val="Heading 1 Char"/>
    <w:basedOn w:val="DefaultParagraphFont"/>
    <w:link w:val="Heading1"/>
    <w:rsid w:val="00A57E65"/>
    <w:rPr>
      <w:rFonts w:ascii="Times New Roman" w:eastAsia="Times New Roman" w:hAnsi="Times New Roman" w:cs="Times New Roman"/>
      <w:b/>
      <w:sz w:val="32"/>
      <w:szCs w:val="20"/>
      <w:lang w:eastAsia="en-US"/>
    </w:rPr>
  </w:style>
  <w:style w:type="paragraph" w:styleId="BodyText">
    <w:name w:val="Body Text"/>
    <w:basedOn w:val="Normal"/>
    <w:link w:val="BodyTextChar"/>
    <w:rsid w:val="00A57E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E65"/>
    <w:rPr>
      <w:rFonts w:ascii="Times New Roman" w:eastAsia="Times New Roman" w:hAnsi="Times New Roman" w:cs="Times New Roman"/>
      <w:sz w:val="24"/>
      <w:lang w:eastAsia="en-US"/>
    </w:rPr>
  </w:style>
  <w:style w:type="paragraph" w:styleId="Footer">
    <w:name w:val="footer"/>
    <w:basedOn w:val="Normal"/>
    <w:link w:val="FooterChar"/>
    <w:rsid w:val="00A57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E65"/>
    <w:rPr>
      <w:rFonts w:ascii="Times New Roman" w:eastAsia="Times New Roman" w:hAnsi="Times New Roman" w:cs="Times New Roman"/>
      <w:sz w:val="16"/>
      <w:lang w:eastAsia="en-US"/>
    </w:rPr>
  </w:style>
  <w:style w:type="paragraph" w:styleId="ListBullet">
    <w:name w:val="List Bullet"/>
    <w:basedOn w:val="List"/>
    <w:rsid w:val="00A57E65"/>
    <w:pPr>
      <w:numPr>
        <w:numId w:val="13"/>
      </w:numPr>
      <w:tabs>
        <w:tab w:val="clear" w:pos="340"/>
      </w:tabs>
      <w:spacing w:before="40" w:after="40"/>
    </w:pPr>
  </w:style>
  <w:style w:type="character" w:customStyle="1" w:styleId="SpecialBold">
    <w:name w:val="Special Bold"/>
    <w:basedOn w:val="DefaultParagraphFont"/>
    <w:rsid w:val="00A57E65"/>
    <w:rPr>
      <w:b/>
      <w:spacing w:val="0"/>
    </w:rPr>
  </w:style>
  <w:style w:type="paragraph" w:styleId="ListBullet2">
    <w:name w:val="List Bullet 2"/>
    <w:basedOn w:val="List2"/>
    <w:rsid w:val="00A57E65"/>
    <w:pPr>
      <w:numPr>
        <w:numId w:val="14"/>
      </w:numPr>
      <w:tabs>
        <w:tab w:val="clear" w:pos="680"/>
      </w:tabs>
    </w:pPr>
  </w:style>
  <w:style w:type="paragraph" w:customStyle="1" w:styleId="SuperHeading">
    <w:name w:val="SuperHeading"/>
    <w:basedOn w:val="Normal"/>
    <w:rsid w:val="00A57E65"/>
    <w:pPr>
      <w:spacing w:before="240" w:after="120"/>
      <w:outlineLvl w:val="0"/>
    </w:pPr>
    <w:rPr>
      <w:rFonts w:ascii="Times New Roman" w:hAnsi="Times New Roman"/>
      <w:b/>
      <w:sz w:val="28"/>
    </w:rPr>
  </w:style>
  <w:style w:type="paragraph" w:customStyle="1" w:styleId="AllowPageBreak">
    <w:name w:val="AllowPageBreak"/>
    <w:rsid w:val="00A57E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E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E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E65"/>
    <w:rPr>
      <w:rFonts w:ascii="Courier New" w:eastAsia="Times New Roman" w:hAnsi="Courier New" w:cs="Times New Roman"/>
      <w:i/>
      <w:szCs w:val="20"/>
      <w:lang w:eastAsia="en-US"/>
    </w:rPr>
  </w:style>
  <w:style w:type="paragraph" w:customStyle="1" w:styleId="HeadingBase">
    <w:name w:val="Heading Base"/>
    <w:rsid w:val="00A57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E65"/>
    <w:pPr>
      <w:tabs>
        <w:tab w:val="right" w:leader="dot" w:pos="9072"/>
      </w:tabs>
      <w:ind w:left="567"/>
    </w:pPr>
    <w:rPr>
      <w:szCs w:val="22"/>
    </w:rPr>
  </w:style>
  <w:style w:type="paragraph" w:customStyle="1" w:styleId="TOCBase">
    <w:name w:val="TOC Base"/>
    <w:rsid w:val="00A57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E65"/>
    <w:pPr>
      <w:tabs>
        <w:tab w:val="right" w:leader="dot" w:pos="9072"/>
      </w:tabs>
      <w:spacing w:before="40" w:after="40"/>
      <w:ind w:left="284"/>
    </w:pPr>
    <w:rPr>
      <w:rFonts w:ascii="Times New Roman" w:hAnsi="Times New Roman"/>
    </w:rPr>
  </w:style>
  <w:style w:type="paragraph" w:styleId="TOC1">
    <w:name w:val="toc 1"/>
    <w:basedOn w:val="TOCBase"/>
    <w:next w:val="Normal"/>
    <w:rsid w:val="00A57E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7E65"/>
    <w:pPr>
      <w:spacing w:before="5040"/>
      <w:jc w:val="center"/>
    </w:pPr>
    <w:rPr>
      <w:sz w:val="48"/>
      <w:szCs w:val="72"/>
      <w:lang w:val="en-US"/>
    </w:rPr>
  </w:style>
  <w:style w:type="character" w:customStyle="1" w:styleId="TitleChar">
    <w:name w:val="Title Char"/>
    <w:basedOn w:val="DefaultParagraphFont"/>
    <w:link w:val="Title"/>
    <w:rsid w:val="00A57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E65"/>
    <w:pPr>
      <w:tabs>
        <w:tab w:val="left" w:pos="3600"/>
        <w:tab w:val="left" w:pos="3958"/>
      </w:tabs>
    </w:pPr>
  </w:style>
  <w:style w:type="paragraph" w:styleId="List">
    <w:name w:val="List"/>
    <w:basedOn w:val="BodyText"/>
    <w:next w:val="BodyText"/>
    <w:rsid w:val="00A57E65"/>
    <w:pPr>
      <w:tabs>
        <w:tab w:val="left" w:pos="340"/>
      </w:tabs>
      <w:spacing w:before="60" w:after="60"/>
      <w:ind w:left="340" w:hanging="340"/>
    </w:pPr>
  </w:style>
  <w:style w:type="paragraph" w:customStyle="1" w:styleId="Note">
    <w:name w:val="Note"/>
    <w:basedOn w:val="BodyText"/>
    <w:rsid w:val="00A57E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E65"/>
    <w:pPr>
      <w:framePr w:wrap="auto" w:hAnchor="text" w:y="6049"/>
    </w:pPr>
    <w:rPr>
      <w:color w:val="000000"/>
      <w:sz w:val="40"/>
    </w:rPr>
  </w:style>
  <w:style w:type="paragraph" w:customStyle="1" w:styleId="TOCTitle">
    <w:name w:val="TOCTitle"/>
    <w:basedOn w:val="Heading1"/>
    <w:rsid w:val="00A57E65"/>
    <w:pPr>
      <w:spacing w:after="240"/>
      <w:jc w:val="center"/>
      <w:outlineLvl w:val="9"/>
    </w:pPr>
    <w:rPr>
      <w:caps/>
    </w:rPr>
  </w:style>
  <w:style w:type="paragraph" w:customStyle="1" w:styleId="Version">
    <w:name w:val="Version"/>
    <w:rsid w:val="00A57E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E65"/>
    <w:pPr>
      <w:keepNext w:val="0"/>
      <w:tabs>
        <w:tab w:val="right" w:pos="4176"/>
      </w:tabs>
      <w:ind w:left="198" w:hanging="198"/>
    </w:pPr>
    <w:rPr>
      <w:rFonts w:ascii="Garamond" w:hAnsi="Garamond"/>
    </w:rPr>
  </w:style>
  <w:style w:type="paragraph" w:styleId="IndexHeading">
    <w:name w:val="index heading"/>
    <w:basedOn w:val="Normal"/>
    <w:next w:val="Index1"/>
    <w:semiHidden/>
    <w:rsid w:val="00A57E65"/>
    <w:pPr>
      <w:spacing w:before="120" w:after="120"/>
    </w:pPr>
    <w:rPr>
      <w:rFonts w:ascii="Arial" w:hAnsi="Arial"/>
      <w:b/>
      <w:color w:val="918585"/>
      <w:sz w:val="24"/>
    </w:rPr>
  </w:style>
  <w:style w:type="paragraph" w:styleId="Header">
    <w:name w:val="header"/>
    <w:basedOn w:val="Normal"/>
    <w:link w:val="HeaderChar"/>
    <w:rsid w:val="00A57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E65"/>
    <w:rPr>
      <w:rFonts w:ascii="Times New Roman" w:eastAsia="Times New Roman" w:hAnsi="Times New Roman" w:cs="Times New Roman"/>
      <w:sz w:val="16"/>
      <w:szCs w:val="20"/>
      <w:lang w:val="en-GB" w:eastAsia="en-US"/>
    </w:rPr>
  </w:style>
  <w:style w:type="paragraph" w:customStyle="1" w:styleId="Chapter">
    <w:name w:val="Chapter"/>
    <w:basedOn w:val="Normal"/>
    <w:rsid w:val="00A57E65"/>
    <w:pPr>
      <w:spacing w:before="240"/>
    </w:pPr>
    <w:rPr>
      <w:rFonts w:ascii="Times New Roman" w:hAnsi="Times New Roman"/>
      <w:smallCaps/>
      <w:spacing w:val="80"/>
      <w:sz w:val="28"/>
    </w:rPr>
  </w:style>
  <w:style w:type="paragraph" w:customStyle="1" w:styleId="InChapter">
    <w:name w:val="InChapter"/>
    <w:basedOn w:val="Heading3"/>
    <w:rsid w:val="00A57E65"/>
    <w:pPr>
      <w:spacing w:after="240"/>
      <w:outlineLvl w:val="9"/>
    </w:pPr>
    <w:rPr>
      <w:noProof/>
    </w:rPr>
  </w:style>
  <w:style w:type="paragraph" w:styleId="Index2">
    <w:name w:val="index 2"/>
    <w:basedOn w:val="Normal"/>
    <w:next w:val="Normal"/>
    <w:semiHidden/>
    <w:rsid w:val="00A57E65"/>
    <w:pPr>
      <w:tabs>
        <w:tab w:val="right" w:pos="4176"/>
      </w:tabs>
      <w:ind w:left="568" w:hanging="284"/>
    </w:pPr>
    <w:rPr>
      <w:rFonts w:ascii="Garamond" w:hAnsi="Garamond"/>
    </w:rPr>
  </w:style>
  <w:style w:type="paragraph" w:customStyle="1" w:styleId="Byline">
    <w:name w:val="Byline"/>
    <w:rsid w:val="00A57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E65"/>
    <w:pPr>
      <w:tabs>
        <w:tab w:val="clear" w:pos="3600"/>
        <w:tab w:val="clear" w:pos="3958"/>
      </w:tabs>
      <w:jc w:val="right"/>
    </w:pPr>
  </w:style>
  <w:style w:type="character" w:styleId="Emphasis">
    <w:name w:val="Emphasis"/>
    <w:basedOn w:val="DefaultParagraphFont"/>
    <w:qFormat/>
    <w:rsid w:val="00A57E65"/>
    <w:rPr>
      <w:i/>
    </w:rPr>
  </w:style>
  <w:style w:type="paragraph" w:styleId="Caption">
    <w:name w:val="caption"/>
    <w:basedOn w:val="BodyText"/>
    <w:next w:val="Normal"/>
    <w:qFormat/>
    <w:rsid w:val="00A57E65"/>
    <w:pPr>
      <w:framePr w:w="2268" w:hSpace="181" w:vSpace="181" w:wrap="around" w:vAnchor="text" w:hAnchor="page" w:x="1135" w:y="285" w:anchorLock="1"/>
    </w:pPr>
    <w:rPr>
      <w:i/>
    </w:rPr>
  </w:style>
  <w:style w:type="paragraph" w:customStyle="1" w:styleId="MiniTOCTitle">
    <w:name w:val="MiniTOCTitle"/>
    <w:basedOn w:val="Heading4"/>
    <w:rsid w:val="00A57E65"/>
    <w:pPr>
      <w:spacing w:before="240"/>
      <w:outlineLvl w:val="9"/>
    </w:pPr>
    <w:rPr>
      <w:noProof/>
      <w:sz w:val="24"/>
    </w:rPr>
  </w:style>
  <w:style w:type="paragraph" w:customStyle="1" w:styleId="MiniTOCItem">
    <w:name w:val="MiniTOCItem"/>
    <w:basedOn w:val="ListBullet"/>
    <w:rsid w:val="00A57E65"/>
    <w:pPr>
      <w:numPr>
        <w:numId w:val="0"/>
      </w:numPr>
      <w:tabs>
        <w:tab w:val="right" w:leader="dot" w:pos="6521"/>
      </w:tabs>
      <w:spacing w:before="0" w:after="0"/>
    </w:pPr>
  </w:style>
  <w:style w:type="paragraph" w:customStyle="1" w:styleId="TOFTitle">
    <w:name w:val="TOFTitle"/>
    <w:basedOn w:val="TOCTitle"/>
    <w:rsid w:val="00A57E65"/>
  </w:style>
  <w:style w:type="paragraph" w:styleId="TableofFigures">
    <w:name w:val="table of figures"/>
    <w:basedOn w:val="Normal"/>
    <w:next w:val="Normal"/>
    <w:semiHidden/>
    <w:rsid w:val="00A57E65"/>
    <w:pPr>
      <w:tabs>
        <w:tab w:val="right" w:leader="dot" w:pos="9072"/>
      </w:tabs>
      <w:ind w:left="970" w:hanging="403"/>
    </w:pPr>
    <w:rPr>
      <w:rFonts w:ascii="Times New Roman" w:hAnsi="Times New Roman"/>
      <w:b/>
    </w:rPr>
  </w:style>
  <w:style w:type="paragraph" w:styleId="ListNumber">
    <w:name w:val="List Number"/>
    <w:basedOn w:val="List"/>
    <w:rsid w:val="00A57E65"/>
    <w:pPr>
      <w:numPr>
        <w:numId w:val="11"/>
      </w:numPr>
    </w:pPr>
  </w:style>
  <w:style w:type="character" w:customStyle="1" w:styleId="WingdingSymbols">
    <w:name w:val="Wingding Symbols"/>
    <w:rsid w:val="00A57E65"/>
    <w:rPr>
      <w:rFonts w:ascii="Wingdings" w:hAnsi="Wingdings"/>
    </w:rPr>
  </w:style>
  <w:style w:type="paragraph" w:customStyle="1" w:styleId="TableHeading">
    <w:name w:val="Table Heading"/>
    <w:basedOn w:val="HeadingBase"/>
    <w:rsid w:val="00A57E65"/>
    <w:pPr>
      <w:keepLines/>
      <w:pBdr>
        <w:bottom w:val="single" w:sz="6" w:space="1" w:color="918585"/>
      </w:pBdr>
      <w:spacing w:before="240"/>
    </w:pPr>
  </w:style>
  <w:style w:type="character" w:customStyle="1" w:styleId="HotSpot">
    <w:name w:val="HotSpot"/>
    <w:rsid w:val="00A57E65"/>
    <w:rPr>
      <w:color w:val="0033CC"/>
      <w:u w:val="none"/>
    </w:rPr>
  </w:style>
  <w:style w:type="paragraph" w:customStyle="1" w:styleId="BodyTextRight">
    <w:name w:val="Body Text Right"/>
    <w:basedOn w:val="BodyText"/>
    <w:rsid w:val="00A57E65"/>
    <w:pPr>
      <w:spacing w:before="0" w:after="0"/>
      <w:jc w:val="right"/>
    </w:pPr>
  </w:style>
  <w:style w:type="paragraph" w:styleId="Index3">
    <w:name w:val="index 3"/>
    <w:basedOn w:val="ListNumber2"/>
    <w:next w:val="Normal"/>
    <w:semiHidden/>
    <w:rsid w:val="00A57E65"/>
    <w:pPr>
      <w:numPr>
        <w:numId w:val="0"/>
      </w:numPr>
      <w:tabs>
        <w:tab w:val="right" w:leader="dot" w:pos="4176"/>
      </w:tabs>
    </w:pPr>
  </w:style>
  <w:style w:type="paragraph" w:styleId="ListNumber2">
    <w:name w:val="List Number 2"/>
    <w:basedOn w:val="List2"/>
    <w:rsid w:val="00A57E65"/>
    <w:pPr>
      <w:numPr>
        <w:numId w:val="10"/>
      </w:numPr>
      <w:tabs>
        <w:tab w:val="clear" w:pos="1060"/>
      </w:tabs>
    </w:pPr>
  </w:style>
  <w:style w:type="paragraph" w:customStyle="1" w:styleId="MarginNote">
    <w:name w:val="Margin Note"/>
    <w:basedOn w:val="BodyText"/>
    <w:rsid w:val="00A57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E65"/>
    <w:rPr>
      <w:sz w:val="32"/>
    </w:rPr>
  </w:style>
  <w:style w:type="paragraph" w:customStyle="1" w:styleId="HeadingProcedure">
    <w:name w:val="Heading Procedure"/>
    <w:basedOn w:val="HeadingBase"/>
    <w:next w:val="Normal"/>
    <w:rsid w:val="00A57E65"/>
    <w:pPr>
      <w:tabs>
        <w:tab w:val="left" w:pos="0"/>
      </w:tabs>
      <w:spacing w:before="120" w:after="60"/>
    </w:pPr>
    <w:rPr>
      <w:i/>
      <w:color w:val="918585"/>
      <w:sz w:val="22"/>
    </w:rPr>
  </w:style>
  <w:style w:type="paragraph" w:customStyle="1" w:styleId="TableBodyText">
    <w:name w:val="Table Body Text"/>
    <w:basedOn w:val="BodyText"/>
    <w:rsid w:val="00A57E65"/>
    <w:pPr>
      <w:spacing w:before="60" w:after="60"/>
    </w:pPr>
  </w:style>
  <w:style w:type="paragraph" w:styleId="ListContinue">
    <w:name w:val="List Continue"/>
    <w:basedOn w:val="List"/>
    <w:rsid w:val="00A57E65"/>
    <w:pPr>
      <w:ind w:firstLine="0"/>
    </w:pPr>
  </w:style>
  <w:style w:type="paragraph" w:customStyle="1" w:styleId="ListNote">
    <w:name w:val="List Note"/>
    <w:basedOn w:val="List"/>
    <w:rsid w:val="00A57E65"/>
    <w:pPr>
      <w:pBdr>
        <w:top w:val="single" w:sz="6" w:space="2" w:color="918585"/>
        <w:bottom w:val="single" w:sz="6" w:space="2" w:color="918585"/>
      </w:pBdr>
      <w:tabs>
        <w:tab w:val="left" w:pos="1021"/>
      </w:tabs>
      <w:ind w:firstLine="0"/>
    </w:pPr>
  </w:style>
  <w:style w:type="paragraph" w:customStyle="1" w:styleId="Warning">
    <w:name w:val="Warning"/>
    <w:basedOn w:val="BodyText"/>
    <w:rsid w:val="00A57E65"/>
    <w:pPr>
      <w:shd w:val="clear" w:color="auto" w:fill="D9D9D9"/>
      <w:tabs>
        <w:tab w:val="left" w:pos="992"/>
      </w:tabs>
      <w:ind w:left="119" w:right="119"/>
    </w:pPr>
    <w:rPr>
      <w:sz w:val="20"/>
    </w:rPr>
  </w:style>
  <w:style w:type="paragraph" w:customStyle="1" w:styleId="MarginIcons">
    <w:name w:val="Margin Icons"/>
    <w:basedOn w:val="BodyText"/>
    <w:rsid w:val="00A57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E65"/>
    <w:rPr>
      <w:rFonts w:ascii="Courier New" w:hAnsi="Courier New"/>
    </w:rPr>
  </w:style>
  <w:style w:type="paragraph" w:customStyle="1" w:styleId="NoteBullet">
    <w:name w:val="Note Bullet"/>
    <w:basedOn w:val="Note"/>
    <w:rsid w:val="00A57E65"/>
    <w:pPr>
      <w:tabs>
        <w:tab w:val="clear" w:pos="680"/>
      </w:tabs>
      <w:spacing w:before="60" w:after="60"/>
    </w:pPr>
  </w:style>
  <w:style w:type="paragraph" w:customStyle="1" w:styleId="SubHeading2">
    <w:name w:val="SubHeading2"/>
    <w:basedOn w:val="HeadingBase"/>
    <w:rsid w:val="00A57E65"/>
    <w:pPr>
      <w:spacing w:before="240" w:after="60"/>
    </w:pPr>
    <w:rPr>
      <w:sz w:val="20"/>
    </w:rPr>
  </w:style>
  <w:style w:type="paragraph" w:customStyle="1" w:styleId="SubHeading1">
    <w:name w:val="SubHeading1"/>
    <w:basedOn w:val="HeadingBase"/>
    <w:rsid w:val="00A57E65"/>
    <w:pPr>
      <w:spacing w:before="240" w:after="60"/>
    </w:pPr>
    <w:rPr>
      <w:color w:val="918585"/>
      <w:sz w:val="22"/>
    </w:rPr>
  </w:style>
  <w:style w:type="paragraph" w:customStyle="1" w:styleId="SideHeading">
    <w:name w:val="Side Heading"/>
    <w:basedOn w:val="HeadingBase"/>
    <w:rsid w:val="00A57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E65"/>
    <w:pPr>
      <w:numPr>
        <w:numId w:val="12"/>
      </w:numPr>
    </w:pPr>
  </w:style>
  <w:style w:type="paragraph" w:styleId="PlainText">
    <w:name w:val="Plain Text"/>
    <w:basedOn w:val="Normal"/>
    <w:link w:val="PlainTextChar"/>
    <w:rsid w:val="00A57E65"/>
    <w:rPr>
      <w:sz w:val="20"/>
    </w:rPr>
  </w:style>
  <w:style w:type="character" w:customStyle="1" w:styleId="PlainTextChar">
    <w:name w:val="Plain Text Char"/>
    <w:basedOn w:val="DefaultParagraphFont"/>
    <w:link w:val="PlainText"/>
    <w:rsid w:val="00A57E65"/>
    <w:rPr>
      <w:rFonts w:ascii="Courier New" w:eastAsia="Times New Roman" w:hAnsi="Courier New" w:cs="Times New Roman"/>
      <w:sz w:val="20"/>
      <w:szCs w:val="20"/>
      <w:lang w:eastAsia="en-US"/>
    </w:rPr>
  </w:style>
  <w:style w:type="character" w:customStyle="1" w:styleId="MenuOption">
    <w:name w:val="Menu Option"/>
    <w:basedOn w:val="DefaultParagraphFont"/>
    <w:rsid w:val="00A57E65"/>
    <w:rPr>
      <w:b/>
      <w:smallCaps/>
    </w:rPr>
  </w:style>
  <w:style w:type="paragraph" w:customStyle="1" w:styleId="TableListNumber">
    <w:name w:val="Table List Number"/>
    <w:basedOn w:val="ListNumber"/>
    <w:rsid w:val="00A57E65"/>
    <w:pPr>
      <w:numPr>
        <w:numId w:val="0"/>
      </w:numPr>
    </w:pPr>
  </w:style>
  <w:style w:type="paragraph" w:styleId="TOC4">
    <w:name w:val="toc 4"/>
    <w:basedOn w:val="TOCBase"/>
    <w:next w:val="Normal"/>
    <w:semiHidden/>
    <w:rsid w:val="00A57E65"/>
    <w:pPr>
      <w:tabs>
        <w:tab w:val="right" w:leader="dot" w:pos="9071"/>
      </w:tabs>
      <w:ind w:left="1701"/>
    </w:pPr>
  </w:style>
  <w:style w:type="paragraph" w:customStyle="1" w:styleId="ListAlpha">
    <w:name w:val="List Alpha"/>
    <w:basedOn w:val="List"/>
    <w:rsid w:val="00A57E65"/>
    <w:pPr>
      <w:numPr>
        <w:numId w:val="9"/>
      </w:numPr>
    </w:pPr>
  </w:style>
  <w:style w:type="paragraph" w:customStyle="1" w:styleId="ListAlpha2">
    <w:name w:val="List Alpha 2"/>
    <w:basedOn w:val="List2"/>
    <w:rsid w:val="00A57E65"/>
    <w:pPr>
      <w:numPr>
        <w:numId w:val="8"/>
      </w:numPr>
    </w:pPr>
  </w:style>
  <w:style w:type="paragraph" w:styleId="List2">
    <w:name w:val="List 2"/>
    <w:basedOn w:val="BodyText"/>
    <w:rsid w:val="00A57E65"/>
    <w:pPr>
      <w:tabs>
        <w:tab w:val="left" w:pos="680"/>
      </w:tabs>
      <w:spacing w:before="60" w:after="60"/>
      <w:ind w:left="680" w:hanging="340"/>
    </w:pPr>
  </w:style>
  <w:style w:type="paragraph" w:styleId="List3">
    <w:name w:val="List 3"/>
    <w:basedOn w:val="BodyText"/>
    <w:rsid w:val="00A57E65"/>
    <w:pPr>
      <w:tabs>
        <w:tab w:val="left" w:pos="1021"/>
      </w:tabs>
      <w:spacing w:before="60" w:after="60"/>
      <w:ind w:left="1020" w:hanging="340"/>
    </w:pPr>
  </w:style>
  <w:style w:type="paragraph" w:styleId="List4">
    <w:name w:val="List 4"/>
    <w:basedOn w:val="BodyText"/>
    <w:rsid w:val="00A57E65"/>
    <w:pPr>
      <w:tabs>
        <w:tab w:val="left" w:pos="1361"/>
      </w:tabs>
      <w:spacing w:before="60" w:after="60"/>
      <w:ind w:left="1361" w:hanging="340"/>
    </w:pPr>
  </w:style>
  <w:style w:type="paragraph" w:styleId="List5">
    <w:name w:val="List 5"/>
    <w:basedOn w:val="BodyText"/>
    <w:rsid w:val="00A57E65"/>
    <w:pPr>
      <w:tabs>
        <w:tab w:val="left" w:pos="1701"/>
      </w:tabs>
      <w:spacing w:before="60" w:after="60"/>
      <w:ind w:left="1701" w:hanging="340"/>
    </w:pPr>
  </w:style>
  <w:style w:type="paragraph" w:styleId="ListBullet3">
    <w:name w:val="List Bullet 3"/>
    <w:basedOn w:val="List3"/>
    <w:rsid w:val="00A57E65"/>
    <w:pPr>
      <w:numPr>
        <w:numId w:val="15"/>
      </w:numPr>
      <w:tabs>
        <w:tab w:val="clear" w:pos="1021"/>
      </w:tabs>
      <w:ind w:left="1037" w:hanging="357"/>
    </w:pPr>
  </w:style>
  <w:style w:type="paragraph" w:styleId="ListBullet4">
    <w:name w:val="List Bullet 4"/>
    <w:basedOn w:val="List4"/>
    <w:rsid w:val="00A57E65"/>
    <w:pPr>
      <w:numPr>
        <w:numId w:val="3"/>
      </w:numPr>
    </w:pPr>
  </w:style>
  <w:style w:type="paragraph" w:styleId="ListBullet5">
    <w:name w:val="List Bullet 5"/>
    <w:basedOn w:val="List5"/>
    <w:rsid w:val="00A57E65"/>
    <w:pPr>
      <w:numPr>
        <w:numId w:val="4"/>
      </w:numPr>
    </w:pPr>
  </w:style>
  <w:style w:type="paragraph" w:styleId="ListContinue2">
    <w:name w:val="List Continue 2"/>
    <w:basedOn w:val="List2"/>
    <w:rsid w:val="00A57E65"/>
    <w:pPr>
      <w:ind w:firstLine="0"/>
    </w:pPr>
  </w:style>
  <w:style w:type="paragraph" w:styleId="ListContinue3">
    <w:name w:val="List Continue 3"/>
    <w:basedOn w:val="List3"/>
    <w:rsid w:val="00A57E65"/>
    <w:pPr>
      <w:ind w:left="1021" w:firstLine="0"/>
    </w:pPr>
  </w:style>
  <w:style w:type="paragraph" w:styleId="ListContinue4">
    <w:name w:val="List Continue 4"/>
    <w:basedOn w:val="List4"/>
    <w:rsid w:val="00A57E65"/>
    <w:pPr>
      <w:ind w:firstLine="0"/>
    </w:pPr>
  </w:style>
  <w:style w:type="paragraph" w:styleId="ListContinue5">
    <w:name w:val="List Continue 5"/>
    <w:basedOn w:val="List5"/>
    <w:rsid w:val="00A57E65"/>
    <w:pPr>
      <w:ind w:firstLine="0"/>
    </w:pPr>
  </w:style>
  <w:style w:type="paragraph" w:styleId="ListNumber3">
    <w:name w:val="List Number 3"/>
    <w:basedOn w:val="List3"/>
    <w:rsid w:val="00A57E65"/>
    <w:pPr>
      <w:numPr>
        <w:numId w:val="5"/>
      </w:numPr>
    </w:pPr>
  </w:style>
  <w:style w:type="paragraph" w:styleId="ListNumber4">
    <w:name w:val="List Number 4"/>
    <w:basedOn w:val="List4"/>
    <w:rsid w:val="00A57E65"/>
    <w:pPr>
      <w:numPr>
        <w:numId w:val="6"/>
      </w:numPr>
    </w:pPr>
  </w:style>
  <w:style w:type="paragraph" w:styleId="ListNumber5">
    <w:name w:val="List Number 5"/>
    <w:basedOn w:val="List5"/>
    <w:rsid w:val="00A57E65"/>
    <w:pPr>
      <w:numPr>
        <w:numId w:val="7"/>
      </w:numPr>
    </w:pPr>
  </w:style>
  <w:style w:type="paragraph" w:styleId="BlockText">
    <w:name w:val="Block Text"/>
    <w:basedOn w:val="Normal"/>
    <w:rsid w:val="00A57E65"/>
    <w:pPr>
      <w:spacing w:after="120"/>
      <w:ind w:left="1440" w:right="1440"/>
    </w:pPr>
  </w:style>
  <w:style w:type="character" w:customStyle="1" w:styleId="Subscript">
    <w:name w:val="Subscript"/>
    <w:basedOn w:val="DefaultParagraphFont"/>
    <w:rsid w:val="00A57E65"/>
    <w:rPr>
      <w:sz w:val="16"/>
      <w:vertAlign w:val="subscript"/>
    </w:rPr>
  </w:style>
  <w:style w:type="character" w:customStyle="1" w:styleId="Superscript">
    <w:name w:val="Superscript"/>
    <w:basedOn w:val="DefaultParagraphFont"/>
    <w:rsid w:val="00A57E65"/>
    <w:rPr>
      <w:sz w:val="16"/>
      <w:vertAlign w:val="superscript"/>
    </w:rPr>
  </w:style>
  <w:style w:type="character" w:customStyle="1" w:styleId="Symbols">
    <w:name w:val="Symbols"/>
    <w:basedOn w:val="DefaultParagraphFont"/>
    <w:rsid w:val="00A57E65"/>
    <w:rPr>
      <w:rFonts w:ascii="Symbol" w:hAnsi="Symbol"/>
    </w:rPr>
  </w:style>
  <w:style w:type="character" w:customStyle="1" w:styleId="MenuOptions">
    <w:name w:val="Menu Options"/>
    <w:basedOn w:val="DefaultParagraphFont"/>
    <w:rsid w:val="00A57E65"/>
    <w:rPr>
      <w:rFonts w:ascii="Arial Narrow" w:hAnsi="Arial Narrow"/>
      <w:smallCaps/>
    </w:rPr>
  </w:style>
  <w:style w:type="character" w:customStyle="1" w:styleId="Buttons">
    <w:name w:val="Buttons"/>
    <w:basedOn w:val="DefaultParagraphFont"/>
    <w:rsid w:val="00A57E65"/>
    <w:rPr>
      <w:b/>
    </w:rPr>
  </w:style>
  <w:style w:type="character" w:customStyle="1" w:styleId="Underlined">
    <w:name w:val="Underlined"/>
    <w:basedOn w:val="DefaultParagraphFont"/>
    <w:rsid w:val="00A57E65"/>
    <w:rPr>
      <w:u w:val="single"/>
    </w:rPr>
  </w:style>
  <w:style w:type="paragraph" w:customStyle="1" w:styleId="TableBodyTextRight">
    <w:name w:val="Table Body Text Right"/>
    <w:basedOn w:val="TableBodyText"/>
    <w:rsid w:val="00A57E65"/>
    <w:pPr>
      <w:widowControl w:val="0"/>
      <w:autoSpaceDE w:val="0"/>
      <w:autoSpaceDN w:val="0"/>
      <w:adjustRightInd w:val="0"/>
      <w:jc w:val="right"/>
    </w:pPr>
    <w:rPr>
      <w:rFonts w:cs="Arial"/>
      <w:szCs w:val="18"/>
    </w:rPr>
  </w:style>
  <w:style w:type="paragraph" w:customStyle="1" w:styleId="CopyrightText">
    <w:name w:val="Copyright Text"/>
    <w:basedOn w:val="BodyText"/>
    <w:rsid w:val="00A57E65"/>
    <w:rPr>
      <w:sz w:val="18"/>
    </w:rPr>
  </w:style>
  <w:style w:type="paragraph" w:customStyle="1" w:styleId="BodySmallRight">
    <w:name w:val="Body Small Right"/>
    <w:basedOn w:val="BodyTextRight"/>
    <w:rsid w:val="00A57E65"/>
    <w:rPr>
      <w:sz w:val="18"/>
      <w:szCs w:val="18"/>
    </w:rPr>
  </w:style>
  <w:style w:type="paragraph" w:customStyle="1" w:styleId="MarginEdition">
    <w:name w:val="Margin Edition"/>
    <w:basedOn w:val="MarginNote"/>
    <w:rsid w:val="00A57E65"/>
    <w:pPr>
      <w:spacing w:before="0" w:after="0"/>
    </w:pPr>
    <w:rPr>
      <w:rFonts w:ascii="Times New Roman" w:hAnsi="Times New Roman"/>
      <w:color w:val="999999"/>
    </w:rPr>
  </w:style>
  <w:style w:type="paragraph" w:customStyle="1" w:styleId="Spacer">
    <w:name w:val="Spacer"/>
    <w:basedOn w:val="Normal"/>
    <w:rsid w:val="00A57E65"/>
    <w:rPr>
      <w:sz w:val="2"/>
      <w:szCs w:val="2"/>
    </w:rPr>
  </w:style>
  <w:style w:type="character" w:customStyle="1" w:styleId="Small">
    <w:name w:val="Small"/>
    <w:basedOn w:val="DefaultParagraphFont"/>
    <w:rsid w:val="00A57E65"/>
    <w:rPr>
      <w:sz w:val="16"/>
    </w:rPr>
  </w:style>
  <w:style w:type="paragraph" w:customStyle="1" w:styleId="WideTable">
    <w:name w:val="Wide Table"/>
    <w:basedOn w:val="Normal"/>
    <w:rsid w:val="00A57E65"/>
    <w:pPr>
      <w:ind w:left="-1418"/>
    </w:pPr>
    <w:rPr>
      <w:sz w:val="2"/>
      <w:szCs w:val="2"/>
    </w:rPr>
  </w:style>
  <w:style w:type="character" w:styleId="PageNumber">
    <w:name w:val="page number"/>
    <w:basedOn w:val="DefaultParagraphFont"/>
    <w:rsid w:val="00A57E65"/>
  </w:style>
  <w:style w:type="paragraph" w:styleId="Quote">
    <w:name w:val="Quote"/>
    <w:basedOn w:val="Heading1"/>
    <w:link w:val="QuoteChar"/>
    <w:qFormat/>
    <w:rsid w:val="00A57E65"/>
    <w:rPr>
      <w:b w:val="0"/>
      <w:sz w:val="72"/>
      <w:szCs w:val="72"/>
      <w:lang w:val="en-NZ"/>
    </w:rPr>
  </w:style>
  <w:style w:type="character" w:customStyle="1" w:styleId="QuoteChar">
    <w:name w:val="Quote Char"/>
    <w:basedOn w:val="DefaultParagraphFont"/>
    <w:link w:val="Quote"/>
    <w:rsid w:val="00A57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E65"/>
    <w:pPr>
      <w:pageBreakBefore/>
    </w:pPr>
  </w:style>
  <w:style w:type="paragraph" w:customStyle="1" w:styleId="Border">
    <w:name w:val="Border"/>
    <w:basedOn w:val="Normal"/>
    <w:qFormat/>
    <w:rsid w:val="00A57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E65"/>
    <w:rPr>
      <w:b/>
      <w:bCs/>
      <w:i/>
      <w:iCs/>
      <w:color w:val="auto"/>
    </w:rPr>
  </w:style>
  <w:style w:type="paragraph" w:styleId="IntenseQuote">
    <w:name w:val="Intense Quote"/>
    <w:basedOn w:val="Normal"/>
    <w:next w:val="Normal"/>
    <w:link w:val="IntenseQuoteChar"/>
    <w:uiPriority w:val="30"/>
    <w:qFormat/>
    <w:rsid w:val="00A57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E65"/>
    <w:rPr>
      <w:smallCaps/>
      <w:color w:val="auto"/>
      <w:u w:val="single"/>
    </w:rPr>
  </w:style>
  <w:style w:type="character" w:styleId="IntenseReference">
    <w:name w:val="Intense Reference"/>
    <w:basedOn w:val="DefaultParagraphFont"/>
    <w:uiPriority w:val="32"/>
    <w:qFormat/>
    <w:rsid w:val="00A57E65"/>
    <w:rPr>
      <w:b/>
      <w:bCs/>
      <w:smallCaps/>
      <w:color w:val="auto"/>
      <w:spacing w:val="5"/>
      <w:u w:val="single"/>
    </w:rPr>
  </w:style>
  <w:style w:type="paragraph" w:customStyle="1" w:styleId="2ColumnHeading">
    <w:name w:val="2Column Heading"/>
    <w:basedOn w:val="BodyText"/>
    <w:qFormat/>
    <w:rsid w:val="00A57E65"/>
    <w:pPr>
      <w:spacing w:after="60"/>
      <w:ind w:left="-2268"/>
    </w:pPr>
    <w:rPr>
      <w:b/>
    </w:rPr>
  </w:style>
  <w:style w:type="paragraph" w:customStyle="1" w:styleId="Heading1TOC">
    <w:name w:val="Heading1 TOC"/>
    <w:basedOn w:val="Normal"/>
    <w:qFormat/>
    <w:rsid w:val="00A57E65"/>
    <w:pPr>
      <w:spacing w:before="240" w:after="120"/>
    </w:pPr>
    <w:rPr>
      <w:rFonts w:ascii="Times New Roman" w:hAnsi="Times New Roman"/>
      <w:b/>
      <w:sz w:val="32"/>
    </w:rPr>
  </w:style>
  <w:style w:type="paragraph" w:customStyle="1" w:styleId="Heading2TOC">
    <w:name w:val="Heading2 TOC"/>
    <w:basedOn w:val="Normal"/>
    <w:qFormat/>
    <w:rsid w:val="00A57E65"/>
    <w:pPr>
      <w:spacing w:before="240" w:after="60"/>
    </w:pPr>
    <w:rPr>
      <w:rFonts w:ascii="Times New Roman" w:hAnsi="Times New Roman"/>
      <w:b/>
      <w:sz w:val="28"/>
    </w:rPr>
  </w:style>
  <w:style w:type="character" w:customStyle="1" w:styleId="Underline">
    <w:name w:val="Underline"/>
    <w:basedOn w:val="DefaultParagraphFont"/>
    <w:qFormat/>
    <w:rsid w:val="00A57E65"/>
    <w:rPr>
      <w:u w:val="single"/>
    </w:rPr>
  </w:style>
  <w:style w:type="character" w:customStyle="1" w:styleId="BoldandItalics">
    <w:name w:val="Bold and Italics"/>
    <w:qFormat/>
    <w:rsid w:val="00A57E65"/>
    <w:rPr>
      <w:b/>
      <w:i/>
      <w:u w:val="none"/>
    </w:rPr>
  </w:style>
  <w:style w:type="paragraph" w:styleId="BalloonText">
    <w:name w:val="Balloon Text"/>
    <w:basedOn w:val="Normal"/>
    <w:link w:val="BalloonTextChar"/>
    <w:rsid w:val="00A57E65"/>
    <w:rPr>
      <w:rFonts w:ascii="Tahoma" w:hAnsi="Tahoma" w:cs="Tahoma"/>
      <w:sz w:val="16"/>
      <w:szCs w:val="16"/>
    </w:rPr>
  </w:style>
  <w:style w:type="character" w:customStyle="1" w:styleId="BalloonTextChar">
    <w:name w:val="Balloon Text Char"/>
    <w:basedOn w:val="DefaultParagraphFont"/>
    <w:link w:val="BalloonText"/>
    <w:rsid w:val="00A57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E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E65"/>
    <w:rPr>
      <w:b/>
      <w:color w:val="660033"/>
      <w:spacing w:val="0"/>
    </w:rPr>
  </w:style>
  <w:style w:type="paragraph" w:customStyle="1" w:styleId="Nameditemlist">
    <w:name w:val="Named item list"/>
    <w:basedOn w:val="BodyText"/>
    <w:qFormat/>
    <w:rsid w:val="00A57E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1402</Words>
  <Characters>8931</Characters>
  <Application>Microsoft Office Word</Application>
  <DocSecurity>0</DocSecurity>
  <Lines>378</Lines>
  <Paragraphs>219</Paragraphs>
  <ScaleCrop>false</ScaleCrop>
  <Company>Author-it Software Corporation Ltd.</Company>
  <LinksUpToDate>false</LinksUpToDate>
  <CharactersWithSpaces>10251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MEM09202A Produce freehand sketches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2012-07-02T02:21:00Z</dcterms:created>
  <dcterms:modified xsi:type="dcterms:W3CDTF">2012-07-02T02:21:00Z</dcterms:modified>
</cp:coreProperties>
</file>